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EB49E6">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w:t>
      </w:r>
      <w:r w:rsidR="00EB49E6">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3077DC">
        <w:rPr>
          <w:rFonts w:ascii="Arial Black" w:eastAsia="SimSun" w:hAnsi="Arial Black" w:cs="Arial"/>
          <w:b/>
          <w:caps/>
          <w:noProof/>
          <w:sz w:val="16"/>
          <w:szCs w:val="16"/>
          <w:lang w:eastAsia="zh-CN"/>
        </w:rPr>
        <w:t>7</w:t>
      </w:r>
    </w:p>
    <w:bookmarkEnd w:id="2"/>
    <w:p w:rsidR="003F7284" w:rsidRPr="00BB6440" w:rsidRDefault="003F7284" w:rsidP="005D79F6">
      <w:pPr>
        <w:jc w:val="right"/>
        <w:rPr>
          <w:b/>
          <w:bCs/>
          <w:sz w:val="30"/>
          <w:szCs w:val="30"/>
          <w:rtl/>
        </w:rPr>
      </w:pPr>
      <w:r w:rsidRPr="00BB6440">
        <w:rPr>
          <w:b/>
          <w:bCs/>
          <w:sz w:val="30"/>
          <w:szCs w:val="30"/>
          <w:rtl/>
        </w:rPr>
        <w:t>الأصل:</w:t>
      </w:r>
      <w:r w:rsidR="003077DC">
        <w:rPr>
          <w:b/>
          <w:bCs/>
          <w:sz w:val="30"/>
          <w:szCs w:val="30"/>
          <w:lang w:val="fr-CH"/>
        </w:rPr>
        <w:t xml:space="preserve"> </w:t>
      </w:r>
      <w:r w:rsidR="003077DC">
        <w:rPr>
          <w:rFonts w:hint="cs"/>
          <w:b/>
          <w:bCs/>
          <w:sz w:val="30"/>
          <w:szCs w:val="30"/>
          <w:rtl/>
          <w:lang w:val="fr-CH" w:bidi="ar-SY"/>
        </w:rPr>
        <w:t>بالإنكليزية</w:t>
      </w:r>
      <w:r w:rsidRPr="00BB6440">
        <w:rPr>
          <w:b/>
          <w:bCs/>
          <w:sz w:val="30"/>
          <w:szCs w:val="30"/>
          <w:rtl/>
        </w:rPr>
        <w:t xml:space="preserve"> </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3077DC">
        <w:rPr>
          <w:rFonts w:hint="cs"/>
          <w:b/>
          <w:bCs/>
          <w:sz w:val="30"/>
          <w:szCs w:val="30"/>
          <w:rtl/>
        </w:rPr>
        <w:t xml:space="preserve"> 15 يناير 2020</w:t>
      </w:r>
      <w:r w:rsidR="005D79F6" w:rsidRPr="00BB6440">
        <w:rPr>
          <w:b/>
          <w:bCs/>
          <w:sz w:val="30"/>
          <w:szCs w:val="30"/>
          <w:rtl/>
        </w:rPr>
        <w:t xml:space="preserve"> </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B49E6">
        <w:rPr>
          <w:rFonts w:ascii="Arial Black" w:hAnsi="Arial Black" w:cs="PT Bold Heading" w:hint="cs"/>
          <w:sz w:val="30"/>
          <w:szCs w:val="30"/>
          <w:rtl/>
        </w:rPr>
        <w:t>الحادية و</w:t>
      </w:r>
      <w:r w:rsidR="00642A6D">
        <w:rPr>
          <w:rFonts w:ascii="Arial Black" w:hAnsi="Arial Black" w:cs="PT Bold Heading" w:hint="cs"/>
          <w:sz w:val="30"/>
          <w:szCs w:val="30"/>
          <w:rtl/>
        </w:rPr>
        <w:t>الأربعون</w:t>
      </w:r>
    </w:p>
    <w:p w:rsidR="002E7810" w:rsidRPr="002E7810" w:rsidRDefault="00FD0C32" w:rsidP="00EB49E6">
      <w:pPr>
        <w:spacing w:line="600" w:lineRule="auto"/>
        <w:rPr>
          <w:b/>
          <w:bCs/>
          <w:rtl/>
        </w:rPr>
      </w:pPr>
      <w:r>
        <w:rPr>
          <w:b/>
          <w:bCs/>
          <w:rtl/>
        </w:rPr>
        <w:t>جنيف، من</w:t>
      </w:r>
      <w:r w:rsidR="00290FA8">
        <w:rPr>
          <w:rFonts w:hint="cs"/>
          <w:b/>
          <w:bCs/>
          <w:rtl/>
        </w:rPr>
        <w:t xml:space="preserve"> </w:t>
      </w:r>
      <w:r w:rsidR="00EB49E6">
        <w:rPr>
          <w:rFonts w:hint="cs"/>
          <w:b/>
          <w:bCs/>
          <w:rtl/>
        </w:rPr>
        <w:t>16</w:t>
      </w:r>
      <w:r w:rsidR="00290FA8">
        <w:rPr>
          <w:rFonts w:hint="cs"/>
          <w:b/>
          <w:bCs/>
          <w:rtl/>
        </w:rPr>
        <w:t xml:space="preserve"> إلى </w:t>
      </w:r>
      <w:r w:rsidR="00EB49E6">
        <w:rPr>
          <w:rFonts w:hint="cs"/>
          <w:b/>
          <w:bCs/>
          <w:rtl/>
        </w:rPr>
        <w:t>20</w:t>
      </w:r>
      <w:r w:rsidR="00290FA8">
        <w:rPr>
          <w:rFonts w:hint="cs"/>
          <w:b/>
          <w:bCs/>
          <w:rtl/>
        </w:rPr>
        <w:t xml:space="preserve"> </w:t>
      </w:r>
      <w:r w:rsidR="00EB49E6">
        <w:rPr>
          <w:rFonts w:hint="cs"/>
          <w:b/>
          <w:bCs/>
          <w:rtl/>
        </w:rPr>
        <w:t>مارس</w:t>
      </w:r>
      <w:r w:rsidR="00290FA8">
        <w:rPr>
          <w:rFonts w:hint="cs"/>
          <w:b/>
          <w:bCs/>
          <w:rtl/>
        </w:rPr>
        <w:t xml:space="preserve"> </w:t>
      </w:r>
      <w:r w:rsidR="00EB49E6">
        <w:rPr>
          <w:rFonts w:hint="cs"/>
          <w:b/>
          <w:bCs/>
          <w:rtl/>
        </w:rPr>
        <w:t>2020</w:t>
      </w:r>
    </w:p>
    <w:p w:rsidR="002E7810" w:rsidRPr="002E7810" w:rsidRDefault="003077DC" w:rsidP="003077DC">
      <w:pPr>
        <w:rPr>
          <w:rFonts w:ascii="Arial Black" w:hAnsi="Arial Black" w:cs="PT Bold Heading"/>
          <w:sz w:val="26"/>
          <w:szCs w:val="26"/>
          <w:rtl/>
        </w:rPr>
      </w:pPr>
      <w:r w:rsidRPr="00032A95">
        <w:rPr>
          <w:rFonts w:ascii="Arial Black" w:hAnsi="Arial Black" w:cs="PT Bold Heading"/>
          <w:sz w:val="26"/>
          <w:szCs w:val="26"/>
          <w:rtl/>
        </w:rPr>
        <w:t>تقرير عن تجميع المواد بشأن أنظمة الكشف المتعلقة بالموارد الوراثية والمعارف التقليدية المرتبطة بها</w:t>
      </w:r>
    </w:p>
    <w:p w:rsidR="003F7284" w:rsidRPr="00BB6440" w:rsidRDefault="003077DC"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3077DC" w:rsidRPr="00E1225D" w:rsidRDefault="003077DC" w:rsidP="003077DC">
      <w:pPr>
        <w:pStyle w:val="Heading3"/>
        <w:rPr>
          <w:b/>
          <w:bCs/>
          <w:rtl/>
        </w:rPr>
      </w:pPr>
      <w:r w:rsidRPr="00E1225D">
        <w:rPr>
          <w:rFonts w:hint="cs"/>
          <w:b/>
          <w:bCs/>
          <w:rtl/>
        </w:rPr>
        <w:t>الخلفية والسياق</w:t>
      </w:r>
    </w:p>
    <w:p w:rsidR="003077DC" w:rsidRPr="00E1225D" w:rsidRDefault="003077DC" w:rsidP="003077DC">
      <w:pPr>
        <w:pStyle w:val="ONUMA"/>
      </w:pPr>
      <w:r w:rsidRPr="00E1225D">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E1225D">
        <w:rPr>
          <w:rFonts w:hint="eastAsia"/>
          <w:rtl/>
        </w:rPr>
        <w:t> </w:t>
      </w:r>
      <w:r w:rsidRPr="00E1225D">
        <w:rPr>
          <w:rFonts w:hint="cs"/>
          <w:rtl/>
        </w:rPr>
        <w:t>تريبس) والمادة</w:t>
      </w:r>
      <w:r w:rsidRPr="00E1225D">
        <w:rPr>
          <w:rFonts w:hint="eastAsia"/>
          <w:rtl/>
        </w:rPr>
        <w:t> </w:t>
      </w:r>
      <w:r w:rsidRPr="00E1225D">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077DC" w:rsidRPr="00E1225D" w:rsidRDefault="003077DC" w:rsidP="003077DC">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E1225D">
        <w:rPr>
          <w:sz w:val="28"/>
          <w:szCs w:val="28"/>
          <w:vertAlign w:val="superscript"/>
          <w:rtl/>
        </w:rPr>
        <w:footnoteReference w:id="1"/>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077DC" w:rsidRPr="00E1225D" w:rsidRDefault="003077DC" w:rsidP="003077DC">
      <w:pPr>
        <w:pStyle w:val="ONUMA"/>
      </w:pPr>
      <w:r w:rsidRPr="00E1225D">
        <w:rPr>
          <w:rFonts w:hint="cs"/>
          <w:rtl/>
        </w:rPr>
        <w:lastRenderedPageBreak/>
        <w:t>وناقشت اللجنة الحكومية الدولية المعنية بالملكية الفكرية والموارد الوراثية والمعارف التقليدية والفولكلور (لجنة</w:t>
      </w:r>
      <w:r w:rsidRPr="00E1225D">
        <w:rPr>
          <w:rFonts w:hint="eastAsia"/>
          <w:rtl/>
        </w:rPr>
        <w:t> </w:t>
      </w:r>
      <w:r w:rsidRPr="00E1225D">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077DC" w:rsidRPr="00E1225D" w:rsidRDefault="003077DC" w:rsidP="003077DC">
      <w:pPr>
        <w:pStyle w:val="ONUMA"/>
      </w:pPr>
      <w:r w:rsidRPr="00E1225D">
        <w:rPr>
          <w:rFonts w:hint="cs"/>
          <w:rtl/>
        </w:rPr>
        <w:t xml:space="preserve">ونظرت لجنة المعارف، في دورته الأولى (أبريل/مايو 2001)، في الوثيقة </w:t>
      </w:r>
      <w:r w:rsidRPr="00E1225D">
        <w:t>WIPO/GRTKF/IC/1/3</w:t>
      </w:r>
      <w:r w:rsidRPr="00E1225D">
        <w:rPr>
          <w:rFonts w:hint="cs"/>
          <w:rtl/>
        </w:rPr>
        <w:t>،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البيوتكنولوجية."</w:t>
      </w:r>
    </w:p>
    <w:p w:rsidR="003077DC" w:rsidRPr="00E1225D" w:rsidRDefault="003077DC" w:rsidP="003077DC">
      <w:pPr>
        <w:pStyle w:val="ONUMA"/>
      </w:pPr>
      <w:r w:rsidRPr="00E1225D">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E1225D">
        <w:t>WIPO/GRTKF/IC/1/3</w:t>
      </w:r>
      <w:r w:rsidRPr="00E1225D">
        <w:rPr>
          <w:rFonts w:hint="cs"/>
          <w:rtl/>
        </w:rPr>
        <w:t>).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sidRPr="00E1225D">
        <w:rPr>
          <w:rFonts w:hint="eastAsia"/>
          <w:rtl/>
        </w:rPr>
        <w:t> </w:t>
      </w:r>
      <w:r w:rsidRPr="00E1225D">
        <w:rPr>
          <w:bCs/>
        </w:rPr>
        <w:t>WIPO/GRTKF/IC/1/5</w:t>
      </w:r>
      <w:r w:rsidRPr="00E1225D">
        <w:rPr>
          <w:rFonts w:hint="cs"/>
          <w:bCs/>
          <w:rtl/>
        </w:rPr>
        <w:t>).</w:t>
      </w:r>
    </w:p>
    <w:p w:rsidR="003077DC" w:rsidRPr="00E1225D" w:rsidRDefault="003077DC" w:rsidP="003077DC">
      <w:pPr>
        <w:pStyle w:val="ONUMA"/>
      </w:pPr>
      <w:r w:rsidRPr="00E1225D">
        <w:rPr>
          <w:rFonts w:hint="cs"/>
          <w:rtl/>
        </w:rPr>
        <w:t>ومنذ ذلك الوقت، قدمت الدول الأعضاء اقتراحات بشأن شروط الكشف وناقشت لجنة المعارف قضايا مختلفة تتعلق بشروط الكشف الممكنة.</w:t>
      </w:r>
    </w:p>
    <w:p w:rsidR="003077DC" w:rsidRPr="00E1225D" w:rsidRDefault="003077DC" w:rsidP="003077DC">
      <w:pPr>
        <w:pStyle w:val="ONUMA"/>
      </w:pPr>
      <w:r w:rsidRPr="00E1225D">
        <w:rPr>
          <w:rFonts w:hint="cs"/>
          <w:rtl/>
        </w:rPr>
        <w:t>والتمست الجمعية العامة للويبو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3077DC" w:rsidRPr="00E1225D" w:rsidRDefault="003077DC" w:rsidP="003077DC">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Pr>
          <w:rFonts w:hint="cs"/>
          <w:rtl/>
          <w:lang w:bidi="ar-EG"/>
        </w:rPr>
        <w:t>الدورات السادسة والثلاثين والسابعة والثلاثين والثامنة والثلاثين</w:t>
      </w:r>
      <w:r w:rsidR="008E6D34">
        <w:rPr>
          <w:rFonts w:hint="cs"/>
          <w:rtl/>
          <w:lang w:bidi="ar-EG"/>
        </w:rPr>
        <w:t xml:space="preserve"> والتاسعة والثلاثين والأربعين</w:t>
      </w:r>
      <w:r>
        <w:rPr>
          <w:rFonts w:hint="cs"/>
          <w:rtl/>
          <w:lang w:bidi="ar-EG"/>
        </w:rPr>
        <w:t xml:space="preserve"> ولأغراض </w:t>
      </w:r>
      <w:r w:rsidRPr="00E1225D">
        <w:rPr>
          <w:rFonts w:hint="cs"/>
          <w:rtl/>
          <w:lang w:bidi="ar-EG"/>
        </w:rPr>
        <w:t>هذه الدورة</w:t>
      </w:r>
      <w:r>
        <w:rPr>
          <w:rFonts w:hint="cs"/>
          <w:rtl/>
          <w:lang w:bidi="ar-EG"/>
        </w:rPr>
        <w:t xml:space="preserve"> أيضاً</w:t>
      </w:r>
      <w:r w:rsidRPr="00E1225D">
        <w:rPr>
          <w:rFonts w:hint="cs"/>
          <w:rtl/>
          <w:lang w:bidi="ar-EG"/>
        </w:rPr>
        <w:t>.</w:t>
      </w:r>
    </w:p>
    <w:p w:rsidR="003077DC" w:rsidRPr="00E1225D" w:rsidRDefault="003077DC" w:rsidP="003077DC">
      <w:pPr>
        <w:pStyle w:val="Heading3"/>
        <w:rPr>
          <w:b/>
          <w:bCs/>
        </w:rPr>
      </w:pPr>
      <w:r w:rsidRPr="00E1225D">
        <w:rPr>
          <w:rFonts w:hint="cs"/>
          <w:b/>
          <w:bCs/>
          <w:rtl/>
        </w:rPr>
        <w:t>الدراسات والأدلة الصادرة عن الويبو</w:t>
      </w:r>
    </w:p>
    <w:p w:rsidR="003077DC" w:rsidRPr="00E1225D" w:rsidRDefault="003077DC" w:rsidP="003077DC">
      <w:pPr>
        <w:pStyle w:val="ONUMA"/>
      </w:pPr>
      <w:r w:rsidRPr="008E6D34">
        <w:rPr>
          <w:rtl/>
        </w:rPr>
        <w:t>أسئلة رئيسية بخصوص وضع شروط الكشف في البراءات فيما يتعلق بالموارد الوراثية والمعارف التقليدية</w:t>
      </w:r>
      <w:r w:rsidRPr="00E1225D">
        <w:rPr>
          <w:rFonts w:hint="cs"/>
          <w:rtl/>
        </w:rPr>
        <w:t xml:space="preserve"> (متاحة على الرابط التالي: </w:t>
      </w:r>
      <w:hyperlink r:id="rId9" w:history="1">
        <w:r w:rsidRPr="00D440D4">
          <w:rPr>
            <w:rStyle w:val="Hyperlink"/>
            <w:bCs/>
            <w:color w:val="auto"/>
            <w:u w:val="none"/>
          </w:rPr>
          <w:t>https://www.wipo.int/publications/en/details.jsp?id=4194</w:t>
        </w:r>
      </w:hyperlink>
      <w:r w:rsidRPr="00E1225D">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077DC" w:rsidRPr="00E1225D" w:rsidRDefault="003077DC" w:rsidP="008E6D34">
      <w:pPr>
        <w:pStyle w:val="ONUMA"/>
      </w:pPr>
      <w:r w:rsidRPr="008E6D34">
        <w:rPr>
          <w:rFonts w:hint="cs"/>
          <w:rtl/>
        </w:rPr>
        <w:t>جدول شروط الكشف</w:t>
      </w:r>
      <w:r w:rsidRPr="00E1225D">
        <w:rPr>
          <w:rFonts w:hint="cs"/>
          <w:rtl/>
        </w:rPr>
        <w:t xml:space="preserve">، الذي حُدّث في </w:t>
      </w:r>
      <w:r w:rsidR="008E6D34">
        <w:rPr>
          <w:rFonts w:hint="cs"/>
          <w:rtl/>
        </w:rPr>
        <w:t>مايو</w:t>
      </w:r>
      <w:r w:rsidRPr="00E1225D">
        <w:rPr>
          <w:rFonts w:hint="cs"/>
          <w:rtl/>
        </w:rPr>
        <w:t xml:space="preserve"> </w:t>
      </w:r>
      <w:r w:rsidR="008E6D34">
        <w:rPr>
          <w:rFonts w:hint="cs"/>
          <w:rtl/>
        </w:rPr>
        <w:t>2019</w:t>
      </w:r>
      <w:r w:rsidRPr="00E1225D">
        <w:rPr>
          <w:rFonts w:hint="cs"/>
          <w:rtl/>
        </w:rPr>
        <w:t xml:space="preserve"> (متاح على الرابط التالي:</w:t>
      </w:r>
      <w:r w:rsidR="008E6D34" w:rsidRPr="008E6D34">
        <w:t xml:space="preserve"> </w:t>
      </w:r>
      <w:hyperlink r:id="rId10" w:history="1">
        <w:r w:rsidR="008E6D34" w:rsidRPr="008E6D34">
          <w:rPr>
            <w:rStyle w:val="Hyperlink"/>
            <w:color w:val="auto"/>
            <w:u w:val="none"/>
          </w:rPr>
          <w:t>https://www.wipo.int/export/sites/www/tk/en/documents/pdf/genetic_resources_disclosure.pdf</w:t>
        </w:r>
      </w:hyperlink>
      <w:r w:rsidRPr="008E6D34">
        <w:rPr>
          <w:rFonts w:hint="cs"/>
          <w:rtl/>
        </w:rPr>
        <w:t xml:space="preserve">) يشتمل على قائمة مختارة غير حصرية بمقتطفات من النصوص الوطنية والتشريعية التي تنص على شروط كشف </w:t>
      </w:r>
      <w:r w:rsidRPr="00E1225D">
        <w:rPr>
          <w:rFonts w:hint="cs"/>
          <w:rtl/>
        </w:rPr>
        <w:t>محدّدة فيما يخص الموارد الوراثية و/أو المعارف التقليدية.</w:t>
      </w:r>
    </w:p>
    <w:p w:rsidR="003077DC" w:rsidRPr="00E1225D" w:rsidRDefault="003077DC" w:rsidP="003077DC">
      <w:pPr>
        <w:pStyle w:val="ONUMA"/>
      </w:pPr>
      <w:r w:rsidRPr="00E1225D">
        <w:rPr>
          <w:rFonts w:hint="cs"/>
          <w:rtl/>
        </w:rPr>
        <w:t>وبناء على الطلب الصادر عن مؤتمر الأطراف في اتفاقية التنوع البيولوجي في اجتماعه السادس المعقود في أبريل</w:t>
      </w:r>
      <w:r w:rsidRPr="00E1225D">
        <w:rPr>
          <w:rFonts w:hint="eastAsia"/>
          <w:rtl/>
        </w:rPr>
        <w:t> </w:t>
      </w:r>
      <w:r w:rsidRPr="00E1225D">
        <w:rPr>
          <w:rFonts w:hint="cs"/>
          <w:rtl/>
        </w:rPr>
        <w:t xml:space="preserve">2002، أعدت أمانة الويبو </w:t>
      </w:r>
      <w:r w:rsidRPr="00E1225D">
        <w:rPr>
          <w:b/>
          <w:bCs/>
          <w:rtl/>
        </w:rPr>
        <w:t xml:space="preserve">الدراسة التقنية </w:t>
      </w:r>
      <w:r w:rsidRPr="00E1225D">
        <w:rPr>
          <w:rFonts w:hint="cs"/>
          <w:b/>
          <w:bCs/>
          <w:rtl/>
        </w:rPr>
        <w:t>عن</w:t>
      </w:r>
      <w:r w:rsidRPr="00E1225D">
        <w:rPr>
          <w:b/>
          <w:bCs/>
          <w:rtl/>
        </w:rPr>
        <w:t xml:space="preserve"> شروط الكشف في أنظمة البراءات </w:t>
      </w:r>
      <w:r w:rsidRPr="00E1225D">
        <w:rPr>
          <w:rFonts w:hint="cs"/>
          <w:b/>
          <w:bCs/>
          <w:rtl/>
        </w:rPr>
        <w:t>فيما يتعلق</w:t>
      </w:r>
      <w:r w:rsidRPr="00E1225D">
        <w:rPr>
          <w:b/>
          <w:bCs/>
          <w:rtl/>
        </w:rPr>
        <w:t xml:space="preserve"> </w:t>
      </w:r>
      <w:r w:rsidRPr="00E1225D">
        <w:rPr>
          <w:rFonts w:hint="cs"/>
          <w:b/>
          <w:bCs/>
          <w:rtl/>
        </w:rPr>
        <w:t>ب</w:t>
      </w:r>
      <w:r w:rsidRPr="00E1225D">
        <w:rPr>
          <w:b/>
          <w:bCs/>
          <w:rtl/>
        </w:rPr>
        <w:t>الموارد الوراثية والمعارف التقليدية</w:t>
      </w:r>
      <w:r w:rsidRPr="00E1225D">
        <w:rPr>
          <w:rFonts w:hint="cs"/>
          <w:rtl/>
        </w:rPr>
        <w:t xml:space="preserve"> (المتاحة على الرابط التالي: </w:t>
      </w:r>
      <w:hyperlink r:id="rId11" w:history="1">
        <w:r w:rsidRPr="00B84A91">
          <w:rPr>
            <w:rStyle w:val="Hyperlink"/>
            <w:color w:val="auto"/>
            <w:u w:val="none"/>
          </w:rPr>
          <w:t>https://www.wipo.int/edocs/pubdocs/en/tk/786/wipo_pub_786.pdf</w:t>
        </w:r>
      </w:hyperlink>
      <w:r w:rsidRPr="00E1225D">
        <w:rPr>
          <w:rFonts w:hint="cs"/>
          <w:rtl/>
        </w:rPr>
        <w:t xml:space="preserve">) التي وافقت الدورة الثلاثون للجمعية العامة للويبو (سبتمبر 2003) (انظر الوثيقتين </w:t>
      </w:r>
      <w:r w:rsidRPr="00E1225D">
        <w:t>WO/GA/30/7</w:t>
      </w:r>
      <w:r w:rsidRPr="00E1225D">
        <w:rPr>
          <w:rFonts w:hint="cs"/>
          <w:rtl/>
        </w:rPr>
        <w:t xml:space="preserve"> و</w:t>
      </w:r>
      <w:r w:rsidRPr="00E1225D">
        <w:t>O/GA/30/7 ADD.1</w:t>
      </w:r>
      <w:r w:rsidRPr="00E1225D">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sidRPr="00E1225D">
        <w:rPr>
          <w:rFonts w:hint="eastAsia"/>
          <w:rtl/>
        </w:rPr>
        <w:t> </w:t>
      </w:r>
      <w:r w:rsidRPr="00E1225D">
        <w:t>WIPO/GRTKF/IC/3/Q.3</w:t>
      </w:r>
      <w:r w:rsidRPr="00E1225D">
        <w:rPr>
          <w:rFonts w:hint="cs"/>
          <w:rtl/>
        </w:rPr>
        <w:t>). وتحتوي الوثيقة</w:t>
      </w:r>
      <w:r w:rsidRPr="00E1225D">
        <w:rPr>
          <w:rFonts w:hint="eastAsia"/>
          <w:rtl/>
        </w:rPr>
        <w:t> </w:t>
      </w:r>
      <w:r w:rsidRPr="00E1225D">
        <w:t>WIPO/GRTKF/IC/4/11</w:t>
      </w:r>
      <w:r w:rsidRPr="00E1225D">
        <w:rPr>
          <w:rFonts w:hint="cs"/>
          <w:rtl/>
        </w:rPr>
        <w:t xml:space="preserve"> على تجميع للردود المستلمة من الدول الأعضاء على الاستبيان المذكور.</w:t>
      </w:r>
    </w:p>
    <w:p w:rsidR="003077DC" w:rsidRPr="00E1225D" w:rsidRDefault="003077DC" w:rsidP="003077DC">
      <w:pPr>
        <w:pStyle w:val="Heading3"/>
        <w:rPr>
          <w:b/>
          <w:bCs/>
          <w:rtl/>
        </w:rPr>
      </w:pPr>
      <w:r w:rsidRPr="00E1225D">
        <w:rPr>
          <w:rFonts w:hint="cs"/>
          <w:b/>
          <w:bCs/>
          <w:rtl/>
        </w:rPr>
        <w:t>قاعدة بيانات بشأن القوانين واللوائح</w:t>
      </w:r>
    </w:p>
    <w:p w:rsidR="003077DC" w:rsidRPr="00E1225D" w:rsidRDefault="003077DC" w:rsidP="003077DC">
      <w:pPr>
        <w:pStyle w:val="ONUMA"/>
      </w:pPr>
      <w:r w:rsidRPr="00E1225D">
        <w:rPr>
          <w:rFonts w:hint="cs"/>
          <w:rtl/>
        </w:rPr>
        <w:t xml:space="preserve">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hyperlink r:id="rId12" w:history="1">
        <w:r w:rsidRPr="00B84A91">
          <w:rPr>
            <w:rStyle w:val="Hyperlink"/>
            <w:color w:val="auto"/>
            <w:u w:val="none"/>
          </w:rPr>
          <w:t>https://www.wipo.int/tk/en/databases/tklaws/</w:t>
        </w:r>
      </w:hyperlink>
      <w:r w:rsidRPr="00E1225D">
        <w:rPr>
          <w:rFonts w:hint="cs"/>
          <w:rtl/>
        </w:rPr>
        <w:t>.</w:t>
      </w:r>
    </w:p>
    <w:p w:rsidR="003077DC" w:rsidRPr="00E1225D" w:rsidRDefault="003077DC" w:rsidP="003077DC">
      <w:pPr>
        <w:pStyle w:val="Heading3"/>
        <w:rPr>
          <w:b/>
          <w:bCs/>
          <w:rtl/>
        </w:rPr>
      </w:pPr>
      <w:r w:rsidRPr="00E1225D">
        <w:rPr>
          <w:rFonts w:hint="cs"/>
          <w:b/>
          <w:bCs/>
          <w:rtl/>
        </w:rPr>
        <w:t>الاقتراحات المُقدمة من الدول الأعضاء</w:t>
      </w:r>
    </w:p>
    <w:p w:rsidR="003077DC" w:rsidRPr="00E1225D" w:rsidRDefault="003077DC" w:rsidP="003077DC">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077DC" w:rsidRPr="00E1225D" w:rsidRDefault="003077DC" w:rsidP="003077DC">
      <w:pPr>
        <w:pStyle w:val="ONUMA"/>
      </w:pPr>
      <w:r w:rsidRPr="00E1225D">
        <w:rPr>
          <w:rFonts w:hint="cs"/>
          <w:rtl/>
        </w:rPr>
        <w:t>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w:t>
      </w:r>
      <w:r w:rsidRPr="00E1225D">
        <w:rPr>
          <w:rFonts w:hint="eastAsia"/>
          <w:rtl/>
        </w:rPr>
        <w:t> </w:t>
      </w:r>
      <w:r w:rsidRPr="00E1225D">
        <w:rPr>
          <w:rFonts w:hint="cs"/>
          <w:rtl/>
        </w:rPr>
        <w:t>الوثيقة</w:t>
      </w:r>
      <w:r w:rsidRPr="00E1225D">
        <w:rPr>
          <w:rFonts w:hint="eastAsia"/>
          <w:rtl/>
        </w:rPr>
        <w:t> </w:t>
      </w:r>
      <w:r w:rsidRPr="00E1225D">
        <w:t>PCT/R/WG/4/13</w:t>
      </w:r>
      <w:r w:rsidRPr="00E1225D">
        <w:rPr>
          <w:rFonts w:hint="cs"/>
          <w:rtl/>
        </w:rPr>
        <w:t>، والمحتوي نفسه في الوثيقة</w:t>
      </w:r>
      <w:r w:rsidRPr="00E1225D">
        <w:rPr>
          <w:rFonts w:hint="eastAsia"/>
          <w:rtl/>
        </w:rPr>
        <w:t> </w:t>
      </w:r>
      <w:r w:rsidRPr="00E1225D">
        <w:t>PCT/R/WG/5/11</w:t>
      </w:r>
      <w:r w:rsidRPr="00E1225D">
        <w:rPr>
          <w:rFonts w:hint="cs"/>
          <w:rtl/>
        </w:rPr>
        <w:t>).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w:t>
      </w:r>
      <w:r w:rsidRPr="00E1225D">
        <w:rPr>
          <w:rFonts w:hint="eastAsia"/>
          <w:rtl/>
        </w:rPr>
        <w:t> </w:t>
      </w:r>
      <w:r w:rsidRPr="00E1225D">
        <w:t>WIPO/GRTKF/IC/7/INF/5</w:t>
      </w:r>
      <w:r w:rsidRPr="00E1225D">
        <w:rPr>
          <w:rFonts w:hint="cs"/>
          <w:rtl/>
        </w:rPr>
        <w:t xml:space="preserve"> إلى الدورة السابعة للجنة المعارف (نوفمبر</w:t>
      </w:r>
      <w:r w:rsidRPr="00E1225D">
        <w:rPr>
          <w:rFonts w:hint="eastAsia"/>
          <w:rtl/>
        </w:rPr>
        <w:t> </w:t>
      </w:r>
      <w:r w:rsidRPr="00E1225D">
        <w:rPr>
          <w:rFonts w:hint="cs"/>
          <w:rtl/>
        </w:rPr>
        <w:t>2004) لعرض ملاحظاته الإضافية على الاقتراح. وفي الدورة الحادية عشرة للجنة المعارف (يوليو</w:t>
      </w:r>
      <w:r w:rsidRPr="00E1225D">
        <w:rPr>
          <w:rFonts w:hint="eastAsia"/>
          <w:rtl/>
        </w:rPr>
        <w:t> </w:t>
      </w:r>
      <w:r w:rsidRPr="00E1225D">
        <w:rPr>
          <w:rFonts w:hint="cs"/>
          <w:rtl/>
        </w:rPr>
        <w:t>2007)، قدم الوفد اقتراحا (الوثيقة</w:t>
      </w:r>
      <w:r w:rsidRPr="00E1225D">
        <w:rPr>
          <w:rFonts w:hint="eastAsia"/>
          <w:rtl/>
        </w:rPr>
        <w:t> </w:t>
      </w:r>
      <w:r w:rsidRPr="00E1225D">
        <w:t>WIPO/GRTKF/IC/11/10</w:t>
      </w:r>
      <w:r w:rsidRPr="00E1225D">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Pr="00E1225D">
        <w:rPr>
          <w:rFonts w:hint="eastAsia"/>
          <w:rtl/>
        </w:rPr>
        <w:t> </w:t>
      </w:r>
      <w:r w:rsidRPr="00E1225D">
        <w:rPr>
          <w:rFonts w:hint="cs"/>
          <w:rtl/>
        </w:rPr>
        <w:t xml:space="preserve">2003. وقُدم الاقتراح الوارد في الوثيقة </w:t>
      </w:r>
      <w:r w:rsidRPr="00E1225D">
        <w:t>WIPO/GRTKF/IC/11/10</w:t>
      </w:r>
      <w:r w:rsidRPr="00E1225D">
        <w:rPr>
          <w:rFonts w:hint="cs"/>
          <w:rtl/>
        </w:rPr>
        <w:t>، مجددا، في الدورة العشرين للجنة المعارف (فبراير</w:t>
      </w:r>
      <w:r w:rsidRPr="00E1225D">
        <w:rPr>
          <w:rFonts w:hint="eastAsia"/>
          <w:rtl/>
        </w:rPr>
        <w:t> </w:t>
      </w:r>
      <w:r w:rsidRPr="00E1225D">
        <w:rPr>
          <w:rFonts w:hint="cs"/>
          <w:rtl/>
        </w:rPr>
        <w:t xml:space="preserve">2012) في الوثيقة </w:t>
      </w:r>
      <w:r w:rsidRPr="00E1225D">
        <w:t>WIPO/GRTKF/IC/20/INF/10</w:t>
      </w:r>
      <w:r w:rsidRPr="00E1225D">
        <w:rPr>
          <w:rFonts w:hint="cs"/>
          <w:rtl/>
        </w:rPr>
        <w:t>.</w:t>
      </w:r>
    </w:p>
    <w:p w:rsidR="003077DC" w:rsidRPr="00E1225D" w:rsidRDefault="003077DC" w:rsidP="003077DC">
      <w:pPr>
        <w:pStyle w:val="ONUMA"/>
      </w:pPr>
      <w:r w:rsidRPr="00E1225D">
        <w:rPr>
          <w:rFonts w:hint="cs"/>
          <w:rtl/>
        </w:rPr>
        <w:t xml:space="preserve">وفي مارس 2004، قدمت المجموعة الأفريقية وثيقة (الوثيقة </w:t>
      </w:r>
      <w:r w:rsidRPr="00E1225D">
        <w:t>WIPO/GRTKF/IC/6/12</w:t>
      </w:r>
      <w:r w:rsidRPr="00E1225D">
        <w:rPr>
          <w:rFonts w:hint="cs"/>
          <w:rtl/>
        </w:rPr>
        <w:t>) بعنوان "</w:t>
      </w:r>
      <w:r w:rsidRPr="00E1225D">
        <w:rPr>
          <w:rtl/>
        </w:rPr>
        <w:t>أهداف ومبادئ وعناصر لصك دولي واحد أو أكثر بشأن الملكية الفكرية فيما يخص الموارد الوراثية وبشأن حماية المعارف التقليدية والفولكلور</w:t>
      </w:r>
      <w:r w:rsidRPr="00E1225D">
        <w:rPr>
          <w:rFonts w:hint="cs"/>
          <w:rtl/>
        </w:rPr>
        <w:t>".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077DC" w:rsidRPr="00E1225D" w:rsidRDefault="003077DC" w:rsidP="003077DC">
      <w:pPr>
        <w:pStyle w:val="ONUMA"/>
      </w:pPr>
      <w:r w:rsidRPr="00E1225D">
        <w:rPr>
          <w:rFonts w:hint="cs"/>
          <w:rtl/>
        </w:rPr>
        <w:t>وفي يونيو 2005، قدم وفد الاتحاد الأوروبي، باسم الاتحاد الأوروبي والدول الأعضاء فيه، اقتراحا بشأن شروط الكشف بعنوان "</w:t>
      </w:r>
      <w:r w:rsidRPr="00E1225D">
        <w:rPr>
          <w:rtl/>
        </w:rPr>
        <w:t xml:space="preserve">الكشف عن منشأ الموارد الوراثية وما يتصل بها من المعارف التقليدية أو </w:t>
      </w:r>
      <w:r w:rsidRPr="00E1225D">
        <w:rPr>
          <w:rFonts w:hint="cs"/>
          <w:rtl/>
        </w:rPr>
        <w:t xml:space="preserve">عن </w:t>
      </w:r>
      <w:r w:rsidRPr="00E1225D">
        <w:rPr>
          <w:rtl/>
        </w:rPr>
        <w:t>مصدرها في طلبات البراءات</w:t>
      </w:r>
      <w:r w:rsidRPr="00E1225D">
        <w:rPr>
          <w:rFonts w:hint="cs"/>
          <w:rtl/>
        </w:rPr>
        <w:t>". وأدرج الاقتراح في مرفق الوثيقة</w:t>
      </w:r>
      <w:r w:rsidRPr="00E1225D">
        <w:rPr>
          <w:rFonts w:hint="eastAsia"/>
          <w:rtl/>
        </w:rPr>
        <w:t> </w:t>
      </w:r>
      <w:r w:rsidRPr="00E1225D">
        <w:t>WIPO/GRTKF/IC/8/11</w:t>
      </w:r>
      <w:r w:rsidRPr="00E1225D">
        <w:rPr>
          <w:rFonts w:hint="cs"/>
          <w:rtl/>
        </w:rPr>
        <w:t>، التي قُدمت مجددا في الدورة العشرين للجنة المعارف (فبراير 2012) في الوثيقة</w:t>
      </w:r>
      <w:r w:rsidRPr="00E1225D">
        <w:rPr>
          <w:rFonts w:hint="eastAsia"/>
          <w:rtl/>
        </w:rPr>
        <w:t> </w:t>
      </w:r>
      <w:r w:rsidRPr="00E1225D">
        <w:t>WIPO/GRTKF/IC/20/INF/8</w:t>
      </w:r>
      <w:r w:rsidRPr="00E1225D">
        <w:rPr>
          <w:rFonts w:hint="cs"/>
          <w:rtl/>
        </w:rPr>
        <w:t>.</w:t>
      </w:r>
    </w:p>
    <w:p w:rsidR="003077DC" w:rsidRPr="00E1225D" w:rsidRDefault="003077DC" w:rsidP="003077DC">
      <w:pPr>
        <w:pStyle w:val="ONUMA"/>
      </w:pPr>
      <w:r w:rsidRPr="00E1225D">
        <w:rPr>
          <w:rFonts w:hint="cs"/>
          <w:rtl/>
        </w:rPr>
        <w:t>وقدم وفد اليابان وثيقة (الوثيقة</w:t>
      </w:r>
      <w:r w:rsidRPr="00E1225D">
        <w:rPr>
          <w:rFonts w:hint="eastAsia"/>
          <w:rtl/>
        </w:rPr>
        <w:t> </w:t>
      </w:r>
      <w:r w:rsidRPr="00E1225D">
        <w:t>WIPO/GRTKF/IC/9/13</w:t>
      </w:r>
      <w:r w:rsidRPr="00E1225D">
        <w:rPr>
          <w:rFonts w:hint="cs"/>
          <w:rtl/>
        </w:rPr>
        <w:t>) بعنوان "نظام البراءات والموارد الوراثية"، أبدى فيها رأيه حول شروط الكشف. وقُدمت الوثيقة مجددا في الدورة العشرين للجنة المعارف (فبراير 2012) في الوثيقة</w:t>
      </w:r>
      <w:r w:rsidRPr="00E1225D">
        <w:rPr>
          <w:rFonts w:hint="eastAsia"/>
          <w:rtl/>
        </w:rPr>
        <w:t> </w:t>
      </w:r>
      <w:r w:rsidRPr="00E1225D">
        <w:t>WIPO/GRTKF/IC/20/INF/9</w:t>
      </w:r>
      <w:r w:rsidRPr="00E1225D">
        <w:rPr>
          <w:rFonts w:hint="cs"/>
          <w:rtl/>
        </w:rPr>
        <w:t>.</w:t>
      </w:r>
    </w:p>
    <w:p w:rsidR="003077DC" w:rsidRPr="00E1225D" w:rsidRDefault="003077DC" w:rsidP="003077DC">
      <w:pPr>
        <w:pStyle w:val="ONUMA"/>
      </w:pPr>
      <w:r w:rsidRPr="00E1225D">
        <w:rPr>
          <w:rFonts w:hint="cs"/>
          <w:rtl/>
        </w:rPr>
        <w:t>وتحتوي الوثيقة</w:t>
      </w:r>
      <w:r w:rsidRPr="00E1225D">
        <w:rPr>
          <w:rFonts w:hint="eastAsia"/>
          <w:rtl/>
        </w:rPr>
        <w:t> </w:t>
      </w:r>
      <w:r w:rsidRPr="00E1225D">
        <w:t>WIPO/GRTKF/IC/13/9</w:t>
      </w:r>
      <w:r w:rsidRPr="00E1225D">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w:t>
      </w:r>
      <w:r w:rsidRPr="00E1225D">
        <w:rPr>
          <w:rFonts w:hint="eastAsia"/>
          <w:rtl/>
        </w:rPr>
        <w:t> </w:t>
      </w:r>
      <w:r w:rsidRPr="00E1225D">
        <w:rPr>
          <w:rFonts w:hint="cs"/>
          <w:rtl/>
        </w:rPr>
        <w:t xml:space="preserve">2009) في الوثيقة </w:t>
      </w:r>
      <w:r w:rsidRPr="00E1225D">
        <w:t>WIPO/GRTKF/IC/14/9</w:t>
      </w:r>
      <w:r w:rsidRPr="00E1225D">
        <w:rPr>
          <w:rFonts w:hint="cs"/>
          <w:rtl/>
        </w:rPr>
        <w:t>.</w:t>
      </w:r>
    </w:p>
    <w:p w:rsidR="003077DC" w:rsidRPr="00E1225D" w:rsidRDefault="003077DC" w:rsidP="003077DC">
      <w:pPr>
        <w:pStyle w:val="ONUMA"/>
      </w:pPr>
      <w:r w:rsidRPr="00E1225D">
        <w:rPr>
          <w:rFonts w:hint="cs"/>
          <w:rtl/>
        </w:rPr>
        <w:t>وقدمت المجموعة الأفريقية اقتراحا (الوثيقة</w:t>
      </w:r>
      <w:r w:rsidRPr="00E1225D">
        <w:rPr>
          <w:rFonts w:hint="eastAsia"/>
          <w:rtl/>
        </w:rPr>
        <w:t> </w:t>
      </w:r>
      <w:r w:rsidRPr="00E1225D">
        <w:t>WIPO/GRTKF/IC/17/10</w:t>
      </w:r>
      <w:r w:rsidRPr="00E1225D">
        <w:rPr>
          <w:rFonts w:hint="cs"/>
          <w:rtl/>
        </w:rPr>
        <w:t>) بشأن الموارد الوراثية والعمل المقبل، بما فيها ذلك رأيها حول شروط الكشف. وقُدمت الوثيقة مجددا في الدورة العشرين للجنة المعارف (فبراير 2012) في</w:t>
      </w:r>
      <w:r w:rsidRPr="00E1225D">
        <w:rPr>
          <w:rFonts w:hint="eastAsia"/>
          <w:rtl/>
        </w:rPr>
        <w:t> </w:t>
      </w:r>
      <w:r w:rsidRPr="00E1225D">
        <w:rPr>
          <w:rFonts w:hint="cs"/>
          <w:rtl/>
        </w:rPr>
        <w:t>الوثيقة</w:t>
      </w:r>
      <w:r w:rsidRPr="00E1225D">
        <w:rPr>
          <w:rFonts w:hint="eastAsia"/>
          <w:rtl/>
        </w:rPr>
        <w:t> </w:t>
      </w:r>
      <w:r w:rsidRPr="00E1225D">
        <w:t>WIPO/GRTKF/IC/20/INF/12</w:t>
      </w:r>
      <w:r w:rsidRPr="00E1225D">
        <w:rPr>
          <w:rFonts w:hint="cs"/>
          <w:rtl/>
        </w:rPr>
        <w:t>.</w:t>
      </w:r>
    </w:p>
    <w:p w:rsidR="003077DC" w:rsidRPr="00E1225D" w:rsidRDefault="003077DC" w:rsidP="008E6D34">
      <w:pPr>
        <w:pStyle w:val="ONUMA"/>
      </w:pPr>
      <w:r w:rsidRPr="00E1225D">
        <w:rPr>
          <w:rFonts w:hint="cs"/>
          <w:rtl/>
        </w:rPr>
        <w:t>وقدمت وفود كندا واليابان وجمهورية كوريا والولايات المتحدة الأمريكية الوثيقة المعنونة "</w:t>
      </w:r>
      <w:r w:rsidRPr="00E1225D">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E1225D">
        <w:rPr>
          <w:rFonts w:hint="cs"/>
          <w:rtl/>
        </w:rPr>
        <w:t>" في</w:t>
      </w:r>
      <w:r w:rsidRPr="00E1225D">
        <w:rPr>
          <w:rFonts w:hint="eastAsia"/>
          <w:rtl/>
        </w:rPr>
        <w:t> </w:t>
      </w:r>
      <w:r w:rsidRPr="00E1225D">
        <w:rPr>
          <w:rFonts w:hint="cs"/>
          <w:rtl/>
        </w:rPr>
        <w:t>الدورة الثالثة والعشرين للجنة المعارف (فبراير 2013) في الوثيقة</w:t>
      </w:r>
      <w:r w:rsidRPr="00E1225D">
        <w:rPr>
          <w:rFonts w:hint="eastAsia"/>
          <w:rtl/>
        </w:rPr>
        <w:t> </w:t>
      </w:r>
      <w:r w:rsidRPr="00E1225D">
        <w:t>WIPO/GRTKF/IC/23/6</w:t>
      </w:r>
      <w:r w:rsidRPr="00E1225D">
        <w:rPr>
          <w:rFonts w:hint="cs"/>
          <w:rtl/>
        </w:rPr>
        <w:t>. وقُدمت الوثيقة مجددا في الدورات التالية للجنة المعارف (</w:t>
      </w:r>
      <w:r w:rsidRPr="00E1225D">
        <w:t>WIPO/GRTKF/IC/24/6 REV.</w:t>
      </w:r>
      <w:r w:rsidRPr="00E1225D">
        <w:rPr>
          <w:rFonts w:hint="cs"/>
          <w:rtl/>
        </w:rPr>
        <w:t xml:space="preserve"> و</w:t>
      </w:r>
      <w:r w:rsidRPr="00E1225D">
        <w:t>WIPO/GRTKF/IC/26/7</w:t>
      </w:r>
      <w:r w:rsidRPr="00E1225D">
        <w:rPr>
          <w:rFonts w:hint="cs"/>
          <w:rtl/>
        </w:rPr>
        <w:t xml:space="preserve"> و</w:t>
      </w:r>
      <w:r w:rsidRPr="00E1225D">
        <w:t>WIPO/GRTKF/IC/27/8</w:t>
      </w:r>
      <w:r w:rsidRPr="00E1225D">
        <w:rPr>
          <w:rFonts w:hint="cs"/>
          <w:rtl/>
        </w:rPr>
        <w:t xml:space="preserve"> و</w:t>
      </w:r>
      <w:r w:rsidRPr="00E1225D">
        <w:t>WIPO/GRTKF/IC/28/9</w:t>
      </w:r>
      <w:r w:rsidRPr="00E1225D">
        <w:rPr>
          <w:rFonts w:hint="cs"/>
          <w:rtl/>
        </w:rPr>
        <w:t xml:space="preserve"> و</w:t>
      </w:r>
      <w:r w:rsidRPr="00E1225D">
        <w:t>WIPO/GRTKF/IC/29/7</w:t>
      </w:r>
      <w:r w:rsidRPr="00E1225D">
        <w:rPr>
          <w:rFonts w:hint="cs"/>
          <w:rtl/>
        </w:rPr>
        <w:t xml:space="preserve"> و</w:t>
      </w:r>
      <w:r w:rsidRPr="00E1225D">
        <w:t>WIPO/GRTKF/IC/30/8</w:t>
      </w:r>
      <w:r w:rsidRPr="00E1225D">
        <w:rPr>
          <w:rFonts w:hint="cs"/>
          <w:rtl/>
        </w:rPr>
        <w:t xml:space="preserve"> و</w:t>
      </w:r>
      <w:r w:rsidRPr="00E1225D">
        <w:t>WIPO/GRTKF/IC/31/7</w:t>
      </w:r>
      <w:r w:rsidRPr="00E1225D">
        <w:rPr>
          <w:rFonts w:hint="cs"/>
          <w:rtl/>
        </w:rPr>
        <w:t xml:space="preserve"> و</w:t>
      </w:r>
      <w:r w:rsidRPr="00E1225D">
        <w:t>WIPO/GRTKF/IC/32/8</w:t>
      </w:r>
      <w:r w:rsidRPr="00E1225D">
        <w:rPr>
          <w:rFonts w:hint="cs"/>
          <w:rtl/>
        </w:rPr>
        <w:t xml:space="preserve"> و</w:t>
      </w:r>
      <w:r w:rsidRPr="00E1225D">
        <w:t>WIPO/GRTKF/IC/34/11</w:t>
      </w:r>
      <w:r w:rsidRPr="00E1225D">
        <w:rPr>
          <w:rFonts w:hint="cs"/>
          <w:rtl/>
        </w:rPr>
        <w:t xml:space="preserve"> و</w:t>
      </w:r>
      <w:r w:rsidRPr="00E1225D">
        <w:t>WIPO/GRTKF/IC/35/9</w:t>
      </w:r>
      <w:r>
        <w:rPr>
          <w:rFonts w:hint="cs"/>
          <w:rtl/>
        </w:rPr>
        <w:t xml:space="preserve"> </w:t>
      </w:r>
      <w:r w:rsidRPr="00E1225D">
        <w:rPr>
          <w:rFonts w:hint="cs"/>
          <w:rtl/>
        </w:rPr>
        <w:t>و</w:t>
      </w:r>
      <w:r w:rsidRPr="00E1225D">
        <w:t>WIPO/GRTKF/IC/</w:t>
      </w:r>
      <w:r>
        <w:t>36</w:t>
      </w:r>
      <w:r w:rsidRPr="00E1225D">
        <w:t>/9</w:t>
      </w:r>
      <w:r>
        <w:rPr>
          <w:rFonts w:hint="cs"/>
          <w:rtl/>
        </w:rPr>
        <w:t xml:space="preserve"> </w:t>
      </w:r>
      <w:r w:rsidRPr="00E1225D">
        <w:rPr>
          <w:rFonts w:hint="cs"/>
          <w:rtl/>
        </w:rPr>
        <w:t>و</w:t>
      </w:r>
      <w:r w:rsidRPr="00E1225D">
        <w:t>WIPO/GRTKF/IC/</w:t>
      </w:r>
      <w:r>
        <w:t>37</w:t>
      </w:r>
      <w:r w:rsidRPr="00E1225D">
        <w:t>/</w:t>
      </w:r>
      <w:r>
        <w:t>14</w:t>
      </w:r>
      <w:r>
        <w:rPr>
          <w:rFonts w:hint="cs"/>
          <w:rtl/>
        </w:rPr>
        <w:t xml:space="preserve"> </w:t>
      </w:r>
      <w:r w:rsidRPr="00E1225D">
        <w:rPr>
          <w:rFonts w:hint="cs"/>
          <w:rtl/>
        </w:rPr>
        <w:t>و</w:t>
      </w:r>
      <w:r w:rsidRPr="00E1225D">
        <w:t>WIPO/GRTKF/IC/</w:t>
      </w:r>
      <w:r>
        <w:t>38</w:t>
      </w:r>
      <w:r w:rsidRPr="00E1225D">
        <w:t>/</w:t>
      </w:r>
      <w:r>
        <w:t>12</w:t>
      </w:r>
      <w:r w:rsidR="008E6D34">
        <w:rPr>
          <w:rFonts w:hint="cs"/>
          <w:rtl/>
          <w:lang w:val="fr-CH" w:bidi="ar-SY"/>
        </w:rPr>
        <w:t xml:space="preserve"> </w:t>
      </w:r>
      <w:r w:rsidR="008E6D34" w:rsidRPr="00E1225D">
        <w:rPr>
          <w:rFonts w:hint="cs"/>
          <w:rtl/>
        </w:rPr>
        <w:t>و</w:t>
      </w:r>
      <w:r w:rsidR="008E6D34" w:rsidRPr="00E1225D">
        <w:t>WIPO/GRTKF/IC/</w:t>
      </w:r>
      <w:r w:rsidR="008E6D34">
        <w:t>39</w:t>
      </w:r>
      <w:r w:rsidR="008E6D34" w:rsidRPr="00E1225D">
        <w:t>/</w:t>
      </w:r>
      <w:r w:rsidR="008E6D34">
        <w:t>15</w:t>
      </w:r>
      <w:r w:rsidR="008E6D34">
        <w:rPr>
          <w:rFonts w:hint="cs"/>
          <w:rtl/>
        </w:rPr>
        <w:t xml:space="preserve"> </w:t>
      </w:r>
      <w:r w:rsidR="008E6D34" w:rsidRPr="00E1225D">
        <w:rPr>
          <w:rFonts w:hint="cs"/>
          <w:rtl/>
        </w:rPr>
        <w:t>و</w:t>
      </w:r>
      <w:r w:rsidR="008E6D34" w:rsidRPr="00E1225D">
        <w:t>WIPO/GRTKF/IC/</w:t>
      </w:r>
      <w:r w:rsidR="008E6D34">
        <w:t>40</w:t>
      </w:r>
      <w:r w:rsidR="008E6D34" w:rsidRPr="00E1225D">
        <w:t>/</w:t>
      </w:r>
      <w:r w:rsidR="008E6D34">
        <w:t>17</w:t>
      </w:r>
      <w:r w:rsidRPr="00E1225D">
        <w:rPr>
          <w:rFonts w:hint="cs"/>
          <w:rtl/>
        </w:rPr>
        <w:t>)، وانضم وفد الاتحاد الروسي إلى مقدمي الاقتراح.</w:t>
      </w:r>
    </w:p>
    <w:p w:rsidR="003077DC" w:rsidRPr="00E1225D" w:rsidRDefault="003077DC" w:rsidP="003077DC">
      <w:pPr>
        <w:pStyle w:val="Heading3"/>
        <w:rPr>
          <w:b/>
          <w:bCs/>
          <w:rtl/>
        </w:rPr>
      </w:pPr>
      <w:r w:rsidRPr="00E1225D">
        <w:rPr>
          <w:rFonts w:hint="cs"/>
          <w:b/>
          <w:bCs/>
          <w:rtl/>
        </w:rPr>
        <w:t>التجارب الإقليمية والوطنية</w:t>
      </w:r>
    </w:p>
    <w:p w:rsidR="003077DC" w:rsidRPr="00E1225D" w:rsidRDefault="003077DC" w:rsidP="003077DC">
      <w:pPr>
        <w:pStyle w:val="ONUMA"/>
      </w:pPr>
      <w:r w:rsidRPr="00E1225D">
        <w:rPr>
          <w:rFonts w:hint="cs"/>
          <w:rtl/>
        </w:rPr>
        <w:t>وافق فريق الويبو العامل المعني بالبيوتكنولوجيا، في الاجتماع الذي عقده في نوفمبر 1999، على قائمة من الأسئلة حول الممارسات المتعلقة بحماية الدول الأعضاء في الويبو للاختراعات البيوتكنولوجية بناء على نظامي حماية البراءات وحماية الأصناف النباتية أو توليفة منهما. وتعلقت الأسئلة 8 و9 و10 بشروط الكشف الممكنة. وردت 56 دولة عضوا (</w:t>
      </w:r>
      <w:r w:rsidRPr="00E1225D">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وآيسلندا، والهند، وأيرلندا،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1225D">
        <w:rPr>
          <w:rFonts w:hint="cs"/>
          <w:rtl/>
        </w:rPr>
        <w:t xml:space="preserve">وسلوفاكيا، </w:t>
      </w:r>
      <w:r w:rsidRPr="00E1225D">
        <w:rPr>
          <w:rtl/>
        </w:rPr>
        <w:t>وسلوفينيا، وسري</w:t>
      </w:r>
      <w:r w:rsidRPr="00E1225D">
        <w:rPr>
          <w:rFonts w:hint="cs"/>
          <w:rtl/>
        </w:rPr>
        <w:t> </w:t>
      </w:r>
      <w:r w:rsidRPr="00E1225D">
        <w:rPr>
          <w:rtl/>
        </w:rPr>
        <w:t xml:space="preserve">لانكا، والسويد، وسويسرا، وتايلند، </w:t>
      </w:r>
      <w:r w:rsidRPr="00E1225D">
        <w:rPr>
          <w:rFonts w:hint="cs"/>
          <w:rtl/>
        </w:rPr>
        <w:t xml:space="preserve">وجمهورية مقدونيا اليوغوسلافية سابقا، </w:t>
      </w:r>
      <w:r w:rsidRPr="00E1225D">
        <w:rPr>
          <w:rtl/>
        </w:rPr>
        <w:t>والمملكة المتحدة، والولايات المتحدة الأمريكية، وأوروغواي، وأوزبكستان، وفنزويلا، وزامبيا</w:t>
      </w:r>
      <w:r w:rsidRPr="00E1225D">
        <w:rPr>
          <w:rFonts w:hint="cs"/>
          <w:rtl/>
        </w:rPr>
        <w:t xml:space="preserve"> )، هي والاتحاد الأوروبي، على قائمة الأسئلة ككل. وتبيّن الوثيقتان </w:t>
      </w:r>
      <w:r w:rsidRPr="00E1225D">
        <w:t>WIPO/GRTKF/IC/1/6</w:t>
      </w:r>
      <w:r w:rsidRPr="00E1225D">
        <w:rPr>
          <w:rFonts w:hint="cs"/>
          <w:rtl/>
        </w:rPr>
        <w:t xml:space="preserve"> و</w:t>
      </w:r>
      <w:r w:rsidRPr="00E1225D">
        <w:t>WIPO/GRTKF/IC/1/6 Corr.</w:t>
      </w:r>
      <w:r w:rsidRPr="00E1225D">
        <w:rPr>
          <w:rFonts w:hint="cs"/>
          <w:rtl/>
        </w:rPr>
        <w:t>، بطريقة شاملة، المعلومات المُستلمة.</w:t>
      </w:r>
    </w:p>
    <w:p w:rsidR="003077DC" w:rsidRPr="00E1225D" w:rsidRDefault="003077DC" w:rsidP="003077DC">
      <w:pPr>
        <w:pStyle w:val="ONUMA"/>
      </w:pPr>
      <w:r w:rsidRPr="00E1225D">
        <w:rPr>
          <w:rFonts w:hint="cs"/>
          <w:rtl/>
        </w:rPr>
        <w:t xml:space="preserve">وقدم وفد الاتحاد الأوروبي، باسم الاتحاد الأوروبي والدول الأعضاء فيه، الوثيقة </w:t>
      </w:r>
      <w:r w:rsidRPr="00E1225D">
        <w:t>WIPO/GRTKF/IC/1/8</w:t>
      </w:r>
      <w:r w:rsidRPr="00E1225D">
        <w:rPr>
          <w:rFonts w:hint="cs"/>
          <w:rtl/>
        </w:rPr>
        <w:t>، بما</w:t>
      </w:r>
      <w:r w:rsidRPr="00E1225D">
        <w:rPr>
          <w:rFonts w:hint="eastAsia"/>
          <w:rtl/>
        </w:rPr>
        <w:t> </w:t>
      </w:r>
      <w:r w:rsidRPr="00E1225D">
        <w:rPr>
          <w:rFonts w:hint="cs"/>
          <w:rtl/>
        </w:rPr>
        <w:t>في ذلك ثلاثة مرفقات تتعلق بشروط الكشف، بعنوان "</w:t>
      </w:r>
      <w:r w:rsidRPr="00E1225D">
        <w:rPr>
          <w:rtl/>
        </w:rPr>
        <w:t xml:space="preserve"> التوجيه</w:t>
      </w:r>
      <w:r w:rsidRPr="00E1225D">
        <w:t xml:space="preserve">98/44/EC </w:t>
      </w:r>
      <w:r w:rsidRPr="00E1225D">
        <w:rPr>
          <w:rFonts w:hint="cs"/>
          <w:rtl/>
        </w:rPr>
        <w:t xml:space="preserve"> </w:t>
      </w:r>
      <w:r w:rsidRPr="00E1225D">
        <w:rPr>
          <w:rtl/>
        </w:rPr>
        <w:t xml:space="preserve">الصادر عن البرلمان الأوروبي والمجلس الأوروبي بشأن </w:t>
      </w:r>
      <w:r w:rsidRPr="00E1225D">
        <w:rPr>
          <w:rFonts w:hint="cs"/>
          <w:rtl/>
        </w:rPr>
        <w:t>ال</w:t>
      </w:r>
      <w:r w:rsidRPr="00E1225D">
        <w:rPr>
          <w:rtl/>
        </w:rPr>
        <w:t xml:space="preserve">حماية </w:t>
      </w:r>
      <w:r w:rsidRPr="00E1225D">
        <w:rPr>
          <w:rFonts w:hint="cs"/>
          <w:rtl/>
        </w:rPr>
        <w:t>القانونية ل</w:t>
      </w:r>
      <w:r w:rsidRPr="00E1225D">
        <w:rPr>
          <w:rtl/>
        </w:rPr>
        <w:t>لاختراعات البيوتكنولوجية</w:t>
      </w:r>
      <w:r w:rsidRPr="00E1225D">
        <w:rPr>
          <w:rFonts w:hint="cs"/>
          <w:rtl/>
        </w:rPr>
        <w:t>"، و"</w:t>
      </w:r>
      <w:r w:rsidRPr="00E1225D">
        <w:rPr>
          <w:rtl/>
        </w:rPr>
        <w:t xml:space="preserve">مذكرة توضيحية حول البند 27 من </w:t>
      </w:r>
      <w:r w:rsidRPr="00E1225D">
        <w:rPr>
          <w:rFonts w:hint="cs"/>
          <w:rtl/>
        </w:rPr>
        <w:t xml:space="preserve">ذلك </w:t>
      </w:r>
      <w:r w:rsidRPr="00E1225D">
        <w:rPr>
          <w:rtl/>
        </w:rPr>
        <w:t xml:space="preserve">التوجيه </w:t>
      </w:r>
      <w:r w:rsidRPr="00E1225D">
        <w:rPr>
          <w:rFonts w:hint="cs"/>
          <w:rtl/>
        </w:rPr>
        <w:t>بخصوص ب</w:t>
      </w:r>
      <w:r w:rsidRPr="00E1225D">
        <w:rPr>
          <w:rtl/>
        </w:rPr>
        <w:t>يان المنشأ الجغرافي ل</w:t>
      </w:r>
      <w:r w:rsidRPr="00E1225D">
        <w:rPr>
          <w:rFonts w:hint="cs"/>
          <w:rtl/>
        </w:rPr>
        <w:t>ل</w:t>
      </w:r>
      <w:r w:rsidRPr="00E1225D">
        <w:rPr>
          <w:rtl/>
        </w:rPr>
        <w:t>اختراعات البيوتكنولوجي</w:t>
      </w:r>
      <w:r w:rsidRPr="00E1225D">
        <w:rPr>
          <w:rFonts w:hint="cs"/>
          <w:rtl/>
        </w:rPr>
        <w:t>ة"، و"تبليغ من الاتحاد الأوروبي والدول الأعضاء فيه بشأن العلاقة بين اتفاقية التنوع البيولوجي واتفاق تريبس".</w:t>
      </w:r>
    </w:p>
    <w:p w:rsidR="003077DC" w:rsidRPr="00E1225D" w:rsidRDefault="003077DC" w:rsidP="003077DC">
      <w:pPr>
        <w:pStyle w:val="ONUMA"/>
      </w:pPr>
      <w:r w:rsidRPr="00E1225D">
        <w:rPr>
          <w:rFonts w:hint="cs"/>
          <w:rtl/>
        </w:rPr>
        <w:t xml:space="preserve">وقدم وفد إسبانيا الوثيقة </w:t>
      </w:r>
      <w:r w:rsidRPr="00E1225D">
        <w:t>WIPO/GRTKF/IC/2/15</w:t>
      </w:r>
      <w:r w:rsidRPr="00E1225D">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077DC" w:rsidRPr="00E1225D" w:rsidRDefault="003077DC" w:rsidP="003077DC">
      <w:pPr>
        <w:pStyle w:val="ONUMA"/>
      </w:pPr>
      <w:r w:rsidRPr="00E1225D">
        <w:rPr>
          <w:rFonts w:hint="cs"/>
          <w:rtl/>
        </w:rPr>
        <w:t>وقدم وفد بيرو الوثائق الثلاث التالية لأغراض:</w:t>
      </w:r>
    </w:p>
    <w:p w:rsidR="003077DC" w:rsidRPr="00E1225D" w:rsidRDefault="003077DC" w:rsidP="003077DC">
      <w:pPr>
        <w:numPr>
          <w:ilvl w:val="0"/>
          <w:numId w:val="46"/>
        </w:numPr>
        <w:spacing w:after="240" w:line="360" w:lineRule="exact"/>
      </w:pPr>
      <w:r w:rsidRPr="00E1225D">
        <w:rPr>
          <w:rFonts w:hint="cs"/>
          <w:rtl/>
        </w:rPr>
        <w:t>عرض تجربة بلده في مكافحة القرصنة البيولوجية، بما في ذلك رأيه حول شروط الكشف (الوثيقة</w:t>
      </w:r>
      <w:r w:rsidRPr="00E1225D">
        <w:rPr>
          <w:rFonts w:hint="eastAsia"/>
          <w:rtl/>
        </w:rPr>
        <w:t> </w:t>
      </w:r>
      <w:r w:rsidRPr="00E1225D">
        <w:t>WIPO/GRTKF/IC/8/12</w:t>
      </w:r>
      <w:r w:rsidRPr="00E1225D">
        <w:rPr>
          <w:rFonts w:hint="cs"/>
          <w:rtl/>
        </w:rPr>
        <w:t>)؛</w:t>
      </w:r>
    </w:p>
    <w:p w:rsidR="003077DC" w:rsidRPr="00E1225D" w:rsidRDefault="003077DC" w:rsidP="003077DC">
      <w:pPr>
        <w:numPr>
          <w:ilvl w:val="0"/>
          <w:numId w:val="46"/>
        </w:numPr>
        <w:spacing w:after="240" w:line="360" w:lineRule="exact"/>
      </w:pPr>
      <w:r w:rsidRPr="00E1225D">
        <w:rPr>
          <w:rFonts w:hint="cs"/>
          <w:rtl/>
        </w:rPr>
        <w:t>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تريبس (الوثيقة</w:t>
      </w:r>
      <w:r w:rsidRPr="00E1225D">
        <w:rPr>
          <w:rFonts w:hint="eastAsia"/>
          <w:rtl/>
        </w:rPr>
        <w:t> </w:t>
      </w:r>
      <w:r w:rsidRPr="00E1225D">
        <w:t>WIPO/GRTKF/IC/9/10</w:t>
      </w:r>
      <w:r w:rsidRPr="00E1225D">
        <w:rPr>
          <w:rFonts w:hint="cs"/>
          <w:rtl/>
        </w:rPr>
        <w:t>)؛</w:t>
      </w:r>
    </w:p>
    <w:p w:rsidR="003077DC" w:rsidRPr="00E1225D" w:rsidRDefault="003077DC" w:rsidP="003077DC">
      <w:pPr>
        <w:numPr>
          <w:ilvl w:val="0"/>
          <w:numId w:val="46"/>
        </w:numPr>
        <w:spacing w:after="240" w:line="360" w:lineRule="exact"/>
      </w:pPr>
      <w:r w:rsidRPr="00E1225D">
        <w:rPr>
          <w:rFonts w:hint="cs"/>
          <w:rtl/>
        </w:rPr>
        <w:t>وعرض تجربة بلده في مكافحة القرصنة البيولوجية، بما في ذلك رأيه وتجربته بخصوص شروط الكشف (الوثيقة</w:t>
      </w:r>
      <w:r w:rsidRPr="00E1225D">
        <w:rPr>
          <w:rFonts w:hint="eastAsia"/>
          <w:rtl/>
        </w:rPr>
        <w:t> </w:t>
      </w:r>
      <w:r w:rsidRPr="00E1225D">
        <w:t>WIPO/GRTKF/IC/11/13</w:t>
      </w:r>
      <w:r w:rsidRPr="00E1225D">
        <w:rPr>
          <w:rFonts w:hint="cs"/>
          <w:rtl/>
        </w:rPr>
        <w:t>).</w:t>
      </w:r>
    </w:p>
    <w:p w:rsidR="003077DC" w:rsidRPr="00E1225D" w:rsidRDefault="003077DC" w:rsidP="003077DC">
      <w:pPr>
        <w:pStyle w:val="ONUMA"/>
      </w:pPr>
      <w:r w:rsidRPr="00E1225D">
        <w:rPr>
          <w:rFonts w:hint="cs"/>
          <w:rtl/>
        </w:rPr>
        <w:t>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باندونغ في الفترة من 18 إلى 20 يونيو 2007. ويرد التقرير في الوثيقة</w:t>
      </w:r>
      <w:r w:rsidRPr="00E1225D">
        <w:rPr>
          <w:rFonts w:hint="eastAsia"/>
          <w:rtl/>
        </w:rPr>
        <w:t> </w:t>
      </w:r>
      <w:r w:rsidRPr="00E1225D">
        <w:t>WIPO/GRTKF/IC/11/12</w:t>
      </w:r>
      <w:r w:rsidRPr="00E1225D">
        <w:rPr>
          <w:rFonts w:hint="cs"/>
          <w:rtl/>
        </w:rPr>
        <w:t xml:space="preserve"> ويشتمل على ملخص للعرض الذي قدمته السيدة إنغر هولتن حول آراء النرويج بخصوص شروط الكشف.</w:t>
      </w:r>
    </w:p>
    <w:p w:rsidR="003077DC" w:rsidRDefault="003077DC" w:rsidP="003077DC">
      <w:pPr>
        <w:pStyle w:val="ONUMA"/>
      </w:pPr>
      <w:r w:rsidRPr="00E1225D">
        <w:rPr>
          <w:rFonts w:hint="cs"/>
          <w:rtl/>
        </w:rPr>
        <w:t>ودُعيت الدول الأعضاء والجهات المراقبة، أثناء الدورة الخامسة عشرة للجنة المعارف (ديسمبر 2009)، إلى "</w:t>
      </w:r>
      <w:r w:rsidRPr="00E1225D">
        <w:rPr>
          <w:rtl/>
        </w:rPr>
        <w:t>تزويد الأمانة بدراسات تصف السياسات والتدابير والتج</w:t>
      </w:r>
      <w:r w:rsidRPr="00E1225D">
        <w:rPr>
          <w:rFonts w:hint="cs"/>
          <w:rtl/>
        </w:rPr>
        <w:t>ا</w:t>
      </w:r>
      <w:r w:rsidRPr="00E1225D">
        <w:rPr>
          <w:rtl/>
        </w:rPr>
        <w:t>رب المتعلقة بالملكية الفكرية والموارد الوراثية على صعيد الإقليم والبلد والمجتمع المحلي</w:t>
      </w:r>
      <w:r w:rsidRPr="00E1225D">
        <w:rPr>
          <w:rFonts w:hint="cs"/>
          <w:rtl/>
        </w:rPr>
        <w:t>". وتقاسمت الدول الأعضاء التالية سياساتها أو تدابيرها أو تجاربها المتعلقة بشروط الكشف.</w:t>
      </w:r>
    </w:p>
    <w:p w:rsidR="008E6D34" w:rsidRPr="00E1225D" w:rsidRDefault="008E6D34" w:rsidP="008E6D34">
      <w:pPr>
        <w:pStyle w:val="ONUMA"/>
        <w:numPr>
          <w:ilvl w:val="0"/>
          <w:numId w:val="0"/>
        </w:numPr>
        <w:spacing w:before="0"/>
      </w:pPr>
    </w:p>
    <w:p w:rsidR="003077DC" w:rsidRPr="00E1225D" w:rsidRDefault="003077DC" w:rsidP="008E6D34">
      <w:pPr>
        <w:numPr>
          <w:ilvl w:val="0"/>
          <w:numId w:val="46"/>
        </w:numPr>
      </w:pPr>
      <w:r w:rsidRPr="00E1225D">
        <w:rPr>
          <w:rFonts w:hint="cs"/>
          <w:rtl/>
        </w:rPr>
        <w:t xml:space="preserve">وفد البرازيل (الوثيقة </w:t>
      </w:r>
      <w:r w:rsidRPr="00E1225D">
        <w:t>WIPO/GRTKF/IC/16/INF/9</w:t>
      </w:r>
      <w:r w:rsidRPr="00E1225D">
        <w:rPr>
          <w:rFonts w:hint="cs"/>
          <w:rtl/>
        </w:rPr>
        <w:t>)؛</w:t>
      </w:r>
    </w:p>
    <w:p w:rsidR="003077DC" w:rsidRPr="00E1225D" w:rsidRDefault="003077DC" w:rsidP="008E6D34">
      <w:pPr>
        <w:numPr>
          <w:ilvl w:val="0"/>
          <w:numId w:val="46"/>
        </w:numPr>
      </w:pPr>
      <w:r w:rsidRPr="00E1225D">
        <w:rPr>
          <w:rFonts w:hint="cs"/>
          <w:rtl/>
        </w:rPr>
        <w:t xml:space="preserve">ووفد النرويج (الوثيقة </w:t>
      </w:r>
      <w:r w:rsidRPr="00E1225D">
        <w:t>WIPO/GRTKF/IC/16/INF/12</w:t>
      </w:r>
      <w:r w:rsidRPr="00E1225D">
        <w:rPr>
          <w:rFonts w:hint="cs"/>
          <w:rtl/>
        </w:rPr>
        <w:t>)؛</w:t>
      </w:r>
    </w:p>
    <w:p w:rsidR="003077DC" w:rsidRPr="00E1225D" w:rsidRDefault="003077DC" w:rsidP="008E6D34">
      <w:pPr>
        <w:numPr>
          <w:ilvl w:val="0"/>
          <w:numId w:val="46"/>
        </w:numPr>
      </w:pPr>
      <w:r w:rsidRPr="00E1225D">
        <w:rPr>
          <w:rFonts w:hint="cs"/>
          <w:rtl/>
        </w:rPr>
        <w:t xml:space="preserve">ووفد سويسرا (الوثيقة </w:t>
      </w:r>
      <w:r w:rsidRPr="00E1225D">
        <w:t>WIPO/GRTKF/IC/16/INF/14</w:t>
      </w:r>
      <w:r w:rsidRPr="00E1225D">
        <w:rPr>
          <w:rFonts w:hint="cs"/>
          <w:rtl/>
        </w:rPr>
        <w:t>)؛</w:t>
      </w:r>
    </w:p>
    <w:p w:rsidR="003077DC" w:rsidRPr="00E1225D" w:rsidRDefault="003077DC" w:rsidP="008E6D34">
      <w:pPr>
        <w:numPr>
          <w:ilvl w:val="0"/>
          <w:numId w:val="46"/>
        </w:numPr>
      </w:pPr>
      <w:r w:rsidRPr="00E1225D">
        <w:rPr>
          <w:rFonts w:hint="cs"/>
          <w:rtl/>
        </w:rPr>
        <w:t xml:space="preserve">ووفد الاتحاد الأوروبي والدول الأعضاء فيه (الوثيقة </w:t>
      </w:r>
      <w:r w:rsidRPr="00E1225D">
        <w:t>WIPO/GRTKF/IC/16/INF/15</w:t>
      </w:r>
      <w:r w:rsidRPr="00E1225D">
        <w:rPr>
          <w:rFonts w:hint="cs"/>
          <w:rtl/>
        </w:rPr>
        <w:t>)؛</w:t>
      </w:r>
    </w:p>
    <w:p w:rsidR="003077DC" w:rsidRPr="00E1225D" w:rsidRDefault="003077DC" w:rsidP="008E6D34">
      <w:pPr>
        <w:numPr>
          <w:ilvl w:val="0"/>
          <w:numId w:val="46"/>
        </w:numPr>
      </w:pPr>
      <w:r w:rsidRPr="00E1225D">
        <w:rPr>
          <w:rFonts w:hint="cs"/>
          <w:rtl/>
        </w:rPr>
        <w:t xml:space="preserve">ووفد المكسيك (الوثيقة </w:t>
      </w:r>
      <w:r w:rsidRPr="00E1225D">
        <w:t>WIPO/GRTKF/IC/16/INF/16</w:t>
      </w:r>
      <w:r w:rsidRPr="00E1225D">
        <w:rPr>
          <w:rFonts w:hint="cs"/>
          <w:rtl/>
        </w:rPr>
        <w:t>)؛</w:t>
      </w:r>
    </w:p>
    <w:p w:rsidR="003077DC" w:rsidRPr="00E1225D" w:rsidRDefault="003077DC" w:rsidP="008E6D34">
      <w:pPr>
        <w:numPr>
          <w:ilvl w:val="0"/>
          <w:numId w:val="46"/>
        </w:numPr>
      </w:pPr>
      <w:r w:rsidRPr="00E1225D">
        <w:rPr>
          <w:rFonts w:hint="cs"/>
          <w:rtl/>
        </w:rPr>
        <w:t xml:space="preserve">وممثلو </w:t>
      </w:r>
      <w:r w:rsidRPr="00E1225D">
        <w:rPr>
          <w:rtl/>
        </w:rPr>
        <w:t>منظمة الصناعات البيوتكنولوجية (</w:t>
      </w:r>
      <w:r w:rsidRPr="00E1225D">
        <w:t>BIO</w:t>
      </w:r>
      <w:r w:rsidRPr="00E1225D">
        <w:rPr>
          <w:rtl/>
        </w:rPr>
        <w:t>) والاتحاد الدولي لجمعيات المنتجين الصيدليين (</w:t>
      </w:r>
      <w:r w:rsidRPr="00E1225D">
        <w:t>IFPMA</w:t>
      </w:r>
      <w:r w:rsidRPr="00E1225D">
        <w:rPr>
          <w:rtl/>
        </w:rPr>
        <w:t>)</w:t>
      </w:r>
      <w:r w:rsidRPr="00E1225D">
        <w:rPr>
          <w:rFonts w:hint="cs"/>
          <w:rtl/>
        </w:rPr>
        <w:t xml:space="preserve"> (الوثيقة</w:t>
      </w:r>
      <w:r w:rsidRPr="00E1225D">
        <w:rPr>
          <w:rFonts w:hint="eastAsia"/>
          <w:rtl/>
        </w:rPr>
        <w:t> </w:t>
      </w:r>
      <w:r w:rsidRPr="00E1225D">
        <w:t>WIPO/GRTKF/IC/16/INF/21</w:t>
      </w:r>
      <w:r w:rsidRPr="00E1225D">
        <w:rPr>
          <w:rFonts w:hint="cs"/>
          <w:rtl/>
        </w:rPr>
        <w:t>)؛</w:t>
      </w:r>
    </w:p>
    <w:p w:rsidR="003077DC" w:rsidRPr="00E1225D" w:rsidRDefault="003077DC" w:rsidP="008E6D34">
      <w:pPr>
        <w:numPr>
          <w:ilvl w:val="0"/>
          <w:numId w:val="46"/>
        </w:numPr>
        <w:rPr>
          <w:rtl/>
        </w:rPr>
      </w:pPr>
      <w:r w:rsidRPr="00E1225D">
        <w:rPr>
          <w:rFonts w:hint="cs"/>
          <w:rtl/>
        </w:rPr>
        <w:t xml:space="preserve">ووفد الصين (الوثيقة </w:t>
      </w:r>
      <w:r w:rsidRPr="00E1225D">
        <w:t>WIPO/GRTKF/IC/16/INF/27</w:t>
      </w:r>
      <w:r w:rsidRPr="00E1225D">
        <w:rPr>
          <w:rFonts w:hint="cs"/>
          <w:rtl/>
        </w:rPr>
        <w:t>).</w:t>
      </w:r>
    </w:p>
    <w:p w:rsidR="003077DC" w:rsidRPr="00E1225D" w:rsidRDefault="003077DC" w:rsidP="003077DC">
      <w:pPr>
        <w:pStyle w:val="ONUMA"/>
      </w:pPr>
      <w:r w:rsidRPr="00E1225D">
        <w:rPr>
          <w:rFonts w:hint="cs"/>
          <w:rtl/>
        </w:rPr>
        <w:t xml:space="preserve">وقدم وفد النرويج الوثيقة </w:t>
      </w:r>
      <w:r w:rsidRPr="00E1225D">
        <w:t>WIPO/GRTKF/IC/23/INF/10</w:t>
      </w:r>
      <w:r w:rsidRPr="00E1225D">
        <w:rPr>
          <w:rFonts w:hint="cs"/>
          <w:rtl/>
        </w:rPr>
        <w:t>، التي تصف شروط الكشف في قانون بلده الخاص بالبراءات وقانونه الخاص بمستولدي النباتات وبعض النتائج الأولية المنبثقة عن الاستعراض الجاري لشروط الكشف.</w:t>
      </w:r>
    </w:p>
    <w:p w:rsidR="003077DC" w:rsidRPr="00E1225D" w:rsidRDefault="003077DC" w:rsidP="003077DC">
      <w:pPr>
        <w:pStyle w:val="ONUMA"/>
      </w:pPr>
      <w:r w:rsidRPr="00E1225D">
        <w:rPr>
          <w:rFonts w:hint="cs"/>
          <w:rtl/>
        </w:rPr>
        <w:t xml:space="preserve">وقدم وفد الولايات المتحدة الأمريكية وثيقة (الوثيقة </w:t>
      </w:r>
      <w:r w:rsidRPr="00E1225D">
        <w:t>WIPO/GRTKF/IC/30/9</w:t>
      </w:r>
      <w:r w:rsidRPr="00E1225D">
        <w:rPr>
          <w:rFonts w:hint="cs"/>
          <w:rtl/>
        </w:rPr>
        <w:t>) بعنوان "</w:t>
      </w:r>
      <w:r w:rsidRPr="00E1225D">
        <w:rPr>
          <w:rtl/>
        </w:rPr>
        <w:t xml:space="preserve"> السعي إلى فهم أفضل لقانون سويسرا الاتحادي بشأن حماية الطبيعة والتراث الثقافي</w:t>
      </w:r>
      <w:r w:rsidRPr="00E1225D">
        <w:rPr>
          <w:rFonts w:hint="cs"/>
          <w:rtl/>
        </w:rPr>
        <w:t xml:space="preserve"> </w:t>
      </w:r>
      <w:r w:rsidRPr="00E1225D">
        <w:rPr>
          <w:rtl/>
        </w:rPr>
        <w:t>والقانون الاتحادي بشأن براءات الاختراع من خلال تطبيقهما افتراضياً على براءة الولايات المتحدة رقم 5,137,870"</w:t>
      </w:r>
      <w:r w:rsidRPr="00E1225D">
        <w:rPr>
          <w:rFonts w:hint="cs"/>
          <w:rtl/>
        </w:rPr>
        <w:t>. واستجابة لتلك الوثيقة، قدم وفد سويسرا وثيقة (الوثيقة</w:t>
      </w:r>
      <w:r w:rsidRPr="00E1225D">
        <w:rPr>
          <w:rFonts w:hint="eastAsia"/>
          <w:rtl/>
        </w:rPr>
        <w:t> </w:t>
      </w:r>
      <w:r w:rsidRPr="00E1225D">
        <w:t>WIPO/GRTKF/IC/31/8</w:t>
      </w:r>
      <w:r w:rsidRPr="00E1225D">
        <w:rPr>
          <w:rFonts w:hint="cs"/>
          <w:rtl/>
        </w:rPr>
        <w:t>) بعنوان "</w:t>
      </w:r>
      <w:r w:rsidRPr="00E1225D">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Pr="00E1225D">
        <w:rPr>
          <w:rFonts w:hint="cs"/>
          <w:rtl/>
        </w:rPr>
        <w:t> </w:t>
      </w:r>
      <w:r w:rsidRPr="00E1225D">
        <w:t>WIPO/GRTKF/IC/30/9</w:t>
      </w:r>
      <w:r w:rsidRPr="00E1225D">
        <w:rPr>
          <w:rFonts w:hint="cs"/>
          <w:rtl/>
        </w:rPr>
        <w:t>".</w:t>
      </w:r>
    </w:p>
    <w:p w:rsidR="003077DC" w:rsidRPr="00E1225D" w:rsidRDefault="003077DC" w:rsidP="003077DC">
      <w:pPr>
        <w:pStyle w:val="ONUMA"/>
      </w:pPr>
      <w:r w:rsidRPr="00E1225D">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077DC" w:rsidRPr="00175EE4" w:rsidRDefault="003077DC" w:rsidP="003077DC">
      <w:pPr>
        <w:numPr>
          <w:ilvl w:val="0"/>
          <w:numId w:val="46"/>
        </w:numPr>
        <w:spacing w:after="240" w:line="360" w:lineRule="exact"/>
        <w:ind w:left="1134" w:hanging="567"/>
      </w:pPr>
      <w:r w:rsidRPr="00175EE4">
        <w:rPr>
          <w:rFonts w:hint="cs"/>
          <w:rtl/>
        </w:rPr>
        <w:t xml:space="preserve">البرازيل: </w:t>
      </w:r>
      <w:hyperlink r:id="rId13" w:history="1">
        <w:r w:rsidRPr="00B84A91">
          <w:rPr>
            <w:rStyle w:val="Hyperlink"/>
            <w:rFonts w:hint="cs"/>
            <w:color w:val="auto"/>
            <w:u w:val="none"/>
          </w:rPr>
          <w:t>http</w:t>
        </w:r>
        <w:r w:rsidRPr="00B84A91">
          <w:rPr>
            <w:rStyle w:val="Hyperlink"/>
            <w:color w:val="auto"/>
            <w:u w:val="none"/>
          </w:rPr>
          <w:t>s</w:t>
        </w:r>
        <w:r w:rsidRPr="00B84A91">
          <w:rPr>
            <w:rStyle w:val="Hyperlink"/>
            <w:rFonts w:hint="cs"/>
            <w:color w:val="auto"/>
            <w:u w:val="none"/>
          </w:rPr>
          <w:t>://www.wipo.int/edocs/mdocs/tk/en/wipo_iptk_ge_16/wipo_iptk_ge_16_presentation_8pinto.pdf</w:t>
        </w:r>
      </w:hyperlink>
      <w:r w:rsidRPr="00B84A91">
        <w:rPr>
          <w:rFonts w:hint="cs"/>
          <w:rtl/>
        </w:rPr>
        <w:t>؛</w:t>
      </w:r>
    </w:p>
    <w:p w:rsidR="003077DC" w:rsidRPr="00B84A91" w:rsidRDefault="003077DC" w:rsidP="003077DC">
      <w:pPr>
        <w:numPr>
          <w:ilvl w:val="0"/>
          <w:numId w:val="46"/>
        </w:numPr>
        <w:spacing w:after="240" w:line="360" w:lineRule="exact"/>
        <w:ind w:left="1134" w:hanging="567"/>
      </w:pPr>
      <w:r w:rsidRPr="00175EE4">
        <w:rPr>
          <w:rFonts w:hint="cs"/>
          <w:rtl/>
        </w:rPr>
        <w:t xml:space="preserve">الصين: </w:t>
      </w:r>
      <w:hyperlink r:id="rId14" w:history="1">
        <w:r w:rsidRPr="00B84A91">
          <w:rPr>
            <w:rStyle w:val="Hyperlink"/>
            <w:color w:val="auto"/>
            <w:u w:val="none"/>
            <w:lang w:val="es-ES_tradnl"/>
          </w:rPr>
          <w:t>https://www.wipo.int/edocs/mdocs/tk/en/wipo_iptk_ge_16/wipo_iptk_ge_16_presentation_9yang.pdf</w:t>
        </w:r>
      </w:hyperlink>
      <w:r w:rsidRPr="00B84A91">
        <w:rPr>
          <w:rFonts w:hint="cs"/>
          <w:rtl/>
        </w:rPr>
        <w:t>؛</w:t>
      </w:r>
    </w:p>
    <w:p w:rsidR="003077DC" w:rsidRPr="00B84A91" w:rsidRDefault="003077DC" w:rsidP="003077DC">
      <w:pPr>
        <w:numPr>
          <w:ilvl w:val="0"/>
          <w:numId w:val="46"/>
        </w:numPr>
        <w:spacing w:after="240" w:line="360" w:lineRule="exact"/>
        <w:ind w:left="1134" w:hanging="567"/>
      </w:pPr>
      <w:r w:rsidRPr="00175EE4">
        <w:rPr>
          <w:rFonts w:hint="cs"/>
          <w:rtl/>
        </w:rPr>
        <w:t xml:space="preserve">بيرو: </w:t>
      </w:r>
      <w:hyperlink r:id="rId15" w:history="1">
        <w:r w:rsidRPr="00B84A91">
          <w:rPr>
            <w:rStyle w:val="Hyperlink"/>
            <w:rFonts w:hint="cs"/>
            <w:color w:val="auto"/>
            <w:u w:val="none"/>
          </w:rPr>
          <w:t>http</w:t>
        </w:r>
        <w:r w:rsidRPr="00B84A91">
          <w:rPr>
            <w:rStyle w:val="Hyperlink"/>
            <w:color w:val="auto"/>
            <w:u w:val="none"/>
          </w:rPr>
          <w:t>s</w:t>
        </w:r>
        <w:r w:rsidRPr="00B84A91">
          <w:rPr>
            <w:rStyle w:val="Hyperlink"/>
            <w:rFonts w:hint="cs"/>
            <w:color w:val="auto"/>
            <w:u w:val="none"/>
          </w:rPr>
          <w:t>://www.wipo.int/edocs/mdocs/tk/en/wipo_iptk_ge_15/wipo_iptk_ge_15_presentation_silvia_solis.pdf</w:t>
        </w:r>
      </w:hyperlink>
      <w:r w:rsidRPr="00B84A91">
        <w:rPr>
          <w:rFonts w:hint="cs"/>
          <w:rtl/>
        </w:rPr>
        <w:t>؛</w:t>
      </w:r>
    </w:p>
    <w:p w:rsidR="003077DC" w:rsidRPr="00175EE4" w:rsidRDefault="003077DC" w:rsidP="003077DC">
      <w:pPr>
        <w:numPr>
          <w:ilvl w:val="0"/>
          <w:numId w:val="46"/>
        </w:numPr>
        <w:spacing w:after="240" w:line="360" w:lineRule="exact"/>
        <w:ind w:left="1134" w:hanging="567"/>
      </w:pPr>
      <w:r w:rsidRPr="00175EE4">
        <w:rPr>
          <w:rFonts w:hint="cs"/>
          <w:rtl/>
        </w:rPr>
        <w:t xml:space="preserve">رومانيا: </w:t>
      </w:r>
      <w:hyperlink r:id="rId16" w:history="1">
        <w:r w:rsidRPr="00B84A91">
          <w:rPr>
            <w:rStyle w:val="Hyperlink"/>
            <w:rFonts w:hint="cs"/>
            <w:color w:val="auto"/>
            <w:u w:val="none"/>
          </w:rPr>
          <w:t>http</w:t>
        </w:r>
        <w:r w:rsidRPr="00B84A91">
          <w:rPr>
            <w:rStyle w:val="Hyperlink"/>
            <w:color w:val="auto"/>
            <w:u w:val="none"/>
          </w:rPr>
          <w:t>s</w:t>
        </w:r>
        <w:r w:rsidRPr="00B84A91">
          <w:rPr>
            <w:rStyle w:val="Hyperlink"/>
            <w:rFonts w:hint="cs"/>
            <w:color w:val="auto"/>
            <w:u w:val="none"/>
          </w:rPr>
          <w:t>://www.wipo.int/edocs/mdocs/tk/en/wipo_iptk_ge_16/wipo_iptk_ge_16_presentation_11gorgescu.pdf</w:t>
        </w:r>
      </w:hyperlink>
      <w:r w:rsidRPr="00175EE4">
        <w:rPr>
          <w:rFonts w:hint="cs"/>
          <w:rtl/>
        </w:rPr>
        <w:t>؛</w:t>
      </w:r>
    </w:p>
    <w:p w:rsidR="003077DC" w:rsidRPr="00175EE4" w:rsidRDefault="003077DC" w:rsidP="003077DC">
      <w:pPr>
        <w:numPr>
          <w:ilvl w:val="0"/>
          <w:numId w:val="46"/>
        </w:numPr>
        <w:spacing w:after="240" w:line="360" w:lineRule="exact"/>
        <w:ind w:left="1134" w:hanging="567"/>
      </w:pPr>
      <w:r w:rsidRPr="00175EE4">
        <w:rPr>
          <w:rFonts w:hint="cs"/>
          <w:rtl/>
        </w:rPr>
        <w:t xml:space="preserve">سويسرا: </w:t>
      </w:r>
      <w:hyperlink r:id="rId17" w:history="1">
        <w:r w:rsidRPr="00B84A91">
          <w:rPr>
            <w:rStyle w:val="Hyperlink"/>
            <w:color w:val="auto"/>
            <w:u w:val="none"/>
          </w:rPr>
          <w:t>https://www.wipo.int/edocs/mdocs/tk/en/wipo_iptk_ge_15/wipo_iptk_ge_15_presentation_martin_girsberger.pdf</w:t>
        </w:r>
      </w:hyperlink>
      <w:r w:rsidRPr="00175EE4">
        <w:rPr>
          <w:rFonts w:hint="cs"/>
          <w:rtl/>
        </w:rPr>
        <w:t>.</w:t>
      </w:r>
    </w:p>
    <w:p w:rsidR="003077DC" w:rsidRPr="00E1225D" w:rsidRDefault="003077DC" w:rsidP="003077DC">
      <w:pPr>
        <w:pStyle w:val="Heading3"/>
        <w:rPr>
          <w:b/>
          <w:bCs/>
          <w:rtl/>
        </w:rPr>
      </w:pPr>
      <w:r w:rsidRPr="00E1225D">
        <w:rPr>
          <w:rFonts w:hint="cs"/>
          <w:b/>
          <w:bCs/>
          <w:rtl/>
        </w:rPr>
        <w:t>التطور التاريخي لنص الموارد الوراثية</w:t>
      </w:r>
    </w:p>
    <w:p w:rsidR="003077DC" w:rsidRPr="00E1225D" w:rsidRDefault="003077DC" w:rsidP="003077DC">
      <w:pPr>
        <w:pStyle w:val="ONUMA"/>
      </w:pPr>
      <w:r w:rsidRPr="00E1225D">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E1225D">
        <w:t>WIPO/GRTKF/IC/11/8 (A)</w:t>
      </w:r>
      <w:r w:rsidRPr="00E1225D">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E1225D">
        <w:t>WIPO/GRTKF/IC/12/8 (A)</w:t>
      </w:r>
      <w:r w:rsidRPr="00E1225D">
        <w:rPr>
          <w:rFonts w:hint="cs"/>
          <w:rtl/>
        </w:rPr>
        <w:t xml:space="preserve"> و</w:t>
      </w:r>
      <w:r w:rsidRPr="00E1225D">
        <w:t>WIPO/GRTKF/IC/13/8 (A)</w:t>
      </w:r>
      <w:r w:rsidRPr="00E1225D">
        <w:rPr>
          <w:rFonts w:hint="cs"/>
          <w:rtl/>
        </w:rPr>
        <w:t xml:space="preserve"> و</w:t>
      </w:r>
      <w:r w:rsidRPr="00E1225D">
        <w:t>WIPO/GRTKF/IC/16/6</w:t>
      </w:r>
      <w:r w:rsidRPr="00E1225D">
        <w:rPr>
          <w:rFonts w:hint="cs"/>
          <w:rtl/>
        </w:rPr>
        <w:t xml:space="preserve"> و</w:t>
      </w:r>
      <w:r w:rsidRPr="00E1225D">
        <w:t>WIPO/GRTKF/IC/17/6</w:t>
      </w:r>
      <w:r w:rsidRPr="00E1225D">
        <w:rPr>
          <w:rFonts w:hint="cs"/>
          <w:rtl/>
        </w:rPr>
        <w:t xml:space="preserve"> و</w:t>
      </w:r>
      <w:r w:rsidRPr="00E1225D">
        <w:t>WIPO/GRTKF/IC/18/10</w:t>
      </w:r>
      <w:r w:rsidRPr="00E1225D">
        <w:rPr>
          <w:rFonts w:hint="cs"/>
          <w:rtl/>
        </w:rPr>
        <w:t xml:space="preserve"> و</w:t>
      </w:r>
      <w:r w:rsidRPr="00E1225D">
        <w:t>WIPO/GRTKF/IC/19/7</w:t>
      </w:r>
      <w:r w:rsidRPr="00E1225D">
        <w:rPr>
          <w:rFonts w:hint="cs"/>
          <w:rtl/>
        </w:rPr>
        <w:t xml:space="preserve"> و</w:t>
      </w:r>
      <w:r w:rsidRPr="00E1225D">
        <w:t>WIPO/GRTKF/IC/20/5</w:t>
      </w:r>
      <w:r w:rsidRPr="00E1225D">
        <w:rPr>
          <w:rFonts w:hint="cs"/>
          <w:rtl/>
        </w:rPr>
        <w:t>).</w:t>
      </w:r>
    </w:p>
    <w:p w:rsidR="003077DC" w:rsidRPr="00E1225D" w:rsidRDefault="003077DC" w:rsidP="003077DC">
      <w:pPr>
        <w:pStyle w:val="ONUMA"/>
      </w:pPr>
      <w:r w:rsidRPr="00E1225D">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sidRPr="00E1225D">
        <w:rPr>
          <w:rFonts w:hint="eastAsia"/>
          <w:rtl/>
        </w:rPr>
        <w:t> </w:t>
      </w:r>
      <w:r w:rsidRPr="00E1225D">
        <w:t>WIPO/GRTKF/IC/18/9</w:t>
      </w:r>
      <w:r w:rsidRPr="00E1225D">
        <w:rPr>
          <w:rFonts w:hint="cs"/>
          <w:rtl/>
        </w:rPr>
        <w:t xml:space="preserve"> المعنونة "</w:t>
      </w:r>
      <w:r w:rsidRPr="00E1225D">
        <w:rPr>
          <w:rtl/>
        </w:rPr>
        <w:t>مشروع الأهداف والمبادئ المتعلقة بالملكية الفكرية والموارد الوراثية</w:t>
      </w:r>
      <w:r w:rsidRPr="00E1225D">
        <w:rPr>
          <w:rFonts w:hint="cs"/>
          <w:rtl/>
        </w:rPr>
        <w:t xml:space="preserve">"، الذي شمل مبادئ حول شروط الكشف الممكنة. ونوقش ذلك المشروع أيضا في الدورتين التاسعة عشرة والعشرين للجنة المعارف (الوثيقتان </w:t>
      </w:r>
      <w:r w:rsidRPr="00E1225D">
        <w:t>WIPO/GRTKF/IC/19/6</w:t>
      </w:r>
      <w:r w:rsidRPr="00E1225D">
        <w:rPr>
          <w:rFonts w:hint="cs"/>
          <w:rtl/>
        </w:rPr>
        <w:t xml:space="preserve"> و</w:t>
      </w:r>
      <w:r w:rsidRPr="00E1225D">
        <w:t>WIPO/GRTKF/IC/20/4</w:t>
      </w:r>
      <w:r w:rsidRPr="00E1225D">
        <w:rPr>
          <w:rFonts w:hint="cs"/>
          <w:rtl/>
        </w:rPr>
        <w:t>). كما</w:t>
      </w:r>
      <w:r w:rsidRPr="00E1225D">
        <w:rPr>
          <w:rFonts w:hint="eastAsia"/>
          <w:rtl/>
        </w:rPr>
        <w:t> </w:t>
      </w:r>
      <w:r w:rsidRPr="00E1225D">
        <w:rPr>
          <w:rFonts w:hint="cs"/>
          <w:rtl/>
        </w:rPr>
        <w:t xml:space="preserve">قدمت البلدان المتشابهة التفكير إسهاما بخصوص الوثيقة </w:t>
      </w:r>
      <w:r w:rsidRPr="00E1225D">
        <w:t>WIPO/GRTKF/IC/18/9</w:t>
      </w:r>
      <w:r w:rsidRPr="00E1225D">
        <w:rPr>
          <w:rFonts w:hint="cs"/>
          <w:rtl/>
        </w:rPr>
        <w:t xml:space="preserve"> وصدر ذلك الإسهام في الوثيقة</w:t>
      </w:r>
      <w:r w:rsidRPr="00E1225D">
        <w:rPr>
          <w:rFonts w:hint="eastAsia"/>
          <w:rtl/>
        </w:rPr>
        <w:t> </w:t>
      </w:r>
      <w:r w:rsidRPr="00E1225D">
        <w:t>WIPO/GRTKF/IC/19/11</w:t>
      </w:r>
      <w:r w:rsidRPr="00E1225D">
        <w:rPr>
          <w:rFonts w:hint="cs"/>
          <w:rtl/>
        </w:rPr>
        <w:t>، وأعيد إصداره لاحقا في الوثيقة</w:t>
      </w:r>
      <w:r w:rsidRPr="00E1225D">
        <w:rPr>
          <w:rFonts w:hint="eastAsia"/>
          <w:rtl/>
        </w:rPr>
        <w:t> </w:t>
      </w:r>
      <w:r w:rsidRPr="00E1225D">
        <w:t>WIPO/GRTKF/IC/20/6</w:t>
      </w:r>
      <w:r w:rsidRPr="00E1225D">
        <w:rPr>
          <w:rFonts w:hint="cs"/>
          <w:rtl/>
        </w:rPr>
        <w:t>.</w:t>
      </w:r>
    </w:p>
    <w:p w:rsidR="003077DC" w:rsidRDefault="003077DC" w:rsidP="002A353F">
      <w:pPr>
        <w:pStyle w:val="ONUMA"/>
      </w:pPr>
      <w:r w:rsidRPr="00E1225D">
        <w:rPr>
          <w:rFonts w:hint="cs"/>
          <w:rtl/>
        </w:rPr>
        <w:t>وأعدّت لجنة المعارف في دورتها العشرين (فبراير 2012) "</w:t>
      </w:r>
      <w:r w:rsidRPr="00E1225D">
        <w:rPr>
          <w:rtl/>
        </w:rPr>
        <w:t>وثيقة موحدة بشأن الملكية الفكرية والموارد الوراثية</w:t>
      </w:r>
      <w:r w:rsidRPr="00E1225D">
        <w:rPr>
          <w:rFonts w:hint="cs"/>
          <w:rtl/>
        </w:rPr>
        <w:t xml:space="preserve">" (الوثيقة </w:t>
      </w:r>
      <w:r w:rsidRPr="00E1225D">
        <w:t>WIPO/GRTKF/IC/23/4</w:t>
      </w:r>
      <w:r w:rsidRPr="00E1225D">
        <w:rPr>
          <w:rFonts w:hint="cs"/>
          <w:rtl/>
        </w:rPr>
        <w:t>). وتشتمل تلك الوثيقة على مشروعات أحكام تتناول شروط الكشف. وناقشت لجنة المعارف أيضا النص ومضت به قدما في دوراتها التالية (</w:t>
      </w:r>
      <w:r w:rsidRPr="00E1225D">
        <w:t>WIPO/GRTKF/IC/25/5</w:t>
      </w:r>
      <w:r w:rsidRPr="00E1225D">
        <w:rPr>
          <w:rFonts w:hint="cs"/>
          <w:rtl/>
        </w:rPr>
        <w:t xml:space="preserve"> و</w:t>
      </w:r>
      <w:r w:rsidRPr="00E1225D">
        <w:t>WIPO/GRTKF/IC/26/4</w:t>
      </w:r>
      <w:r w:rsidRPr="00E1225D">
        <w:rPr>
          <w:rFonts w:hint="cs"/>
          <w:rtl/>
        </w:rPr>
        <w:t xml:space="preserve"> و</w:t>
      </w:r>
      <w:r w:rsidRPr="00E1225D">
        <w:t>WIPO/GRTKF/IC/28/4</w:t>
      </w:r>
      <w:r w:rsidRPr="00E1225D">
        <w:rPr>
          <w:rFonts w:hint="cs"/>
          <w:rtl/>
        </w:rPr>
        <w:t xml:space="preserve"> و</w:t>
      </w:r>
      <w:r w:rsidRPr="00E1225D">
        <w:t>WIPO/GRTKF/IC/29/4</w:t>
      </w:r>
      <w:r w:rsidRPr="00E1225D">
        <w:rPr>
          <w:rFonts w:hint="cs"/>
          <w:rtl/>
        </w:rPr>
        <w:t xml:space="preserve"> و</w:t>
      </w:r>
      <w:r w:rsidRPr="00E1225D">
        <w:t>WIPO/GRTKF/IC/30/4</w:t>
      </w:r>
      <w:r w:rsidRPr="00E1225D">
        <w:rPr>
          <w:rFonts w:hint="cs"/>
          <w:rtl/>
        </w:rPr>
        <w:t xml:space="preserve"> و</w:t>
      </w:r>
      <w:r w:rsidRPr="00E1225D">
        <w:t>WIPO/GRTKF/IC/34/4</w:t>
      </w:r>
      <w:r w:rsidRPr="00E1225D">
        <w:rPr>
          <w:rFonts w:hint="cs"/>
          <w:rtl/>
        </w:rPr>
        <w:t xml:space="preserve"> و</w:t>
      </w:r>
      <w:r w:rsidRPr="00E1225D">
        <w:t>WIPO/GRTKF/IC/35/4</w:t>
      </w:r>
      <w:r>
        <w:rPr>
          <w:rFonts w:hint="cs"/>
          <w:rtl/>
        </w:rPr>
        <w:t xml:space="preserve"> </w:t>
      </w:r>
      <w:r w:rsidRPr="00E1225D">
        <w:rPr>
          <w:rFonts w:hint="cs"/>
          <w:rtl/>
        </w:rPr>
        <w:t>و</w:t>
      </w:r>
      <w:r w:rsidRPr="00E1225D">
        <w:t>WIPO/GRTKF/IC/</w:t>
      </w:r>
      <w:r>
        <w:t>36</w:t>
      </w:r>
      <w:r w:rsidRPr="00E1225D">
        <w:t>/4</w:t>
      </w:r>
      <w:r w:rsidR="002A353F">
        <w:rPr>
          <w:rFonts w:hint="cs"/>
          <w:rtl/>
        </w:rPr>
        <w:t xml:space="preserve"> </w:t>
      </w:r>
      <w:r w:rsidR="002A353F" w:rsidRPr="00E1225D">
        <w:rPr>
          <w:rFonts w:hint="cs"/>
          <w:rtl/>
        </w:rPr>
        <w:t>و</w:t>
      </w:r>
      <w:r w:rsidR="002A353F" w:rsidRPr="00E1225D">
        <w:t>WIPO/GRTKF/IC/</w:t>
      </w:r>
      <w:r w:rsidR="002A353F">
        <w:t>40</w:t>
      </w:r>
      <w:r w:rsidR="002A353F" w:rsidRPr="00E1225D">
        <w:t>/</w:t>
      </w:r>
      <w:r w:rsidR="002A353F">
        <w:t>6</w:t>
      </w:r>
      <w:r w:rsidR="002A353F">
        <w:rPr>
          <w:rFonts w:hint="cs"/>
          <w:rtl/>
        </w:rPr>
        <w:t xml:space="preserve"> </w:t>
      </w:r>
      <w:r w:rsidR="002A353F" w:rsidRPr="00E1225D">
        <w:rPr>
          <w:rFonts w:hint="cs"/>
          <w:rtl/>
        </w:rPr>
        <w:t>و</w:t>
      </w:r>
      <w:r w:rsidR="002A353F" w:rsidRPr="00E1225D">
        <w:t>WIPO/GRTKF/IC/</w:t>
      </w:r>
      <w:r w:rsidR="002A353F">
        <w:t>41</w:t>
      </w:r>
      <w:r w:rsidR="002A353F" w:rsidRPr="00E1225D">
        <w:t>/4</w:t>
      </w:r>
      <w:r w:rsidRPr="00E1225D">
        <w:rPr>
          <w:rFonts w:hint="cs"/>
          <w:rtl/>
        </w:rPr>
        <w:t>).</w:t>
      </w:r>
    </w:p>
    <w:p w:rsidR="00BF5B4D" w:rsidRDefault="00C84755" w:rsidP="00D266BA">
      <w:pPr>
        <w:pStyle w:val="ONUMA"/>
      </w:pPr>
      <w:r>
        <w:rPr>
          <w:rFonts w:hint="cs"/>
          <w:rtl/>
          <w:lang w:val="fr-CH" w:bidi="ar-SY"/>
        </w:rPr>
        <w:t>و</w:t>
      </w:r>
      <w:bookmarkStart w:id="3" w:name="_GoBack"/>
      <w:bookmarkEnd w:id="3"/>
      <w:r w:rsidR="00BF5B4D">
        <w:rPr>
          <w:rFonts w:hint="cs"/>
          <w:rtl/>
          <w:lang w:val="fr-CH" w:bidi="ar-SY"/>
        </w:rPr>
        <w:t xml:space="preserve">في أبريل 2019، </w:t>
      </w:r>
      <w:r w:rsidR="00BF5B4D" w:rsidRPr="00004DC2">
        <w:rPr>
          <w:rtl/>
        </w:rPr>
        <w:t>أعد السيد</w:t>
      </w:r>
      <w:r w:rsidR="00BF5B4D">
        <w:rPr>
          <w:rFonts w:hint="cs"/>
          <w:rtl/>
        </w:rPr>
        <w:t xml:space="preserve"> إيان غوس،</w:t>
      </w:r>
      <w:r w:rsidR="00BF5B4D" w:rsidRPr="00004DC2">
        <w:rPr>
          <w:rtl/>
        </w:rPr>
        <w:t xml:space="preserve"> رئيس اللجنة الحكومية </w:t>
      </w:r>
      <w:r w:rsidR="00BF5B4D">
        <w:rPr>
          <w:rtl/>
        </w:rPr>
        <w:t>الدولية لفترة السنتين 2018-2019، نص</w:t>
      </w:r>
      <w:r w:rsidR="00BF5B4D">
        <w:rPr>
          <w:rFonts w:hint="cs"/>
          <w:rtl/>
        </w:rPr>
        <w:t>اً</w:t>
      </w:r>
      <w:r w:rsidR="00BF5B4D">
        <w:rPr>
          <w:rtl/>
        </w:rPr>
        <w:t xml:space="preserve"> </w:t>
      </w:r>
      <w:r w:rsidR="00BF5B4D" w:rsidRPr="00D266BA">
        <w:rPr>
          <w:i/>
          <w:iCs/>
          <w:rtl/>
        </w:rPr>
        <w:t>لمشروع</w:t>
      </w:r>
      <w:r w:rsidR="00BF5B4D">
        <w:rPr>
          <w:rtl/>
        </w:rPr>
        <w:t xml:space="preserve"> </w:t>
      </w:r>
      <w:r w:rsidR="00BF5B4D" w:rsidRPr="00D87191">
        <w:rPr>
          <w:i/>
          <w:iCs/>
          <w:rtl/>
        </w:rPr>
        <w:t xml:space="preserve">صك قانوني دولي </w:t>
      </w:r>
      <w:r w:rsidR="00BF5B4D" w:rsidRPr="00D87191">
        <w:rPr>
          <w:rFonts w:hint="cs"/>
          <w:i/>
          <w:iCs/>
          <w:rtl/>
        </w:rPr>
        <w:t xml:space="preserve">بشأن </w:t>
      </w:r>
      <w:r w:rsidR="00BF5B4D" w:rsidRPr="00D87191">
        <w:rPr>
          <w:i/>
          <w:iCs/>
          <w:rtl/>
        </w:rPr>
        <w:t>الملكية الفكرية والموارد الوراثية والمعارف التقليدية المرتبطة بالموارد الوراثية</w:t>
      </w:r>
      <w:r w:rsidR="00BF5B4D" w:rsidRPr="00004DC2">
        <w:rPr>
          <w:rtl/>
        </w:rPr>
        <w:t>،</w:t>
      </w:r>
      <w:r w:rsidR="00BF5B4D">
        <w:rPr>
          <w:rFonts w:hint="cs"/>
          <w:rtl/>
        </w:rPr>
        <w:t xml:space="preserve"> يشمل أحكاما</w:t>
      </w:r>
      <w:r w:rsidR="00D266BA">
        <w:rPr>
          <w:rFonts w:hint="cs"/>
          <w:rtl/>
        </w:rPr>
        <w:t>ً</w:t>
      </w:r>
      <w:r w:rsidR="00BF5B4D">
        <w:rPr>
          <w:rFonts w:hint="cs"/>
          <w:rtl/>
        </w:rPr>
        <w:t xml:space="preserve"> بشأن شروط الكشف</w:t>
      </w:r>
      <w:r w:rsidR="00BF5B4D" w:rsidRPr="00004DC2">
        <w:rPr>
          <w:rtl/>
        </w:rPr>
        <w:t xml:space="preserve">. </w:t>
      </w:r>
      <w:r w:rsidR="00BF5B4D">
        <w:rPr>
          <w:rFonts w:hint="cs"/>
          <w:rtl/>
        </w:rPr>
        <w:t xml:space="preserve">ويُدرج النص في </w:t>
      </w:r>
      <w:r w:rsidR="00BF5B4D">
        <w:rPr>
          <w:rtl/>
        </w:rPr>
        <w:t>الوثيقة</w:t>
      </w:r>
      <w:r w:rsidR="00BF5B4D">
        <w:rPr>
          <w:rFonts w:hint="cs"/>
          <w:rtl/>
        </w:rPr>
        <w:t xml:space="preserve"> </w:t>
      </w:r>
      <w:r w:rsidR="00BF5B4D" w:rsidRPr="00D87191">
        <w:t>WIPO/GRTKF/IC/41/5</w:t>
      </w:r>
      <w:r w:rsidR="00BF5B4D" w:rsidRPr="00004DC2">
        <w:rPr>
          <w:rtl/>
        </w:rPr>
        <w:t>.</w:t>
      </w:r>
    </w:p>
    <w:p w:rsidR="003077DC" w:rsidRPr="0030689E" w:rsidRDefault="003077DC" w:rsidP="003077DC">
      <w:pPr>
        <w:pStyle w:val="Heading3"/>
        <w:rPr>
          <w:b/>
          <w:bCs/>
        </w:rPr>
      </w:pPr>
      <w:r w:rsidRPr="00E1225D">
        <w:rPr>
          <w:rFonts w:hint="cs"/>
          <w:b/>
          <w:bCs/>
          <w:rtl/>
        </w:rPr>
        <w:t xml:space="preserve">التطور التاريخي لنص </w:t>
      </w:r>
      <w:r>
        <w:rPr>
          <w:rFonts w:hint="cs"/>
          <w:b/>
          <w:bCs/>
          <w:rtl/>
        </w:rPr>
        <w:t>المعارف التقليدية</w:t>
      </w:r>
    </w:p>
    <w:p w:rsidR="003077DC" w:rsidRPr="00B649F4" w:rsidRDefault="003077DC" w:rsidP="003077DC">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وأعيد النظر </w:t>
      </w:r>
      <w:r>
        <w:rPr>
          <w:rFonts w:hint="cs"/>
          <w:rtl/>
        </w:rPr>
        <w:t>في الوثيقة</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WIPO/GRTKF/IC/16/5</w:t>
      </w:r>
      <w:r>
        <w:rPr>
          <w:rFonts w:hint="cs"/>
          <w:rtl/>
        </w:rPr>
        <w:t xml:space="preserve"> </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r>
        <w:rPr>
          <w:rFonts w:hint="cs"/>
          <w:rtl/>
        </w:rPr>
        <w:t xml:space="preserve"> وتناولت الوثيقة شروط الكشف.</w:t>
      </w:r>
    </w:p>
    <w:p w:rsidR="003077DC" w:rsidRPr="00B649F4" w:rsidRDefault="003077DC" w:rsidP="003077DC">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r w:rsidRPr="00B649F4">
        <w:rPr>
          <w:rtl/>
        </w:rPr>
        <w:t>المعنونة "حماية أشكال التعبير الثقافي التقليدي: مشروع مواد"</w:t>
      </w:r>
      <w:r w:rsidRPr="00B649F4">
        <w:rPr>
          <w:rFonts w:hint="cs"/>
          <w:rtl/>
        </w:rPr>
        <w:t>، و</w:t>
      </w:r>
      <w:r w:rsidRPr="00B649F4">
        <w:rPr>
          <w:rtl/>
        </w:rPr>
        <w:t xml:space="preserve">التي تضمنت </w:t>
      </w:r>
      <w:r>
        <w:rPr>
          <w:rFonts w:hint="cs"/>
          <w:rtl/>
        </w:rPr>
        <w:t>شروط الكشف</w:t>
      </w:r>
      <w:r w:rsidRPr="00B649F4">
        <w:rPr>
          <w:rtl/>
        </w:rPr>
        <w:t>.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 xml:space="preserve">وشملت هذه المساهمة أحكاما بشأن </w:t>
      </w:r>
      <w:r>
        <w:rPr>
          <w:rFonts w:hint="cs"/>
          <w:rtl/>
        </w:rPr>
        <w:t>شروط الكشف</w:t>
      </w:r>
      <w:r w:rsidRPr="00B649F4">
        <w:rPr>
          <w:rtl/>
        </w:rPr>
        <w:t>.</w:t>
      </w:r>
    </w:p>
    <w:p w:rsidR="003077DC" w:rsidRPr="00B649F4" w:rsidRDefault="003077DC" w:rsidP="00BF5B4D">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Pr>
          <w:rtl/>
        </w:rPr>
        <w:t>عدة أحكام تتعلق ب</w:t>
      </w:r>
      <w:r>
        <w:rPr>
          <w:rFonts w:hint="cs"/>
          <w:rtl/>
        </w:rPr>
        <w:t>شروط الكشف</w:t>
      </w:r>
      <w:r w:rsidRPr="00B649F4">
        <w:rPr>
          <w:rtl/>
        </w:rPr>
        <w:t xml:space="preserve">.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و</w:t>
      </w:r>
      <w:r w:rsidRPr="00B649F4">
        <w:t xml:space="preserve"> WIPO/GRTKF/IC/31/4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و</w:t>
      </w:r>
      <w:r w:rsidRPr="00B649F4">
        <w:t>WIPO/GRTKF/IC/</w:t>
      </w:r>
      <w:r>
        <w:t>38</w:t>
      </w:r>
      <w:r w:rsidRPr="00B649F4">
        <w:t>/</w:t>
      </w:r>
      <w:r>
        <w:t>4</w:t>
      </w:r>
      <w:r>
        <w:rPr>
          <w:rFonts w:hint="cs"/>
          <w:rtl/>
        </w:rPr>
        <w:t xml:space="preserve"> و</w:t>
      </w:r>
      <w:r w:rsidRPr="00B649F4">
        <w:t>WIPO/GRTKF/IC/</w:t>
      </w:r>
      <w:r>
        <w:t>39</w:t>
      </w:r>
      <w:r w:rsidRPr="00B649F4">
        <w:t>/</w:t>
      </w:r>
      <w:r>
        <w:t>4</w:t>
      </w:r>
      <w:r w:rsidR="00BF5B4D">
        <w:rPr>
          <w:rFonts w:hint="cs"/>
          <w:rtl/>
        </w:rPr>
        <w:t xml:space="preserve"> و</w:t>
      </w:r>
      <w:r w:rsidR="00BF5B4D" w:rsidRPr="00B649F4">
        <w:t>WIPO/GRTKF/IC/</w:t>
      </w:r>
      <w:r w:rsidR="00BF5B4D">
        <w:t>40</w:t>
      </w:r>
      <w:r w:rsidR="00BF5B4D" w:rsidRPr="00B649F4">
        <w:t>/</w:t>
      </w:r>
      <w:r w:rsidR="00BF5B4D">
        <w:t>4</w:t>
      </w:r>
      <w:r w:rsidR="00BF5B4D">
        <w:rPr>
          <w:rFonts w:hint="cs"/>
          <w:rtl/>
        </w:rPr>
        <w:t xml:space="preserve"> و</w:t>
      </w:r>
      <w:r w:rsidR="00BF5B4D" w:rsidRPr="00B649F4">
        <w:t>WIPO/GRTKF/IC/</w:t>
      </w:r>
      <w:r w:rsidR="00BF5B4D">
        <w:t>41</w:t>
      </w:r>
      <w:r w:rsidR="00BF5B4D" w:rsidRPr="00B649F4">
        <w:t>/</w:t>
      </w:r>
      <w:r w:rsidR="00BF5B4D">
        <w:t>18</w:t>
      </w:r>
      <w:r w:rsidRPr="00B649F4">
        <w:rPr>
          <w:rtl/>
        </w:rPr>
        <w:t>).</w:t>
      </w:r>
    </w:p>
    <w:p w:rsidR="003077DC" w:rsidRPr="00E1225D" w:rsidRDefault="003077DC" w:rsidP="003077DC">
      <w:pPr>
        <w:pStyle w:val="Heading3"/>
        <w:rPr>
          <w:b/>
          <w:bCs/>
        </w:rPr>
      </w:pPr>
      <w:r w:rsidRPr="00E1225D">
        <w:rPr>
          <w:rFonts w:hint="cs"/>
          <w:b/>
          <w:bCs/>
          <w:rtl/>
        </w:rPr>
        <w:t>مواد أخرى</w:t>
      </w:r>
    </w:p>
    <w:p w:rsidR="003077DC" w:rsidRPr="00E1225D" w:rsidRDefault="003077DC" w:rsidP="003077DC">
      <w:pPr>
        <w:pStyle w:val="ONUMA"/>
      </w:pPr>
      <w:r w:rsidRPr="00E1225D">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sidRPr="00E1225D">
        <w:rPr>
          <w:rFonts w:hint="eastAsia"/>
          <w:rtl/>
        </w:rPr>
        <w:t> </w:t>
      </w:r>
      <w:r w:rsidRPr="00E1225D">
        <w:t>WIPO/GRTKF/IC/2/11</w:t>
      </w:r>
      <w:r w:rsidRPr="00E1225D">
        <w:rPr>
          <w:rFonts w:hint="cs"/>
          <w:rtl/>
        </w:rPr>
        <w:t>). ويحتوي التقرير على بعض التوصيات بخصوص شروط الكشف.</w:t>
      </w:r>
    </w:p>
    <w:p w:rsidR="003077DC" w:rsidRPr="00E1225D" w:rsidRDefault="003077DC" w:rsidP="003077DC">
      <w:pPr>
        <w:pStyle w:val="ONUMA"/>
      </w:pPr>
      <w:r w:rsidRPr="00E1225D">
        <w:rPr>
          <w:rFonts w:hint="cs"/>
          <w:rtl/>
        </w:rPr>
        <w:t>وفي الدورة الثالثة عشرة (أكتوبر 2008)، قدمت منظمة الصناعات البيوتكنولوجية (</w:t>
      </w:r>
      <w:r w:rsidRPr="00E1225D">
        <w:t>BIO</w:t>
      </w:r>
      <w:r w:rsidRPr="00E1225D">
        <w:rPr>
          <w:rFonts w:hint="cs"/>
          <w:rtl/>
        </w:rPr>
        <w:t xml:space="preserve">) رأيها حول شروط الكشف في الوثيقة </w:t>
      </w:r>
      <w:r w:rsidRPr="00E1225D">
        <w:t>WIPO/GRTKF/IC/13/8(C)</w:t>
      </w:r>
      <w:r w:rsidRPr="00E1225D">
        <w:rPr>
          <w:rFonts w:hint="cs"/>
          <w:rtl/>
        </w:rPr>
        <w:t>.</w:t>
      </w:r>
    </w:p>
    <w:p w:rsidR="003077DC" w:rsidRDefault="003077DC" w:rsidP="003077DC">
      <w:pPr>
        <w:pStyle w:val="ONUMA"/>
      </w:pPr>
      <w:r w:rsidRPr="00E1225D">
        <w:rPr>
          <w:rFonts w:hint="cs"/>
          <w:rtl/>
        </w:rPr>
        <w:t xml:space="preserve">وطلب </w:t>
      </w:r>
      <w:r w:rsidRPr="00E1225D">
        <w:rPr>
          <w:rtl/>
        </w:rPr>
        <w:t>منتدى الأمم المتحدة الدائم المعني بقضايا الشعوب الأصلية</w:t>
      </w:r>
      <w:r w:rsidRPr="00E1225D">
        <w:rPr>
          <w:rFonts w:hint="cs"/>
          <w:rtl/>
        </w:rPr>
        <w:t>،</w:t>
      </w:r>
      <w:r w:rsidRPr="00E1225D">
        <w:rPr>
          <w:rtl/>
        </w:rPr>
        <w:t xml:space="preserve"> في دورته الحادية عشرة</w:t>
      </w:r>
      <w:r w:rsidRPr="00E1225D">
        <w:rPr>
          <w:rFonts w:hint="cs"/>
          <w:rtl/>
        </w:rPr>
        <w:t>، من أمانة الويبو</w:t>
      </w:r>
      <w:r w:rsidRPr="00E1225D">
        <w:rPr>
          <w:rtl/>
        </w:rPr>
        <w:t xml:space="preserve"> أن تفوض </w:t>
      </w:r>
      <w:r w:rsidRPr="00E1225D">
        <w:rPr>
          <w:rFonts w:hint="cs"/>
          <w:rtl/>
        </w:rPr>
        <w:t>جهة ب</w:t>
      </w:r>
      <w:r w:rsidRPr="00E1225D">
        <w:rPr>
          <w:rtl/>
        </w:rPr>
        <w:t xml:space="preserve">إجراء استعراض تقني </w:t>
      </w:r>
      <w:r w:rsidRPr="00E1225D">
        <w:rPr>
          <w:rFonts w:hint="cs"/>
          <w:rtl/>
        </w:rPr>
        <w:t>مستقل في إطار الحقوق الإنسانية للشعوب الأصلية المنصوص عليها في مشروعات</w:t>
      </w:r>
      <w:r w:rsidRPr="00E1225D">
        <w:rPr>
          <w:rtl/>
        </w:rPr>
        <w:t xml:space="preserve"> </w:t>
      </w:r>
      <w:r w:rsidRPr="00E1225D">
        <w:rPr>
          <w:rFonts w:hint="cs"/>
          <w:rtl/>
        </w:rPr>
        <w:t xml:space="preserve">النصوص التي أعدّتها لجنة المعارف التابعة للويبو. وأعدّ </w:t>
      </w:r>
      <w:r w:rsidRPr="00E1225D">
        <w:rPr>
          <w:rtl/>
        </w:rPr>
        <w:t>الأستاذ جيمس أنايا</w:t>
      </w:r>
      <w:r w:rsidRPr="00E1225D">
        <w:rPr>
          <w:rFonts w:hint="cs"/>
          <w:rtl/>
        </w:rPr>
        <w:t xml:space="preserve">، بشكل مستقل، التقرير المطلوب، الذي قُدم إلى الدورة التاسعة والعشرين للجنة المعارف (فبراير 2016) في الوثيقة </w:t>
      </w:r>
      <w:r w:rsidRPr="00E1225D">
        <w:t>WIPO/GRTKF/IC/29/INF/10</w:t>
      </w:r>
      <w:r w:rsidRPr="00E1225D">
        <w:rPr>
          <w:rFonts w:hint="cs"/>
          <w:rtl/>
        </w:rPr>
        <w:t>. ويحتوي التقرير على رأيه حول شروط الكشف من منظور الشعوب الأصلية. وأتيح التقرير في الدورات التالية للجنة المعارف (</w:t>
      </w:r>
      <w:r w:rsidRPr="00E1225D">
        <w:t>WIPO/GRTKF/IC/30/INF/10</w:t>
      </w:r>
      <w:r w:rsidRPr="00E1225D">
        <w:rPr>
          <w:rFonts w:hint="cs"/>
          <w:rtl/>
        </w:rPr>
        <w:t xml:space="preserve"> و</w:t>
      </w:r>
      <w:r w:rsidRPr="00E1225D">
        <w:t>WIPO/GRTKF/IC/31/INF/9</w:t>
      </w:r>
      <w:r w:rsidRPr="00E1225D">
        <w:rPr>
          <w:rFonts w:hint="cs"/>
          <w:rtl/>
        </w:rPr>
        <w:t xml:space="preserve"> و</w:t>
      </w:r>
      <w:r w:rsidRPr="00E1225D">
        <w:t>WIPO/GRTKF/IC/32/INF/8</w:t>
      </w:r>
      <w:r w:rsidRPr="00E1225D">
        <w:rPr>
          <w:rFonts w:hint="cs"/>
          <w:rtl/>
        </w:rPr>
        <w:t xml:space="preserve"> و</w:t>
      </w:r>
      <w:r w:rsidRPr="00E1225D">
        <w:t>WIPO/GRTKF/IC/33/INF/9</w:t>
      </w:r>
      <w:r w:rsidRPr="00E1225D">
        <w:rPr>
          <w:rFonts w:hint="cs"/>
          <w:rtl/>
        </w:rPr>
        <w:t xml:space="preserve"> و</w:t>
      </w:r>
      <w:r w:rsidRPr="00E1225D">
        <w:t>WIPO/GRTKF/IC/34/INF/8</w:t>
      </w:r>
      <w:r w:rsidRPr="00E1225D">
        <w:rPr>
          <w:rFonts w:hint="cs"/>
          <w:rtl/>
        </w:rPr>
        <w:t>).</w:t>
      </w:r>
    </w:p>
    <w:p w:rsidR="003077DC" w:rsidRDefault="003077DC" w:rsidP="00BF5B4D">
      <w:pPr>
        <w:pStyle w:val="ONUMA"/>
        <w:rPr>
          <w:rtl/>
        </w:rPr>
      </w:pPr>
      <w:r>
        <w:rPr>
          <w:rFonts w:hint="cs"/>
          <w:rtl/>
        </w:rPr>
        <w:t>وفي الدورة السادسة والثلاثين للجنة المعارف، قدم وفد الولايات المتحدة الأمريكية مساهمة بعنوان "</w:t>
      </w:r>
      <w:r>
        <w:rPr>
          <w:rtl/>
        </w:rPr>
        <w:t>الأثر</w:t>
      </w:r>
      <w:r>
        <w:rPr>
          <w:rFonts w:hint="cs"/>
          <w:rtl/>
        </w:rPr>
        <w:t> </w:t>
      </w:r>
      <w:r>
        <w:rPr>
          <w:rtl/>
        </w:rPr>
        <w:t>الاقتصادي لتأخر البراءات وعدم اليقين بشأنها:</w:t>
      </w:r>
      <w:r>
        <w:rPr>
          <w:rFonts w:hint="cs"/>
          <w:rtl/>
        </w:rPr>
        <w:t xml:space="preserve"> </w:t>
      </w:r>
      <w:r>
        <w:rPr>
          <w:rtl/>
        </w:rPr>
        <w:t>مخاوف الولايات المتحدة بشأن المقترحات</w:t>
      </w:r>
      <w:r>
        <w:rPr>
          <w:rFonts w:hint="cs"/>
          <w:rtl/>
        </w:rPr>
        <w:t xml:space="preserve"> </w:t>
      </w:r>
      <w:r>
        <w:rPr>
          <w:rtl/>
        </w:rPr>
        <w:t>المتعلقة بمتطلبات الكشف الجديدة عن البراءات</w:t>
      </w:r>
      <w:r>
        <w:rPr>
          <w:rFonts w:hint="cs"/>
          <w:rtl/>
        </w:rPr>
        <w:t xml:space="preserve">" وردت في مرفق الوثيقة </w:t>
      </w:r>
      <w:r w:rsidRPr="00E04411">
        <w:t>WIPO/GRTKF/IC/36/10</w:t>
      </w:r>
      <w:r>
        <w:rPr>
          <w:rFonts w:hint="cs"/>
          <w:rtl/>
        </w:rPr>
        <w:t>.</w:t>
      </w:r>
      <w:r>
        <w:rPr>
          <w:rFonts w:hint="cs"/>
          <w:rtl/>
          <w:lang w:bidi="ar-EG"/>
        </w:rPr>
        <w:t xml:space="preserve"> وأعي</w:t>
      </w:r>
      <w:r w:rsidR="00BF5B4D">
        <w:rPr>
          <w:rFonts w:hint="cs"/>
          <w:rtl/>
          <w:lang w:bidi="ar-EG"/>
        </w:rPr>
        <w:t>د تقديم الوثيقة في الدور</w:t>
      </w:r>
      <w:r w:rsidR="00BF5B4D">
        <w:rPr>
          <w:rFonts w:hint="cs"/>
          <w:rtl/>
          <w:lang w:val="fr-CH" w:bidi="ar-SY"/>
        </w:rPr>
        <w:t>ات</w:t>
      </w:r>
      <w:r>
        <w:rPr>
          <w:rFonts w:hint="cs"/>
          <w:rtl/>
          <w:lang w:bidi="ar-EG"/>
        </w:rPr>
        <w:t xml:space="preserve"> السابعة والثلاثين والثامنة والثلاثين</w:t>
      </w:r>
      <w:r w:rsidR="00BF5B4D">
        <w:rPr>
          <w:rFonts w:hint="cs"/>
          <w:rtl/>
          <w:lang w:bidi="ar-EG"/>
        </w:rPr>
        <w:t xml:space="preserve"> والتاسعة والثلاثين والأربعين</w:t>
      </w:r>
      <w:r>
        <w:rPr>
          <w:rFonts w:hint="cs"/>
          <w:rtl/>
          <w:lang w:bidi="ar-EG"/>
        </w:rPr>
        <w:t xml:space="preserve"> للجنة في </w:t>
      </w:r>
      <w:r w:rsidR="00BF5B4D">
        <w:rPr>
          <w:rFonts w:hint="cs"/>
          <w:rtl/>
          <w:lang w:bidi="ar-EG"/>
        </w:rPr>
        <w:t>الوثائق</w:t>
      </w:r>
      <w:r>
        <w:rPr>
          <w:rFonts w:hint="cs"/>
          <w:rtl/>
          <w:lang w:bidi="ar-EG"/>
        </w:rPr>
        <w:t xml:space="preserve"> </w:t>
      </w:r>
      <w:r>
        <w:rPr>
          <w:lang w:bidi="ar-EG"/>
        </w:rPr>
        <w:t>WIPO/GRTKF/IC/37/15</w:t>
      </w:r>
      <w:r>
        <w:rPr>
          <w:rFonts w:hint="cs"/>
          <w:rtl/>
          <w:lang w:bidi="ar-EG"/>
        </w:rPr>
        <w:t xml:space="preserve"> </w:t>
      </w:r>
      <w:r>
        <w:rPr>
          <w:rFonts w:hint="cs"/>
          <w:rtl/>
        </w:rPr>
        <w:t>و</w:t>
      </w:r>
      <w:r w:rsidRPr="00B649F4">
        <w:t>WIPO/GRTKF/IC/</w:t>
      </w:r>
      <w:r>
        <w:t>38</w:t>
      </w:r>
      <w:r w:rsidRPr="00B649F4">
        <w:t>/</w:t>
      </w:r>
      <w:r>
        <w:t>15</w:t>
      </w:r>
      <w:r w:rsidR="00BF5B4D">
        <w:rPr>
          <w:rFonts w:hint="cs"/>
          <w:rtl/>
        </w:rPr>
        <w:t xml:space="preserve"> و</w:t>
      </w:r>
      <w:r w:rsidR="00BF5B4D" w:rsidRPr="00B649F4">
        <w:t>WIPO/GRTKF/IC/</w:t>
      </w:r>
      <w:r w:rsidR="00BF5B4D">
        <w:t>39</w:t>
      </w:r>
      <w:r w:rsidR="00BF5B4D" w:rsidRPr="00B649F4">
        <w:t>/</w:t>
      </w:r>
      <w:r w:rsidR="00BF5B4D">
        <w:t>10</w:t>
      </w:r>
      <w:r w:rsidR="00BF5B4D" w:rsidRPr="00BF5B4D">
        <w:rPr>
          <w:rFonts w:hint="cs"/>
          <w:rtl/>
        </w:rPr>
        <w:t xml:space="preserve"> </w:t>
      </w:r>
      <w:r w:rsidR="00BF5B4D">
        <w:rPr>
          <w:rFonts w:hint="cs"/>
          <w:rtl/>
        </w:rPr>
        <w:t>و</w:t>
      </w:r>
      <w:r w:rsidR="00BF5B4D" w:rsidRPr="00B649F4">
        <w:t>WIPO/GRTKF/IC/</w:t>
      </w:r>
      <w:r w:rsidR="00BF5B4D">
        <w:t>40</w:t>
      </w:r>
      <w:r w:rsidR="00BF5B4D" w:rsidRPr="00B649F4">
        <w:t>/</w:t>
      </w:r>
      <w:r w:rsidR="00BF5B4D">
        <w:t>11</w:t>
      </w:r>
      <w:r>
        <w:rPr>
          <w:rFonts w:hint="cs"/>
          <w:rtl/>
          <w:lang w:bidi="ar-EG"/>
        </w:rPr>
        <w:t>.</w:t>
      </w:r>
    </w:p>
    <w:p w:rsidR="003077DC" w:rsidRPr="00E1225D" w:rsidRDefault="003077DC" w:rsidP="003077DC">
      <w:pPr>
        <w:pStyle w:val="ONUMA"/>
      </w:pPr>
      <w:r w:rsidRPr="00E1225D">
        <w:rPr>
          <w:rFonts w:hint="cs"/>
          <w:rtl/>
        </w:rPr>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 وعروضهم متاحة عبر الروابط التالية:</w:t>
      </w:r>
    </w:p>
    <w:p w:rsidR="003077DC" w:rsidRPr="00A00C1E" w:rsidRDefault="003077DC" w:rsidP="003077DC">
      <w:pPr>
        <w:numPr>
          <w:ilvl w:val="0"/>
          <w:numId w:val="46"/>
        </w:numPr>
        <w:spacing w:after="120" w:line="360" w:lineRule="exact"/>
        <w:ind w:left="1124" w:hanging="562"/>
        <w:rPr>
          <w:lang w:val="fr-FR"/>
        </w:rPr>
      </w:pPr>
      <w:r w:rsidRPr="00175EE4">
        <w:rPr>
          <w:rFonts w:hint="cs"/>
          <w:rtl/>
        </w:rPr>
        <w:t xml:space="preserve">السيد بيار دو بليسيس: </w:t>
      </w:r>
      <w:hyperlink r:id="rId18" w:history="1">
        <w:r w:rsidRPr="00A00C1E">
          <w:rPr>
            <w:rStyle w:val="Hyperlink"/>
            <w:color w:val="auto"/>
            <w:u w:val="none"/>
            <w:lang w:val="fr-FR"/>
          </w:rPr>
          <w:t>http</w:t>
        </w:r>
        <w:r w:rsidRPr="00A00C1E">
          <w:rPr>
            <w:rStyle w:val="Hyperlink"/>
            <w:color w:val="auto"/>
            <w:u w:val="none"/>
          </w:rPr>
          <w:t>s</w:t>
        </w:r>
        <w:r w:rsidRPr="00A00C1E">
          <w:rPr>
            <w:rStyle w:val="Hyperlink"/>
            <w:color w:val="auto"/>
            <w:u w:val="none"/>
            <w:lang w:val="fr-FR"/>
          </w:rPr>
          <w:t>://www.wipo.int/edocs/mdocs/tk/en/wipo_iptk_ge_15/wipo_iptk_ge_15_</w:t>
        </w:r>
        <w:r w:rsidRPr="00A00C1E">
          <w:rPr>
            <w:rStyle w:val="Hyperlink"/>
            <w:color w:val="auto"/>
            <w:u w:val="none"/>
          </w:rPr>
          <w:t>presentation</w:t>
        </w:r>
        <w:r w:rsidRPr="00A00C1E">
          <w:rPr>
            <w:rStyle w:val="Hyperlink"/>
            <w:color w:val="auto"/>
            <w:u w:val="none"/>
            <w:lang w:val="fr-FR"/>
          </w:rPr>
          <w:t>_pierre_du_plessis.pdf</w:t>
        </w:r>
      </w:hyperlink>
      <w:r w:rsidRPr="00A00C1E">
        <w:rPr>
          <w:rFonts w:hint="cs"/>
          <w:rtl/>
          <w:lang w:val="fr-FR"/>
        </w:rPr>
        <w:t>؛</w:t>
      </w:r>
    </w:p>
    <w:p w:rsidR="003077DC" w:rsidRPr="00175EE4" w:rsidRDefault="003077DC" w:rsidP="003077DC">
      <w:pPr>
        <w:numPr>
          <w:ilvl w:val="0"/>
          <w:numId w:val="46"/>
        </w:numPr>
        <w:spacing w:after="120" w:line="360" w:lineRule="exact"/>
        <w:ind w:left="1124" w:hanging="562"/>
      </w:pPr>
      <w:r w:rsidRPr="00175EE4">
        <w:rPr>
          <w:rFonts w:hint="cs"/>
          <w:rtl/>
        </w:rPr>
        <w:t xml:space="preserve">والسيدة لاريسا سيمونوفا: </w:t>
      </w:r>
      <w:hyperlink r:id="rId19" w:history="1">
        <w:r w:rsidRPr="00A00C1E">
          <w:rPr>
            <w:rStyle w:val="Hyperlink"/>
            <w:color w:val="auto"/>
            <w:u w:val="none"/>
            <w:lang w:val="es-ES_tradnl"/>
          </w:rPr>
          <w:t>https://www.wipo.int/edocs/mdocs/tk/en/wipo_iptk_ge_15/wipo_iptk_ge_15_</w:t>
        </w:r>
        <w:r w:rsidRPr="00A00C1E">
          <w:rPr>
            <w:rStyle w:val="Hyperlink"/>
            <w:color w:val="auto"/>
            <w:u w:val="none"/>
          </w:rPr>
          <w:t>presentation</w:t>
        </w:r>
        <w:r w:rsidRPr="00A00C1E">
          <w:rPr>
            <w:rStyle w:val="Hyperlink"/>
            <w:color w:val="auto"/>
            <w:u w:val="none"/>
            <w:lang w:val="es-ES_tradnl"/>
          </w:rPr>
          <w:t>_larisa_simonova.pdf</w:t>
        </w:r>
      </w:hyperlink>
      <w:r w:rsidRPr="00175EE4">
        <w:rPr>
          <w:rFonts w:hint="cs"/>
          <w:rtl/>
        </w:rPr>
        <w:t>؛</w:t>
      </w:r>
    </w:p>
    <w:p w:rsidR="003077DC" w:rsidRPr="00A00C1E" w:rsidRDefault="003077DC" w:rsidP="003077DC">
      <w:pPr>
        <w:numPr>
          <w:ilvl w:val="0"/>
          <w:numId w:val="46"/>
        </w:numPr>
        <w:spacing w:after="120" w:line="360" w:lineRule="exact"/>
        <w:ind w:left="1124" w:hanging="562"/>
      </w:pPr>
      <w:r w:rsidRPr="00175EE4">
        <w:rPr>
          <w:rFonts w:hint="cs"/>
          <w:rtl/>
        </w:rPr>
        <w:t xml:space="preserve">والسيد بول أولدهام: </w:t>
      </w:r>
      <w:hyperlink r:id="rId20" w:history="1">
        <w:r w:rsidRPr="00A00C1E">
          <w:rPr>
            <w:rStyle w:val="Hyperlink"/>
            <w:color w:val="auto"/>
            <w:u w:val="none"/>
          </w:rPr>
          <w:t>https://www.wipo.int/edocs/mdocs/tk/en/wipo_iptk_ge_15/wipo_iptk_ge_15_presentation_paul_oldham.pdf</w:t>
        </w:r>
      </w:hyperlink>
      <w:r w:rsidRPr="00A00C1E">
        <w:rPr>
          <w:rFonts w:hint="cs"/>
          <w:rtl/>
        </w:rPr>
        <w:t>؛</w:t>
      </w:r>
    </w:p>
    <w:p w:rsidR="003077DC" w:rsidRPr="00175EE4" w:rsidRDefault="003077DC" w:rsidP="003077DC">
      <w:pPr>
        <w:numPr>
          <w:ilvl w:val="0"/>
          <w:numId w:val="46"/>
        </w:numPr>
        <w:spacing w:after="120" w:line="360" w:lineRule="exact"/>
        <w:ind w:left="1124" w:hanging="562"/>
      </w:pPr>
      <w:r w:rsidRPr="00175EE4">
        <w:rPr>
          <w:rFonts w:hint="cs"/>
          <w:rtl/>
        </w:rPr>
        <w:t xml:space="preserve">والأستاذة روث أوكيجي: </w:t>
      </w:r>
      <w:hyperlink r:id="rId21" w:history="1">
        <w:r w:rsidRPr="00A00C1E">
          <w:rPr>
            <w:rStyle w:val="Hyperlink"/>
            <w:color w:val="auto"/>
            <w:u w:val="none"/>
          </w:rPr>
          <w:t>https://www.wipo.int/edocs/mdocs/tk/en/wipo_iptk_ge_16/wipo_iptk_ge_16_presentation_10okediji.pdf</w:t>
        </w:r>
      </w:hyperlink>
      <w:r w:rsidRPr="00A00C1E">
        <w:rPr>
          <w:rFonts w:hint="cs"/>
          <w:rtl/>
        </w:rPr>
        <w:t>؛</w:t>
      </w:r>
    </w:p>
    <w:p w:rsidR="003077DC" w:rsidRPr="00175EE4" w:rsidRDefault="003077DC" w:rsidP="003077DC">
      <w:pPr>
        <w:numPr>
          <w:ilvl w:val="0"/>
          <w:numId w:val="46"/>
        </w:numPr>
        <w:spacing w:line="360" w:lineRule="exact"/>
        <w:ind w:left="1134" w:hanging="567"/>
      </w:pPr>
      <w:r w:rsidRPr="00175EE4">
        <w:rPr>
          <w:rFonts w:hint="cs"/>
          <w:rtl/>
        </w:rPr>
        <w:t xml:space="preserve">والسيد دومينيك مويلديرمانس: </w:t>
      </w:r>
      <w:hyperlink r:id="rId22" w:history="1">
        <w:r w:rsidRPr="00A00C1E">
          <w:rPr>
            <w:rStyle w:val="Hyperlink"/>
            <w:color w:val="auto"/>
            <w:u w:val="none"/>
          </w:rPr>
          <w:t>https://www.wipo.int/edocs/mdocs/tk/en/wipo_iptk_ge_16/wipo_iptk_ge_16_presentation_12muyldermans.pdf</w:t>
        </w:r>
      </w:hyperlink>
      <w:r w:rsidRPr="00175EE4">
        <w:rPr>
          <w:rFonts w:hint="cs"/>
          <w:rtl/>
        </w:rPr>
        <w:t>؛</w:t>
      </w:r>
    </w:p>
    <w:p w:rsidR="003077DC" w:rsidRPr="00175EE4" w:rsidRDefault="00C84755" w:rsidP="003077DC">
      <w:pPr>
        <w:spacing w:after="480" w:line="360" w:lineRule="exact"/>
        <w:ind w:left="1134"/>
        <w:rPr>
          <w:rtl/>
        </w:rPr>
      </w:pPr>
      <w:hyperlink r:id="rId23" w:history="1">
        <w:r w:rsidR="003077DC" w:rsidRPr="00A00C1E">
          <w:rPr>
            <w:rStyle w:val="Hyperlink"/>
            <w:color w:val="auto"/>
            <w:u w:val="none"/>
          </w:rPr>
          <w:t>https://www.wipo.int/edocs/mdocs/tk/en/wipo_iptk_ge_15/wipo_iptk_ge_15_presentation_dominic_muyldermans.pdf</w:t>
        </w:r>
      </w:hyperlink>
      <w:r w:rsidR="003077DC" w:rsidRPr="00175EE4">
        <w:rPr>
          <w:rFonts w:hint="cs"/>
          <w:rtl/>
        </w:rPr>
        <w:t>.</w:t>
      </w:r>
    </w:p>
    <w:p w:rsidR="003077DC" w:rsidRPr="00E1225D" w:rsidRDefault="003077DC" w:rsidP="003077DC">
      <w:pPr>
        <w:pStyle w:val="Decision"/>
      </w:pPr>
      <w:r w:rsidRPr="00E1225D">
        <w:rPr>
          <w:rFonts w:hint="cs"/>
          <w:rtl/>
        </w:rPr>
        <w:t>إن اللجنة مدعوةٌ إلى الإحاطة علما بهذه</w:t>
      </w:r>
      <w:r w:rsidRPr="00E1225D">
        <w:rPr>
          <w:rFonts w:hint="eastAsia"/>
          <w:rtl/>
        </w:rPr>
        <w:t> </w:t>
      </w:r>
      <w:r w:rsidRPr="00E1225D">
        <w:rPr>
          <w:rFonts w:hint="cs"/>
          <w:rtl/>
        </w:rPr>
        <w:t>الوثيقة، وتقديم كل ما ترغب من تعليقات، بما</w:t>
      </w:r>
      <w:r w:rsidRPr="00E1225D">
        <w:rPr>
          <w:rFonts w:hint="eastAsia"/>
          <w:rtl/>
        </w:rPr>
        <w:t> </w:t>
      </w:r>
      <w:r w:rsidRPr="00E1225D">
        <w:rPr>
          <w:rFonts w:hint="cs"/>
          <w:rtl/>
        </w:rPr>
        <w:t>في ذلك تحديد أية فجوات.</w:t>
      </w:r>
    </w:p>
    <w:p w:rsidR="00EB49E6" w:rsidRPr="00C41AE0" w:rsidRDefault="003077DC" w:rsidP="003077DC">
      <w:pPr>
        <w:pStyle w:val="Endofdocument-Annex"/>
      </w:pPr>
      <w:r w:rsidRPr="00E1225D">
        <w:rPr>
          <w:rFonts w:hint="cs"/>
          <w:rtl/>
        </w:rPr>
        <w:t>[نهاية الوثيقة]</w:t>
      </w:r>
      <w:r>
        <w:rPr>
          <w:rtl/>
        </w:rPr>
        <w:t xml:space="preserve"> </w:t>
      </w:r>
    </w:p>
    <w:sectPr w:rsidR="00EB49E6" w:rsidRPr="00C41AE0" w:rsidSect="00EB7752">
      <w:headerReference w:type="default" r:id="rId2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75" w:rsidRDefault="00D85375">
      <w:r>
        <w:separator/>
      </w:r>
    </w:p>
  </w:endnote>
  <w:endnote w:type="continuationSeparator" w:id="0">
    <w:p w:rsidR="00D85375" w:rsidRDefault="00D8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75" w:rsidRDefault="00D85375" w:rsidP="009622BF">
      <w:bookmarkStart w:id="0" w:name="OLE_LINK1"/>
      <w:bookmarkStart w:id="1" w:name="OLE_LINK2"/>
      <w:r>
        <w:separator/>
      </w:r>
      <w:bookmarkEnd w:id="0"/>
      <w:bookmarkEnd w:id="1"/>
    </w:p>
  </w:footnote>
  <w:footnote w:type="continuationSeparator" w:id="0">
    <w:p w:rsidR="00D85375" w:rsidRDefault="00D85375" w:rsidP="009622BF">
      <w:r>
        <w:separator/>
      </w:r>
    </w:p>
  </w:footnote>
  <w:footnote w:id="1">
    <w:p w:rsidR="003077DC" w:rsidRDefault="003077DC" w:rsidP="008E6D34">
      <w:pPr>
        <w:pStyle w:val="FootnoteText"/>
        <w:rPr>
          <w:rtl/>
        </w:rPr>
      </w:pPr>
      <w:r>
        <w:rPr>
          <w:rStyle w:val="FootnoteReference"/>
        </w:rPr>
        <w:footnoteRef/>
      </w:r>
      <w:r>
        <w:rPr>
          <w:rFonts w:hint="cs"/>
          <w:rtl/>
        </w:rPr>
        <w:t xml:space="preserve"> </w:t>
      </w:r>
      <w:r w:rsidR="008E6D34">
        <w:rPr>
          <w:rFonts w:hint="cs"/>
          <w:rtl/>
        </w:rPr>
        <w:t>ُ</w:t>
      </w:r>
      <w:r>
        <w:rPr>
          <w:rFonts w:hint="cs"/>
          <w:rtl/>
        </w:rPr>
        <w:t>نظر في ثلاثة أشكال من أشكال الكشف العامة المتعلقة بالموارد الوراثية والمعارف التقليدية المرتبطة بها:</w:t>
      </w:r>
    </w:p>
    <w:p w:rsidR="003077DC" w:rsidRDefault="003077DC" w:rsidP="003077DC">
      <w:pPr>
        <w:pStyle w:val="FootnoteText"/>
        <w:numPr>
          <w:ilvl w:val="0"/>
          <w:numId w:val="45"/>
        </w:numPr>
        <w:spacing w:line="280" w:lineRule="exact"/>
      </w:pPr>
      <w:r>
        <w:rPr>
          <w:rFonts w:hint="cs"/>
          <w:rtl/>
        </w:rPr>
        <w:t>الكشف عن أية موارد وراثية/معارف تقليدية مرتبطة بها مُستخدمة فعلا في عملية استحداث الاختراع المطالب بحمايته؛</w:t>
      </w:r>
    </w:p>
    <w:p w:rsidR="003077DC" w:rsidRDefault="003077DC" w:rsidP="003077DC">
      <w:pPr>
        <w:pStyle w:val="FootnoteText"/>
        <w:numPr>
          <w:ilvl w:val="0"/>
          <w:numId w:val="45"/>
        </w:numPr>
        <w:spacing w:line="280" w:lineRule="exact"/>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077DC" w:rsidRDefault="003077DC" w:rsidP="003077DC">
      <w:pPr>
        <w:pStyle w:val="FootnoteText"/>
        <w:numPr>
          <w:ilvl w:val="0"/>
          <w:numId w:val="45"/>
        </w:numPr>
        <w:spacing w:line="280" w:lineRule="exact"/>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EB49E6">
    <w:pPr>
      <w:bidi w:val="0"/>
      <w:rPr>
        <w:rFonts w:ascii="Arial" w:hAnsi="Arial" w:cs="Arial"/>
        <w:sz w:val="22"/>
        <w:szCs w:val="22"/>
      </w:rPr>
    </w:pPr>
    <w:bookmarkStart w:id="4" w:name="Code3"/>
    <w:bookmarkEnd w:id="4"/>
    <w:r>
      <w:rPr>
        <w:rFonts w:ascii="Arial" w:hAnsi="Arial" w:cs="Arial"/>
        <w:sz w:val="22"/>
        <w:szCs w:val="22"/>
      </w:rPr>
      <w:t>WIPO/GRTKF/IC/</w:t>
    </w:r>
    <w:r w:rsidR="00EB49E6">
      <w:rPr>
        <w:rFonts w:ascii="Arial" w:hAnsi="Arial" w:cs="Arial"/>
        <w:sz w:val="22"/>
        <w:szCs w:val="22"/>
      </w:rPr>
      <w:t>41</w:t>
    </w:r>
    <w:r>
      <w:rPr>
        <w:rFonts w:ascii="Arial" w:hAnsi="Arial" w:cs="Arial"/>
        <w:sz w:val="22"/>
        <w:szCs w:val="22"/>
      </w:rPr>
      <w:t>/</w:t>
    </w:r>
    <w:r w:rsidR="000424C7">
      <w:rPr>
        <w:rFonts w:ascii="Arial" w:hAnsi="Arial" w:cs="Arial"/>
        <w:sz w:val="22"/>
        <w:szCs w:val="22"/>
      </w:rPr>
      <w:t>7</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84755">
      <w:rPr>
        <w:rFonts w:ascii="Arial" w:hAnsi="Arial" w:cs="Arial"/>
        <w:noProof/>
        <w:sz w:val="22"/>
        <w:szCs w:val="22"/>
        <w:lang w:bidi="ar-EG"/>
      </w:rPr>
      <w:t>8</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9"/>
  </w:num>
  <w:num w:numId="7">
    <w:abstractNumId w:val="20"/>
  </w:num>
  <w:num w:numId="8">
    <w:abstractNumId w:val="36"/>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ar-SY"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2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C7"/>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D23"/>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53F"/>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7DC"/>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D34"/>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5B4D"/>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75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6BA"/>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375"/>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9E6"/>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37000C"/>
  <w15:docId w15:val="{9AC4409D-4A95-4344-88F0-AC0C3CB4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s://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xport/sites/www/tk/en/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en/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4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62303-58FF-408A-B291-069ACC5B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WIPO_GRTKF_IC_41_AR</Template>
  <TotalTime>11</TotalTime>
  <Pages>10</Pages>
  <Words>2582</Words>
  <Characters>19128</Characters>
  <Application>Microsoft Office Word</Application>
  <DocSecurity>0</DocSecurity>
  <Lines>360</Lines>
  <Paragraphs>76</Paragraphs>
  <ScaleCrop>false</ScaleCrop>
  <HeadingPairs>
    <vt:vector size="2" baseType="variant">
      <vt:variant>
        <vt:lpstr>Title</vt:lpstr>
      </vt:variant>
      <vt:variant>
        <vt:i4>1</vt:i4>
      </vt:variant>
    </vt:vector>
  </HeadingPairs>
  <TitlesOfParts>
    <vt:vector size="1" baseType="lpstr">
      <vt:lpstr>WIPO/GRTKF/IC/41/ (Arabic)</vt:lpstr>
    </vt:vector>
  </TitlesOfParts>
  <Company>World Intellectual Property Organization</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 (Arabic)</dc:title>
  <dc:creator>IHADADENE Soraya</dc:creator>
  <cp:lastModifiedBy>IHADADENE Soraya</cp:lastModifiedBy>
  <cp:revision>6</cp:revision>
  <cp:lastPrinted>2018-06-12T09:05:00Z</cp:lastPrinted>
  <dcterms:created xsi:type="dcterms:W3CDTF">2020-02-14T10:06:00Z</dcterms:created>
  <dcterms:modified xsi:type="dcterms:W3CDTF">2020-02-14T10:51:00Z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74c08a4c-b093-47b2-bfb9-173f523bee3c</vt:lpwstr>
  </property>
</Properties>
</file>