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3F7284" w:rsidP="00290FA8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94273B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94273B">
        <w:rPr>
          <w:rFonts w:hint="cs"/>
          <w:b/>
          <w:bCs/>
          <w:sz w:val="30"/>
          <w:szCs w:val="30"/>
          <w:rtl/>
        </w:rPr>
        <w:t>22 مارس 2019</w:t>
      </w:r>
    </w:p>
    <w:p w:rsidR="002E7810" w:rsidRPr="00FD6D15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E7810" w:rsidRPr="002E7810" w:rsidRDefault="00FD0C32" w:rsidP="007029AA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90FA8">
        <w:rPr>
          <w:rFonts w:ascii="Arial Black" w:hAnsi="Arial Black" w:cs="PT Bold Heading" w:hint="cs"/>
          <w:sz w:val="30"/>
          <w:szCs w:val="30"/>
          <w:rtl/>
        </w:rPr>
        <w:t>التاسع</w:t>
      </w:r>
      <w:r w:rsidR="007029AA">
        <w:rPr>
          <w:rFonts w:ascii="Arial Black" w:hAnsi="Arial Black" w:cs="PT Bold Heading" w:hint="cs"/>
          <w:sz w:val="30"/>
          <w:szCs w:val="30"/>
          <w:rtl/>
        </w:rPr>
        <w:t>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والثلاثون</w:t>
      </w:r>
    </w:p>
    <w:p w:rsidR="002E7810" w:rsidRPr="002E7810" w:rsidRDefault="00FD0C32" w:rsidP="007029AA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</w:t>
      </w:r>
      <w:r w:rsidR="00290FA8">
        <w:rPr>
          <w:rFonts w:hint="cs"/>
          <w:b/>
          <w:bCs/>
          <w:rtl/>
        </w:rPr>
        <w:t xml:space="preserve"> 18 إلى 22 مارس 2019</w:t>
      </w:r>
    </w:p>
    <w:p w:rsidR="002E7810" w:rsidRPr="002E7810" w:rsidRDefault="004B5E8D" w:rsidP="0080436B">
      <w:pPr>
        <w:rPr>
          <w:rFonts w:ascii="Arial Black" w:hAnsi="Arial Black" w:cs="PT Bold Heading"/>
          <w:sz w:val="26"/>
          <w:szCs w:val="26"/>
          <w:rtl/>
        </w:rPr>
      </w:pPr>
      <w:r w:rsidRPr="004B5E8D">
        <w:rPr>
          <w:rFonts w:ascii="Arial Black" w:hAnsi="Arial Black" w:cs="PT Bold Heading"/>
          <w:sz w:val="26"/>
          <w:szCs w:val="26"/>
          <w:rtl/>
        </w:rPr>
        <w:t xml:space="preserve">قرارات الدورة </w:t>
      </w:r>
      <w:r w:rsidR="0080436B">
        <w:rPr>
          <w:rFonts w:ascii="Arial Black" w:hAnsi="Arial Black" w:cs="PT Bold Heading" w:hint="cs"/>
          <w:sz w:val="26"/>
          <w:szCs w:val="26"/>
          <w:rtl/>
        </w:rPr>
        <w:t>التاسعة</w:t>
      </w:r>
      <w:r w:rsidRPr="004B5E8D">
        <w:rPr>
          <w:rFonts w:ascii="Arial Black" w:hAnsi="Arial Black" w:cs="PT Bold Heading"/>
          <w:sz w:val="26"/>
          <w:szCs w:val="26"/>
          <w:rtl/>
        </w:rPr>
        <w:t xml:space="preserve"> والثلاثين للجنة</w:t>
      </w:r>
    </w:p>
    <w:p w:rsidR="003F7284" w:rsidRPr="00BB6440" w:rsidRDefault="00302313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>التي اعتمدتها اللجنة</w:t>
      </w:r>
    </w:p>
    <w:p w:rsidR="004B5E8D" w:rsidRDefault="004B5E8D">
      <w:pPr>
        <w:bidi w:val="0"/>
        <w:rPr>
          <w:rtl/>
        </w:rPr>
      </w:pPr>
      <w:r>
        <w:rPr>
          <w:rtl/>
        </w:rPr>
        <w:br w:type="page"/>
      </w:r>
    </w:p>
    <w:p w:rsidR="004B5E8D" w:rsidRDefault="004B5E8D" w:rsidP="004B5E8D">
      <w:pPr>
        <w:pStyle w:val="Heading2"/>
        <w:rPr>
          <w:rtl/>
        </w:rPr>
      </w:pPr>
      <w:r>
        <w:rPr>
          <w:rFonts w:hint="cs"/>
          <w:rtl/>
        </w:rPr>
        <w:lastRenderedPageBreak/>
        <w:t>قرار بشأن البند 2 من جدول الأعمال</w:t>
      </w:r>
      <w:r w:rsidR="00D50673">
        <w:rPr>
          <w:rFonts w:hint="cs"/>
          <w:rtl/>
        </w:rPr>
        <w:t>:</w:t>
      </w:r>
    </w:p>
    <w:p w:rsidR="004B5E8D" w:rsidRPr="008D6BC6" w:rsidRDefault="004B5E8D" w:rsidP="004B5E8D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اعتماد جدول الأعمال</w:t>
      </w:r>
    </w:p>
    <w:p w:rsidR="004B5E8D" w:rsidRDefault="004B5E8D" w:rsidP="004B5E8D">
      <w:pPr>
        <w:pStyle w:val="NormalParaAR"/>
        <w:rPr>
          <w:rtl/>
        </w:rPr>
      </w:pPr>
      <w:r w:rsidRPr="00984E4A">
        <w:rPr>
          <w:rtl/>
        </w:rPr>
        <w:t>قدم الرئيس مشروع جدول الأعمال المُعمّم في الوثيقة</w:t>
      </w:r>
      <w:r w:rsidRPr="00984E4A">
        <w:rPr>
          <w:rFonts w:hint="eastAsia"/>
          <w:rtl/>
        </w:rPr>
        <w:t> </w:t>
      </w:r>
      <w:r w:rsidRPr="00984E4A">
        <w:t>WIPO/GRTKF/IC/</w:t>
      </w:r>
      <w:r>
        <w:t>39</w:t>
      </w:r>
      <w:r w:rsidRPr="00984E4A">
        <w:t>/1 Prov. </w:t>
      </w:r>
      <w:r>
        <w:t>2</w:t>
      </w:r>
      <w:r w:rsidRPr="00984E4A">
        <w:rPr>
          <w:rFonts w:hint="cs"/>
          <w:rtl/>
        </w:rPr>
        <w:t xml:space="preserve"> </w:t>
      </w:r>
      <w:r w:rsidRPr="00984E4A">
        <w:rPr>
          <w:rtl/>
        </w:rPr>
        <w:t>كي</w:t>
      </w:r>
      <w:r w:rsidRPr="00984E4A">
        <w:rPr>
          <w:rFonts w:hint="cs"/>
          <w:rtl/>
        </w:rPr>
        <w:t xml:space="preserve"> </w:t>
      </w:r>
      <w:r w:rsidRPr="00984E4A">
        <w:rPr>
          <w:rtl/>
        </w:rPr>
        <w:t>يُعتمد، وتم اعتماده</w:t>
      </w:r>
      <w:r w:rsidRPr="00984E4A">
        <w:rPr>
          <w:rFonts w:hint="cs"/>
          <w:rtl/>
        </w:rPr>
        <w:t>.</w:t>
      </w:r>
    </w:p>
    <w:p w:rsidR="004B5E8D" w:rsidRDefault="004B5E8D" w:rsidP="004B5E8D">
      <w:pPr>
        <w:pStyle w:val="Heading2"/>
        <w:rPr>
          <w:rtl/>
        </w:rPr>
      </w:pPr>
      <w:r>
        <w:rPr>
          <w:rFonts w:hint="cs"/>
          <w:rtl/>
        </w:rPr>
        <w:t>قرار بشأن البند 3 من جدول الأعمال</w:t>
      </w:r>
      <w:r w:rsidR="00D50673">
        <w:rPr>
          <w:rFonts w:hint="cs"/>
          <w:rtl/>
        </w:rPr>
        <w:t>:</w:t>
      </w:r>
    </w:p>
    <w:p w:rsidR="004B5E8D" w:rsidRPr="008D6BC6" w:rsidRDefault="004B5E8D" w:rsidP="004B5E8D">
      <w:pPr>
        <w:pStyle w:val="NormalParaAR"/>
        <w:keepNext/>
        <w:rPr>
          <w:sz w:val="40"/>
          <w:szCs w:val="40"/>
          <w:rtl/>
        </w:rPr>
      </w:pPr>
      <w:r w:rsidRPr="00D55467">
        <w:rPr>
          <w:sz w:val="40"/>
          <w:szCs w:val="40"/>
          <w:rtl/>
        </w:rPr>
        <w:t xml:space="preserve">اعتماد تقرير الدورة </w:t>
      </w:r>
      <w:r>
        <w:rPr>
          <w:rFonts w:hint="cs"/>
          <w:sz w:val="40"/>
          <w:szCs w:val="40"/>
          <w:rtl/>
        </w:rPr>
        <w:t>الثامنة</w:t>
      </w:r>
      <w:r w:rsidRPr="00D55467">
        <w:rPr>
          <w:sz w:val="40"/>
          <w:szCs w:val="40"/>
          <w:rtl/>
        </w:rPr>
        <w:t xml:space="preserve"> والثلاثين</w:t>
      </w:r>
    </w:p>
    <w:p w:rsidR="004B5E8D" w:rsidRDefault="004B5E8D" w:rsidP="004B5E8D">
      <w:pPr>
        <w:pStyle w:val="NormalParaAR"/>
        <w:rPr>
          <w:rtl/>
        </w:rPr>
      </w:pPr>
      <w:r w:rsidRPr="00984E4A">
        <w:rPr>
          <w:rtl/>
        </w:rPr>
        <w:t xml:space="preserve">قدم الرئيس مشروع </w:t>
      </w:r>
      <w:r>
        <w:rPr>
          <w:rFonts w:hint="cs"/>
          <w:rtl/>
        </w:rPr>
        <w:t>تقرير الدورة الثامنة والثلاثين للجنة (</w:t>
      </w:r>
      <w:r w:rsidRPr="00984E4A">
        <w:rPr>
          <w:rFonts w:hint="eastAsia"/>
          <w:rtl/>
        </w:rPr>
        <w:t> </w:t>
      </w:r>
      <w:r w:rsidRPr="00984E4A">
        <w:t>WIPO/GRTKF/IC/</w:t>
      </w:r>
      <w:r>
        <w:t>38</w:t>
      </w:r>
      <w:r w:rsidRPr="00984E4A">
        <w:t>/</w:t>
      </w:r>
      <w:r>
        <w:t>16</w:t>
      </w:r>
      <w:r w:rsidRPr="00984E4A">
        <w:t> Prov. 2</w:t>
      </w:r>
      <w:r>
        <w:rPr>
          <w:rFonts w:hint="cs"/>
          <w:rtl/>
        </w:rPr>
        <w:t>)</w:t>
      </w:r>
      <w:r w:rsidRPr="00984E4A">
        <w:rPr>
          <w:rFonts w:hint="cs"/>
          <w:rtl/>
        </w:rPr>
        <w:t xml:space="preserve"> </w:t>
      </w:r>
      <w:r w:rsidRPr="00984E4A">
        <w:rPr>
          <w:rtl/>
        </w:rPr>
        <w:t>كي</w:t>
      </w:r>
      <w:r w:rsidRPr="00984E4A">
        <w:rPr>
          <w:rFonts w:hint="cs"/>
          <w:rtl/>
        </w:rPr>
        <w:t xml:space="preserve"> </w:t>
      </w:r>
      <w:r w:rsidRPr="00984E4A">
        <w:rPr>
          <w:rtl/>
        </w:rPr>
        <w:t>يُعتمد، وتم</w:t>
      </w:r>
      <w:r>
        <w:rPr>
          <w:rFonts w:hint="cs"/>
          <w:rtl/>
        </w:rPr>
        <w:t> </w:t>
      </w:r>
      <w:r w:rsidRPr="00984E4A">
        <w:rPr>
          <w:rtl/>
        </w:rPr>
        <w:t>اعتماده</w:t>
      </w:r>
      <w:r w:rsidRPr="00984E4A">
        <w:rPr>
          <w:rFonts w:hint="cs"/>
          <w:rtl/>
        </w:rPr>
        <w:t>.</w:t>
      </w:r>
    </w:p>
    <w:p w:rsidR="004B5E8D" w:rsidRPr="008D6BC6" w:rsidRDefault="004B5E8D" w:rsidP="004B5E8D">
      <w:pPr>
        <w:pStyle w:val="Heading2"/>
        <w:rPr>
          <w:rtl/>
        </w:rPr>
      </w:pPr>
      <w:r w:rsidRPr="008D6BC6">
        <w:rPr>
          <w:rFonts w:hint="cs"/>
          <w:rtl/>
        </w:rPr>
        <w:t xml:space="preserve">قرار بشأن البند </w:t>
      </w:r>
      <w:r>
        <w:rPr>
          <w:rFonts w:hint="cs"/>
          <w:rtl/>
        </w:rPr>
        <w:t>4</w:t>
      </w:r>
      <w:r w:rsidRPr="008D6BC6"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>:</w:t>
      </w:r>
    </w:p>
    <w:p w:rsidR="004B5E8D" w:rsidRPr="008D6BC6" w:rsidRDefault="004B5E8D" w:rsidP="004B5E8D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اعتماد بعض المنظمات</w:t>
      </w:r>
    </w:p>
    <w:p w:rsidR="004B5E8D" w:rsidRPr="00984E4A" w:rsidRDefault="004B5E8D" w:rsidP="004B5E8D">
      <w:pPr>
        <w:pStyle w:val="NormalParaAR"/>
        <w:rPr>
          <w:rtl/>
        </w:rPr>
      </w:pPr>
      <w:r w:rsidRPr="00984E4A">
        <w:rPr>
          <w:rFonts w:hint="cs"/>
          <w:rtl/>
        </w:rPr>
        <w:t xml:space="preserve">وافقت اللجنة بالإجماع على اعتماد </w:t>
      </w:r>
      <w:r w:rsidRPr="004B5E8D">
        <w:rPr>
          <w:rtl/>
        </w:rPr>
        <w:t>جمعية تي رونانغا أو توا رانغاتيرا</w:t>
      </w:r>
      <w:r w:rsidRPr="004B5E8D">
        <w:rPr>
          <w:rFonts w:hint="cs"/>
          <w:rtl/>
        </w:rPr>
        <w:t xml:space="preserve"> </w:t>
      </w:r>
      <w:r w:rsidRPr="00984E4A">
        <w:rPr>
          <w:rFonts w:hint="cs"/>
          <w:rtl/>
        </w:rPr>
        <w:t xml:space="preserve">بصفة مراقب مؤقت </w:t>
      </w:r>
    </w:p>
    <w:p w:rsidR="004B5E8D" w:rsidRDefault="004B5E8D" w:rsidP="004B5E8D">
      <w:pPr>
        <w:pStyle w:val="Heading2"/>
        <w:rPr>
          <w:rtl/>
        </w:rPr>
      </w:pPr>
      <w:r w:rsidRPr="008D6BC6">
        <w:rPr>
          <w:rFonts w:hint="cs"/>
          <w:rtl/>
        </w:rPr>
        <w:t xml:space="preserve">قرار بشأن البند </w:t>
      </w:r>
      <w:r>
        <w:rPr>
          <w:rFonts w:hint="cs"/>
          <w:rtl/>
        </w:rPr>
        <w:t>5</w:t>
      </w:r>
      <w:r w:rsidRPr="008D6BC6"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>:</w:t>
      </w:r>
    </w:p>
    <w:p w:rsidR="004B5E8D" w:rsidRPr="008D6BC6" w:rsidRDefault="004B5E8D" w:rsidP="004B5E8D">
      <w:pPr>
        <w:pStyle w:val="NormalParaAR"/>
        <w:keepNext/>
        <w:rPr>
          <w:sz w:val="40"/>
          <w:szCs w:val="40"/>
          <w:rtl/>
        </w:rPr>
      </w:pPr>
      <w:r w:rsidRPr="00355402">
        <w:rPr>
          <w:rFonts w:hint="cs"/>
          <w:sz w:val="40"/>
          <w:szCs w:val="40"/>
          <w:rtl/>
        </w:rPr>
        <w:t>مشاركة الجماعات الأصلية والمحلية</w:t>
      </w:r>
    </w:p>
    <w:p w:rsidR="004B5E8D" w:rsidRDefault="004B5E8D" w:rsidP="00AD3A5A">
      <w:pPr>
        <w:pStyle w:val="NormalParaAR"/>
        <w:rPr>
          <w:rtl/>
        </w:rPr>
      </w:pPr>
      <w:r w:rsidRPr="004E6B89">
        <w:rPr>
          <w:rFonts w:hint="cs"/>
          <w:rtl/>
        </w:rPr>
        <w:t>أحاطت اللجنة علما بالوثائق</w:t>
      </w:r>
      <w:r w:rsidRPr="004E6B89">
        <w:rPr>
          <w:rFonts w:hint="eastAsia"/>
          <w:rtl/>
        </w:rPr>
        <w:t> </w:t>
      </w:r>
      <w:r w:rsidR="00AD3A5A" w:rsidRPr="00AD3A5A">
        <w:t>WIPO/GRTKF/IC/39/3</w:t>
      </w:r>
      <w:r w:rsidRPr="004E6B89">
        <w:rPr>
          <w:rFonts w:hint="cs"/>
          <w:rtl/>
        </w:rPr>
        <w:t xml:space="preserve"> و</w:t>
      </w:r>
      <w:r w:rsidRPr="004E6B89">
        <w:t>WIPO/GRTKF/IC/</w:t>
      </w:r>
      <w:r w:rsidR="00AD3A5A">
        <w:t>39</w:t>
      </w:r>
      <w:r w:rsidRPr="004E6B89">
        <w:t>/INF/4</w:t>
      </w:r>
      <w:r w:rsidRPr="004E6B89">
        <w:rPr>
          <w:rFonts w:hint="cs"/>
          <w:rtl/>
        </w:rPr>
        <w:t xml:space="preserve"> و</w:t>
      </w:r>
      <w:r w:rsidRPr="004E6B89">
        <w:t>WIPO/GRTKF/IC/</w:t>
      </w:r>
      <w:r w:rsidR="00AD3A5A">
        <w:t>39</w:t>
      </w:r>
      <w:r w:rsidRPr="004E6B89">
        <w:t>/INF/6</w:t>
      </w:r>
      <w:r w:rsidRPr="004E6B89">
        <w:rPr>
          <w:rFonts w:hint="cs"/>
          <w:rtl/>
        </w:rPr>
        <w:t>.</w:t>
      </w:r>
    </w:p>
    <w:p w:rsidR="004B5E8D" w:rsidRDefault="004B5E8D" w:rsidP="00302313">
      <w:pPr>
        <w:pStyle w:val="NormalParaAR"/>
        <w:rPr>
          <w:rtl/>
        </w:rPr>
      </w:pPr>
      <w:r w:rsidRPr="004E6B89">
        <w:rPr>
          <w:rtl/>
        </w:rPr>
        <w:t>و</w:t>
      </w:r>
      <w:r w:rsidR="00D50673">
        <w:rPr>
          <w:rFonts w:hint="cs"/>
          <w:rtl/>
        </w:rPr>
        <w:t xml:space="preserve">رحّبت اللجنة بإعلان </w:t>
      </w:r>
      <w:r w:rsidR="00302313">
        <w:rPr>
          <w:rFonts w:hint="cs"/>
          <w:rtl/>
        </w:rPr>
        <w:t>حكومة</w:t>
      </w:r>
      <w:r w:rsidR="00D50673">
        <w:rPr>
          <w:rFonts w:hint="cs"/>
          <w:rtl/>
        </w:rPr>
        <w:t xml:space="preserve"> كندا عن اعتزام</w:t>
      </w:r>
      <w:r w:rsidR="00302313">
        <w:rPr>
          <w:rFonts w:hint="cs"/>
          <w:rtl/>
        </w:rPr>
        <w:t>ها</w:t>
      </w:r>
      <w:r w:rsidR="00D50673">
        <w:rPr>
          <w:rFonts w:hint="cs"/>
          <w:rtl/>
        </w:rPr>
        <w:t xml:space="preserve"> التبرّع بمبلغ قدره 000 25 دولار كندي ل</w:t>
      </w:r>
      <w:r w:rsidR="00D50673" w:rsidRPr="00D50673">
        <w:rPr>
          <w:rtl/>
        </w:rPr>
        <w:t>صندوق الويبو</w:t>
      </w:r>
      <w:r w:rsidR="00D50673" w:rsidRPr="00D50673">
        <w:rPr>
          <w:rFonts w:hint="cs"/>
          <w:rtl/>
        </w:rPr>
        <w:t xml:space="preserve"> للتبرعات لفائدة الجماعات الأصلية والمحلية المعتمدة</w:t>
      </w:r>
      <w:r w:rsidR="00D50673">
        <w:rPr>
          <w:rFonts w:hint="cs"/>
          <w:rtl/>
        </w:rPr>
        <w:t>، و</w:t>
      </w:r>
      <w:r w:rsidRPr="004E6B89">
        <w:rPr>
          <w:rtl/>
        </w:rPr>
        <w:t>شجّعت بشدّة أعضا</w:t>
      </w:r>
      <w:r w:rsidRPr="004E6B89">
        <w:rPr>
          <w:rFonts w:hint="cs"/>
          <w:rtl/>
        </w:rPr>
        <w:t>ء</w:t>
      </w:r>
      <w:r w:rsidRPr="004E6B89">
        <w:rPr>
          <w:rtl/>
        </w:rPr>
        <w:t xml:space="preserve">ها </w:t>
      </w:r>
      <w:r w:rsidR="00D50673">
        <w:rPr>
          <w:rFonts w:hint="cs"/>
          <w:rtl/>
        </w:rPr>
        <w:t xml:space="preserve">الآخرين </w:t>
      </w:r>
      <w:r w:rsidRPr="004E6B89">
        <w:rPr>
          <w:rtl/>
        </w:rPr>
        <w:t xml:space="preserve">وجميع الهيئات المهتمة في القطاعين العام والخاص وحثّتها على الإسهام في </w:t>
      </w:r>
      <w:r w:rsidR="00D50673">
        <w:rPr>
          <w:rFonts w:hint="cs"/>
          <w:rtl/>
        </w:rPr>
        <w:t>ذلك ال</w:t>
      </w:r>
      <w:r w:rsidR="00D50673">
        <w:rPr>
          <w:rtl/>
        </w:rPr>
        <w:t>صندوق</w:t>
      </w:r>
      <w:r w:rsidRPr="004E6B89">
        <w:rPr>
          <w:rFonts w:hint="cs"/>
          <w:rtl/>
        </w:rPr>
        <w:t>.</w:t>
      </w:r>
    </w:p>
    <w:p w:rsidR="004B5E8D" w:rsidRPr="004E6B89" w:rsidRDefault="004B5E8D" w:rsidP="004B5E8D">
      <w:pPr>
        <w:pStyle w:val="NormalParaAR"/>
        <w:rPr>
          <w:rtl/>
        </w:rPr>
      </w:pPr>
      <w:r>
        <w:rPr>
          <w:rFonts w:hint="cs"/>
          <w:rtl/>
        </w:rPr>
        <w:t>وذكّرت اللجنة بالقرارات الصادرة عن الجمعية العامة للويبو في دورتها الخمسين، وشجّعت أعضاءها أيضا على النظر في</w:t>
      </w:r>
      <w:r>
        <w:rPr>
          <w:rFonts w:hint="eastAsia"/>
          <w:rtl/>
        </w:rPr>
        <w:t> </w:t>
      </w:r>
      <w:r>
        <w:rPr>
          <w:rFonts w:hint="cs"/>
          <w:rtl/>
        </w:rPr>
        <w:t>ترتيبات بديلة أخرى للتمويل.</w:t>
      </w:r>
    </w:p>
    <w:p w:rsidR="004B5E8D" w:rsidRDefault="004B5E8D" w:rsidP="009F6347">
      <w:pPr>
        <w:pStyle w:val="NormalParaAR"/>
        <w:rPr>
          <w:rtl/>
        </w:rPr>
      </w:pPr>
      <w:r w:rsidRPr="004E6B89">
        <w:rPr>
          <w:rtl/>
        </w:rPr>
        <w:lastRenderedPageBreak/>
        <w:t xml:space="preserve">واقترح الرئيس انتخاب الأعضاء </w:t>
      </w:r>
      <w:r w:rsidRPr="004E6B89">
        <w:rPr>
          <w:rFonts w:hint="cs"/>
          <w:rtl/>
        </w:rPr>
        <w:t>الثمانية</w:t>
      </w:r>
      <w:r w:rsidRPr="004E6B89">
        <w:rPr>
          <w:rtl/>
        </w:rPr>
        <w:t xml:space="preserve"> التالية أسماؤهم في المجلس الاستشاري للعمل بصفتهم الشخصية وانتخبتهم اللجنة بالتزكية:</w:t>
      </w:r>
      <w:r w:rsidRPr="004E6B89">
        <w:rPr>
          <w:rFonts w:hint="cs"/>
          <w:rtl/>
        </w:rPr>
        <w:t xml:space="preserve"> </w:t>
      </w:r>
      <w:r w:rsidR="00A939C0">
        <w:rPr>
          <w:rFonts w:hint="cs"/>
          <w:rtl/>
        </w:rPr>
        <w:t>السيد مارتين كوريا، مستشار، البعثة الدائمة لشيلي؛ والسيد ألكسندر دا كوستا، مستشار برتبة وزير ونائب الممثل الدائم، سفارة غامبيا في سويسرا والبعثة الدائمة لغامبيا؛ والسيد</w:t>
      </w:r>
      <w:r w:rsidR="009F6347">
        <w:rPr>
          <w:rFonts w:hint="cs"/>
          <w:rtl/>
        </w:rPr>
        <w:t>ة</w:t>
      </w:r>
      <w:r w:rsidR="00A939C0">
        <w:rPr>
          <w:rFonts w:hint="cs"/>
          <w:rtl/>
        </w:rPr>
        <w:t xml:space="preserve"> جيسيكا فوريرو، ممثلة الل</w:t>
      </w:r>
      <w:r w:rsidR="00A939C0" w:rsidRPr="00A939C0">
        <w:rPr>
          <w:rtl/>
        </w:rPr>
        <w:t>جنة القانونية للتنمية الذاتية لشعوب الأنديز الأصلية (</w:t>
      </w:r>
      <w:r w:rsidR="00A939C0" w:rsidRPr="00A939C0">
        <w:t>CAPAJ</w:t>
      </w:r>
      <w:r w:rsidR="00A939C0" w:rsidRPr="00A939C0">
        <w:rPr>
          <w:rtl/>
        </w:rPr>
        <w:t>)</w:t>
      </w:r>
      <w:r w:rsidR="00A939C0">
        <w:rPr>
          <w:rFonts w:hint="cs"/>
          <w:rtl/>
        </w:rPr>
        <w:t xml:space="preserve">؛ والسيد جيريمي كولودزيج، ممثل جمعية الأمم الأولى؛ والسيدة غيز بيرلي، ممثلة </w:t>
      </w:r>
      <w:r w:rsidR="00A939C0" w:rsidRPr="00A939C0">
        <w:rPr>
          <w:rtl/>
        </w:rPr>
        <w:t>المجلس الهندي لأمريكا الجنوبية (</w:t>
      </w:r>
      <w:r w:rsidR="00A939C0" w:rsidRPr="00A939C0">
        <w:t>CISA</w:t>
      </w:r>
      <w:r w:rsidR="00A939C0" w:rsidRPr="00A939C0">
        <w:rPr>
          <w:rtl/>
        </w:rPr>
        <w:t>)</w:t>
      </w:r>
      <w:r w:rsidR="00A939C0">
        <w:rPr>
          <w:rFonts w:hint="cs"/>
          <w:rtl/>
        </w:rPr>
        <w:t xml:space="preserve">؛ والسيدة شيلي روي، قائدة مشروع رئيسية، </w:t>
      </w:r>
      <w:r w:rsidR="00A939C0" w:rsidRPr="00A939C0">
        <w:rPr>
          <w:rtl/>
        </w:rPr>
        <w:t>وزارة الابتكار والعلوم والتنمية الاقتصادية</w:t>
      </w:r>
      <w:r w:rsidR="00A939C0">
        <w:rPr>
          <w:rFonts w:hint="cs"/>
          <w:rtl/>
        </w:rPr>
        <w:t xml:space="preserve"> في كندا (</w:t>
      </w:r>
      <w:r w:rsidR="00A939C0" w:rsidRPr="00A939C0">
        <w:t>ISED</w:t>
      </w:r>
      <w:r w:rsidR="00A939C0">
        <w:rPr>
          <w:rFonts w:hint="cs"/>
          <w:rtl/>
        </w:rPr>
        <w:t>)</w:t>
      </w:r>
      <w:r w:rsidR="009F6347">
        <w:rPr>
          <w:rFonts w:hint="cs"/>
          <w:rtl/>
        </w:rPr>
        <w:t>، كندا</w:t>
      </w:r>
      <w:r w:rsidR="00A91EE3">
        <w:rPr>
          <w:rFonts w:hint="cs"/>
          <w:rtl/>
        </w:rPr>
        <w:t xml:space="preserve">؛ والسيد </w:t>
      </w:r>
      <w:r w:rsidR="00C92A92" w:rsidRPr="00C92A92">
        <w:rPr>
          <w:rFonts w:hint="cs"/>
          <w:rtl/>
        </w:rPr>
        <w:t>غزيز سيتزانوف</w:t>
      </w:r>
      <w:r w:rsidR="00C92A92">
        <w:rPr>
          <w:rFonts w:hint="cs"/>
          <w:rtl/>
        </w:rPr>
        <w:t>، سكرتير ثالث، البعثة الدائمة لكازاخستان؛ والسيدة</w:t>
      </w:r>
      <w:r w:rsidR="009F6347">
        <w:rPr>
          <w:rFonts w:hint="eastAsia"/>
          <w:rtl/>
        </w:rPr>
        <w:t> </w:t>
      </w:r>
      <w:r w:rsidR="00C92A92">
        <w:rPr>
          <w:rFonts w:hint="cs"/>
          <w:rtl/>
        </w:rPr>
        <w:t>نافارات تانكامالاس، مستشارة برتبة وزير، البعثة الدائمة لتايلند.</w:t>
      </w:r>
    </w:p>
    <w:p w:rsidR="004B5E8D" w:rsidRDefault="004B5E8D" w:rsidP="004B5E8D">
      <w:pPr>
        <w:pStyle w:val="NormalParaAR"/>
        <w:rPr>
          <w:rtl/>
        </w:rPr>
      </w:pPr>
      <w:r w:rsidRPr="00BA6CBA">
        <w:rPr>
          <w:rtl/>
        </w:rPr>
        <w:t>وعي</w:t>
      </w:r>
      <w:r w:rsidRPr="00BA6CBA">
        <w:rPr>
          <w:rFonts w:hint="cs"/>
          <w:rtl/>
        </w:rPr>
        <w:t>ّ</w:t>
      </w:r>
      <w:r w:rsidRPr="00BA6CBA">
        <w:rPr>
          <w:rtl/>
        </w:rPr>
        <w:t xml:space="preserve">ن رئيس اللجنة </w:t>
      </w:r>
      <w:r w:rsidRPr="00BA6CBA">
        <w:rPr>
          <w:rFonts w:hint="cs"/>
          <w:rtl/>
        </w:rPr>
        <w:t xml:space="preserve">السيد </w:t>
      </w:r>
      <w:r w:rsidRPr="00BA6CBA">
        <w:rPr>
          <w:rtl/>
        </w:rPr>
        <w:t>فيزال شيري سيدهارتا</w:t>
      </w:r>
      <w:r w:rsidRPr="00BA6CBA">
        <w:rPr>
          <w:rFonts w:hint="cs"/>
          <w:rtl/>
        </w:rPr>
        <w:t>،</w:t>
      </w:r>
      <w:r w:rsidRPr="00BA6CBA">
        <w:rPr>
          <w:rtl/>
        </w:rPr>
        <w:t xml:space="preserve"> نائب رئيس اللجنة</w:t>
      </w:r>
      <w:r w:rsidRPr="00BA6CBA">
        <w:rPr>
          <w:rFonts w:hint="cs"/>
          <w:rtl/>
        </w:rPr>
        <w:t xml:space="preserve">، </w:t>
      </w:r>
      <w:r w:rsidRPr="00BA6CBA">
        <w:rPr>
          <w:rtl/>
        </w:rPr>
        <w:t>رئيس</w:t>
      </w:r>
      <w:r w:rsidRPr="00BA6CBA">
        <w:rPr>
          <w:rFonts w:hint="cs"/>
          <w:rtl/>
        </w:rPr>
        <w:t>ا</w:t>
      </w:r>
      <w:r w:rsidRPr="00BA6CBA">
        <w:rPr>
          <w:rtl/>
        </w:rPr>
        <w:t xml:space="preserve"> للمجلس الاستشاري.</w:t>
      </w:r>
    </w:p>
    <w:p w:rsidR="004B5E8D" w:rsidRPr="008D6BC6" w:rsidRDefault="004B5E8D" w:rsidP="004B5E8D">
      <w:pPr>
        <w:pStyle w:val="Heading2"/>
        <w:rPr>
          <w:rtl/>
        </w:rPr>
      </w:pPr>
      <w:r w:rsidRPr="008D6BC6">
        <w:rPr>
          <w:rFonts w:hint="cs"/>
          <w:rtl/>
        </w:rPr>
        <w:t xml:space="preserve">قرار بشأن البند </w:t>
      </w:r>
      <w:r>
        <w:rPr>
          <w:rFonts w:hint="cs"/>
          <w:rtl/>
        </w:rPr>
        <w:t>6</w:t>
      </w:r>
      <w:r w:rsidRPr="008D6BC6"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>:</w:t>
      </w:r>
    </w:p>
    <w:p w:rsidR="004B5E8D" w:rsidRDefault="004B5E8D" w:rsidP="004B5E8D">
      <w:pPr>
        <w:pStyle w:val="NormalParaAR"/>
        <w:keepNext/>
        <w:rPr>
          <w:sz w:val="40"/>
          <w:szCs w:val="40"/>
          <w:rtl/>
        </w:rPr>
      </w:pPr>
      <w:r w:rsidRPr="00DD746D">
        <w:rPr>
          <w:sz w:val="40"/>
          <w:szCs w:val="40"/>
          <w:rtl/>
        </w:rPr>
        <w:t xml:space="preserve">تقرير </w:t>
      </w:r>
      <w:r w:rsidRPr="00AD3A5A">
        <w:rPr>
          <w:i/>
          <w:iCs/>
          <w:sz w:val="40"/>
          <w:szCs w:val="40"/>
          <w:rtl/>
        </w:rPr>
        <w:t>فريق الخبراء المخصص المعني بالمعارف التقليدية وأشكال التعبير الثقافي التقليدي</w:t>
      </w:r>
    </w:p>
    <w:p w:rsidR="004B5E8D" w:rsidRDefault="004B5E8D" w:rsidP="00DF4838">
      <w:pPr>
        <w:pStyle w:val="NormalParaAR"/>
        <w:rPr>
          <w:rtl/>
        </w:rPr>
      </w:pPr>
      <w:r>
        <w:rPr>
          <w:rFonts w:hint="cs"/>
          <w:rtl/>
        </w:rPr>
        <w:t xml:space="preserve">أحاطت اللجنة علما </w:t>
      </w:r>
      <w:r w:rsidR="00AD3A5A">
        <w:rPr>
          <w:rFonts w:hint="cs"/>
          <w:rtl/>
        </w:rPr>
        <w:t xml:space="preserve">بالتقرير </w:t>
      </w:r>
      <w:r>
        <w:rPr>
          <w:rFonts w:hint="cs"/>
          <w:rtl/>
        </w:rPr>
        <w:t>الش</w:t>
      </w:r>
      <w:r w:rsidR="00AD3A5A">
        <w:rPr>
          <w:rFonts w:hint="cs"/>
          <w:rtl/>
        </w:rPr>
        <w:t>فهي المقدم</w:t>
      </w:r>
      <w:r>
        <w:rPr>
          <w:rFonts w:hint="cs"/>
          <w:rtl/>
        </w:rPr>
        <w:t xml:space="preserve"> من المشاركيْن في رئاسة </w:t>
      </w:r>
      <w:r w:rsidRPr="00DD746D">
        <w:rPr>
          <w:rFonts w:hint="cs"/>
          <w:i/>
          <w:iCs/>
          <w:rtl/>
        </w:rPr>
        <w:t>فريق الخبراء المخصص المعني بالمعارف التقليدية وأشكال التعبير الثقافي التقليدي،</w:t>
      </w:r>
      <w:r>
        <w:rPr>
          <w:rFonts w:hint="cs"/>
          <w:rtl/>
        </w:rPr>
        <w:t xml:space="preserve"> وهما </w:t>
      </w:r>
      <w:r w:rsidRPr="00DD746D">
        <w:rPr>
          <w:rtl/>
        </w:rPr>
        <w:t xml:space="preserve">السيدة </w:t>
      </w:r>
      <w:r w:rsidR="00AD3A5A">
        <w:rPr>
          <w:rFonts w:hint="cs"/>
          <w:rtl/>
        </w:rPr>
        <w:t>شارون لوغال</w:t>
      </w:r>
      <w:r w:rsidRPr="00DD746D">
        <w:rPr>
          <w:rtl/>
        </w:rPr>
        <w:t xml:space="preserve"> (</w:t>
      </w:r>
      <w:r w:rsidR="00AD3A5A">
        <w:rPr>
          <w:rFonts w:hint="cs"/>
          <w:rtl/>
        </w:rPr>
        <w:t>محاضرة رئيسية، كلية الحقوق، جامعة جزر الهند الغربية، سانت</w:t>
      </w:r>
      <w:r w:rsidR="00AD3A5A">
        <w:rPr>
          <w:rFonts w:hint="eastAsia"/>
          <w:rtl/>
        </w:rPr>
        <w:t> </w:t>
      </w:r>
      <w:r w:rsidR="00AD3A5A">
        <w:rPr>
          <w:rFonts w:hint="cs"/>
          <w:rtl/>
        </w:rPr>
        <w:t>أ</w:t>
      </w:r>
      <w:r w:rsidR="00DF4838">
        <w:rPr>
          <w:rFonts w:hint="cs"/>
          <w:rtl/>
        </w:rPr>
        <w:t>وغسط</w:t>
      </w:r>
      <w:r w:rsidR="00AD3A5A">
        <w:rPr>
          <w:rFonts w:hint="cs"/>
          <w:rtl/>
        </w:rPr>
        <w:t xml:space="preserve">ين، </w:t>
      </w:r>
      <w:r w:rsidR="00AD3A5A" w:rsidRPr="00AD3A5A">
        <w:rPr>
          <w:rtl/>
        </w:rPr>
        <w:t>ترينيداد</w:t>
      </w:r>
      <w:r w:rsidR="00AD3A5A">
        <w:t> </w:t>
      </w:r>
      <w:r w:rsidR="00AD3A5A" w:rsidRPr="00AD3A5A">
        <w:rPr>
          <w:rtl/>
        </w:rPr>
        <w:t>وتوباغو</w:t>
      </w:r>
      <w:r w:rsidR="00AD3A5A">
        <w:rPr>
          <w:rFonts w:hint="cs"/>
          <w:rtl/>
        </w:rPr>
        <w:t xml:space="preserve">) </w:t>
      </w:r>
      <w:r w:rsidRPr="00DD746D">
        <w:rPr>
          <w:rtl/>
        </w:rPr>
        <w:t>والسيد</w:t>
      </w:r>
      <w:r>
        <w:rPr>
          <w:rFonts w:hint="cs"/>
          <w:rtl/>
        </w:rPr>
        <w:t> </w:t>
      </w:r>
      <w:r w:rsidR="00DF4838">
        <w:rPr>
          <w:rFonts w:hint="cs"/>
          <w:rtl/>
        </w:rPr>
        <w:t>شيدي</w:t>
      </w:r>
      <w:r>
        <w:rPr>
          <w:rFonts w:hint="cs"/>
          <w:rtl/>
        </w:rPr>
        <w:t> </w:t>
      </w:r>
      <w:r w:rsidR="00DF4838">
        <w:rPr>
          <w:rFonts w:hint="cs"/>
          <w:rtl/>
        </w:rPr>
        <w:t>أوغوامانام</w:t>
      </w:r>
      <w:r w:rsidRPr="00DD746D">
        <w:rPr>
          <w:rtl/>
        </w:rPr>
        <w:t xml:space="preserve"> (</w:t>
      </w:r>
      <w:r w:rsidR="00DF4838">
        <w:rPr>
          <w:rFonts w:hint="cs"/>
          <w:rtl/>
        </w:rPr>
        <w:t>أستاذ في القانون</w:t>
      </w:r>
      <w:r w:rsidRPr="00DD746D">
        <w:rPr>
          <w:rtl/>
        </w:rPr>
        <w:t xml:space="preserve">، </w:t>
      </w:r>
      <w:r w:rsidR="00DF4838">
        <w:rPr>
          <w:rFonts w:hint="cs"/>
          <w:rtl/>
        </w:rPr>
        <w:t>جامعة أوتاوا، كندا</w:t>
      </w:r>
      <w:r w:rsidRPr="00DD746D">
        <w:rPr>
          <w:rtl/>
        </w:rPr>
        <w:t>)</w:t>
      </w:r>
      <w:r>
        <w:rPr>
          <w:rFonts w:hint="cs"/>
          <w:rtl/>
        </w:rPr>
        <w:t>.</w:t>
      </w:r>
    </w:p>
    <w:p w:rsidR="004B5E8D" w:rsidRPr="008D6BC6" w:rsidRDefault="004B5E8D" w:rsidP="004B5E8D">
      <w:pPr>
        <w:pStyle w:val="Heading2"/>
        <w:rPr>
          <w:rtl/>
        </w:rPr>
      </w:pPr>
      <w:r w:rsidRPr="008D6BC6">
        <w:rPr>
          <w:rFonts w:hint="cs"/>
          <w:rtl/>
        </w:rPr>
        <w:lastRenderedPageBreak/>
        <w:t xml:space="preserve">قرار بشأن البند </w:t>
      </w:r>
      <w:r>
        <w:rPr>
          <w:rFonts w:hint="cs"/>
          <w:rtl/>
        </w:rPr>
        <w:t>7</w:t>
      </w:r>
      <w:r w:rsidRPr="008D6BC6"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>:</w:t>
      </w:r>
    </w:p>
    <w:p w:rsidR="004B5E8D" w:rsidRDefault="004B5E8D" w:rsidP="004B5E8D">
      <w:pPr>
        <w:pStyle w:val="NormalParaAR"/>
        <w:keepNext/>
        <w:rPr>
          <w:sz w:val="40"/>
          <w:szCs w:val="40"/>
          <w:rtl/>
        </w:rPr>
      </w:pPr>
      <w:r w:rsidRPr="008B034D">
        <w:rPr>
          <w:sz w:val="40"/>
          <w:szCs w:val="40"/>
          <w:rtl/>
        </w:rPr>
        <w:t>المعارف التقليدية/أشكال التعبير الثقافي التقليدي</w:t>
      </w:r>
    </w:p>
    <w:p w:rsidR="004B5E8D" w:rsidRDefault="004B5E8D" w:rsidP="00DF4838">
      <w:pPr>
        <w:pStyle w:val="NormalParaAR"/>
        <w:rPr>
          <w:rtl/>
        </w:rPr>
      </w:pPr>
      <w:r w:rsidRPr="00C73E79">
        <w:rPr>
          <w:rtl/>
        </w:rPr>
        <w:t xml:space="preserve">أعدت </w:t>
      </w:r>
      <w:r>
        <w:rPr>
          <w:rFonts w:hint="cs"/>
          <w:rtl/>
        </w:rPr>
        <w:t>اللجنة</w:t>
      </w:r>
      <w:r w:rsidRPr="00C73E79">
        <w:rPr>
          <w:rtl/>
        </w:rPr>
        <w:t>، استنادا إلى الوثيقة</w:t>
      </w:r>
      <w:r>
        <w:rPr>
          <w:rFonts w:hint="cs"/>
          <w:rtl/>
        </w:rPr>
        <w:t> </w:t>
      </w:r>
      <w:r w:rsidRPr="00C73E79">
        <w:t>WIPO/GRTKF/IC/</w:t>
      </w:r>
      <w:r w:rsidR="00DF4838">
        <w:t>39</w:t>
      </w:r>
      <w:r w:rsidRPr="00C73E79">
        <w:t>/</w:t>
      </w:r>
      <w:r>
        <w:t>4</w:t>
      </w:r>
      <w:r w:rsidRPr="00C73E79">
        <w:rPr>
          <w:rtl/>
        </w:rPr>
        <w:t xml:space="preserve">، نصا آخر بعنوان "حماية </w:t>
      </w:r>
      <w:r>
        <w:rPr>
          <w:rFonts w:hint="cs"/>
          <w:rtl/>
        </w:rPr>
        <w:t>المعارف التقليدية</w:t>
      </w:r>
      <w:r w:rsidRPr="00C73E79">
        <w:rPr>
          <w:rtl/>
        </w:rPr>
        <w:t>: مشروع</w:t>
      </w:r>
      <w:r>
        <w:rPr>
          <w:rFonts w:hint="cs"/>
          <w:rtl/>
        </w:rPr>
        <w:t> </w:t>
      </w:r>
      <w:r w:rsidRPr="00C73E79">
        <w:rPr>
          <w:rtl/>
        </w:rPr>
        <w:t>مواد - النسخة المعدّلة الثانية (</w:t>
      </w:r>
      <w:r w:rsidRPr="00C73E79">
        <w:t>Rev. 2</w:t>
      </w:r>
      <w:r w:rsidRPr="00C73E79">
        <w:rPr>
          <w:rtl/>
        </w:rPr>
        <w:t>)"</w:t>
      </w:r>
      <w:r>
        <w:rPr>
          <w:rFonts w:hint="cs"/>
          <w:rtl/>
        </w:rPr>
        <w:t xml:space="preserve">، وأعدت، </w:t>
      </w:r>
      <w:r w:rsidRPr="00C73E79">
        <w:rPr>
          <w:rtl/>
        </w:rPr>
        <w:t>استنادا إلى الوثيقة</w:t>
      </w:r>
      <w:r>
        <w:rPr>
          <w:rFonts w:hint="cs"/>
          <w:rtl/>
        </w:rPr>
        <w:t> </w:t>
      </w:r>
      <w:r w:rsidRPr="00C73E79">
        <w:t>WIPO/GRTKF/IC/</w:t>
      </w:r>
      <w:r w:rsidR="00DF4838">
        <w:t>39</w:t>
      </w:r>
      <w:r w:rsidRPr="00C73E79">
        <w:t>/</w:t>
      </w:r>
      <w:r>
        <w:t>5</w:t>
      </w:r>
      <w:r w:rsidRPr="00C73E79">
        <w:rPr>
          <w:rtl/>
        </w:rPr>
        <w:t xml:space="preserve">، نصا آخر بعنوان "حماية </w:t>
      </w:r>
      <w:r>
        <w:rPr>
          <w:rFonts w:hint="cs"/>
          <w:rtl/>
        </w:rPr>
        <w:t>أشكال التعبير الثقافي التقليدي</w:t>
      </w:r>
      <w:r w:rsidRPr="00C73E79">
        <w:rPr>
          <w:rtl/>
        </w:rPr>
        <w:t>: مشروع</w:t>
      </w:r>
      <w:r>
        <w:rPr>
          <w:rFonts w:hint="cs"/>
          <w:rtl/>
        </w:rPr>
        <w:t xml:space="preserve"> </w:t>
      </w:r>
      <w:r w:rsidRPr="00C73E79">
        <w:rPr>
          <w:rtl/>
        </w:rPr>
        <w:t>مواد - النسخة المعدّلة الثانية (</w:t>
      </w:r>
      <w:r w:rsidRPr="00C73E79">
        <w:t>Rev. 2</w:t>
      </w:r>
      <w:r w:rsidRPr="00C73E79">
        <w:rPr>
          <w:rtl/>
        </w:rPr>
        <w:t xml:space="preserve">)". وقرّرت اللجنة إحالة </w:t>
      </w:r>
      <w:r>
        <w:rPr>
          <w:rFonts w:hint="cs"/>
          <w:rtl/>
        </w:rPr>
        <w:t xml:space="preserve">النصين المذكورين، بالصيغة التي وردا بها لدى اختتام النظر في هذا البند من جدول الأعمال في </w:t>
      </w:r>
      <w:r w:rsidR="00DF4838">
        <w:rPr>
          <w:rFonts w:hint="cs"/>
          <w:rtl/>
        </w:rPr>
        <w:t>22</w:t>
      </w:r>
      <w:r>
        <w:rPr>
          <w:rFonts w:hint="eastAsia"/>
          <w:rtl/>
        </w:rPr>
        <w:t> </w:t>
      </w:r>
      <w:r w:rsidR="00DF4838">
        <w:rPr>
          <w:rFonts w:hint="cs"/>
          <w:rtl/>
        </w:rPr>
        <w:t>مارس</w:t>
      </w:r>
      <w:r>
        <w:rPr>
          <w:rFonts w:hint="eastAsia"/>
          <w:rtl/>
        </w:rPr>
        <w:t> </w:t>
      </w:r>
      <w:r w:rsidR="00DF4838">
        <w:rPr>
          <w:rFonts w:hint="cs"/>
          <w:rtl/>
        </w:rPr>
        <w:t>2019</w:t>
      </w:r>
      <w:r>
        <w:rPr>
          <w:rFonts w:hint="cs"/>
          <w:rtl/>
        </w:rPr>
        <w:t>،</w:t>
      </w:r>
      <w:r w:rsidRPr="00C73E79">
        <w:rPr>
          <w:rtl/>
        </w:rPr>
        <w:t xml:space="preserve"> إلى دورتها </w:t>
      </w:r>
      <w:r w:rsidR="00DF4838">
        <w:rPr>
          <w:rFonts w:hint="cs"/>
          <w:rtl/>
        </w:rPr>
        <w:t>الأربعين</w:t>
      </w:r>
      <w:r w:rsidRPr="00C73E79">
        <w:rPr>
          <w:rtl/>
        </w:rPr>
        <w:t xml:space="preserve"> طبقا لولايتها للثنائية </w:t>
      </w:r>
      <w:r>
        <w:rPr>
          <w:rFonts w:hint="cs"/>
          <w:rtl/>
        </w:rPr>
        <w:t>2018</w:t>
      </w:r>
      <w:r w:rsidRPr="00C73E79">
        <w:rPr>
          <w:rtl/>
        </w:rPr>
        <w:t>-</w:t>
      </w:r>
      <w:r>
        <w:rPr>
          <w:rFonts w:hint="cs"/>
          <w:rtl/>
        </w:rPr>
        <w:t>2019</w:t>
      </w:r>
      <w:r w:rsidRPr="00C73E79">
        <w:rPr>
          <w:rtl/>
        </w:rPr>
        <w:t xml:space="preserve"> وبرنامج عملها لعام </w:t>
      </w:r>
      <w:r w:rsidR="00DF4838">
        <w:rPr>
          <w:rFonts w:hint="cs"/>
          <w:rtl/>
        </w:rPr>
        <w:t>2019</w:t>
      </w:r>
      <w:r>
        <w:rPr>
          <w:rFonts w:hint="cs"/>
          <w:rtl/>
        </w:rPr>
        <w:t>، على النحو الوارد في</w:t>
      </w:r>
      <w:r>
        <w:rPr>
          <w:rFonts w:hint="eastAsia"/>
          <w:rtl/>
        </w:rPr>
        <w:t> </w:t>
      </w:r>
      <w:r>
        <w:rPr>
          <w:rFonts w:hint="cs"/>
          <w:rtl/>
        </w:rPr>
        <w:t>الوثيقة</w:t>
      </w:r>
      <w:r>
        <w:rPr>
          <w:rFonts w:hint="eastAsia"/>
          <w:rtl/>
        </w:rPr>
        <w:t> </w:t>
      </w:r>
      <w:r w:rsidRPr="00C73E79">
        <w:t>WO/GA/49/21</w:t>
      </w:r>
      <w:r>
        <w:rPr>
          <w:rFonts w:hint="cs"/>
          <w:rtl/>
        </w:rPr>
        <w:t>.</w:t>
      </w:r>
    </w:p>
    <w:p w:rsidR="004B5E8D" w:rsidRDefault="004B5E8D" w:rsidP="00DF4838">
      <w:pPr>
        <w:pStyle w:val="NormalParaAR"/>
        <w:rPr>
          <w:rtl/>
        </w:rPr>
      </w:pPr>
      <w:r w:rsidRPr="00C73E79">
        <w:rPr>
          <w:rFonts w:hint="cs"/>
          <w:rtl/>
        </w:rPr>
        <w:t>وأحاطت اللجنة علما بالوثائق</w:t>
      </w:r>
      <w:r w:rsidRPr="00C73E79">
        <w:rPr>
          <w:rFonts w:hint="eastAsia"/>
          <w:rtl/>
        </w:rPr>
        <w:t> </w:t>
      </w:r>
      <w:r w:rsidRPr="00C73E79">
        <w:t xml:space="preserve"> WIPO/GRTKF/IC/</w:t>
      </w:r>
      <w:r w:rsidR="00DF4838">
        <w:t>39</w:t>
      </w:r>
      <w:r w:rsidRPr="00C73E79">
        <w:t>/6</w:t>
      </w:r>
      <w:r w:rsidRPr="00C73E79">
        <w:rPr>
          <w:rFonts w:hint="cs"/>
          <w:rtl/>
        </w:rPr>
        <w:t>و</w:t>
      </w:r>
      <w:r w:rsidRPr="00C73E79">
        <w:t>WIPO/GRTKF/IC/</w:t>
      </w:r>
      <w:r w:rsidR="00DF4838">
        <w:t>39</w:t>
      </w:r>
      <w:r w:rsidRPr="00C73E79">
        <w:t>/7</w:t>
      </w:r>
      <w:r w:rsidRPr="00C73E79">
        <w:rPr>
          <w:rFonts w:hint="cs"/>
          <w:rtl/>
        </w:rPr>
        <w:t xml:space="preserve"> و</w:t>
      </w:r>
      <w:r w:rsidRPr="00C73E79">
        <w:t>WIPO/GRTKF/IC/</w:t>
      </w:r>
      <w:r w:rsidR="00DF4838">
        <w:t>39</w:t>
      </w:r>
      <w:r w:rsidRPr="00C73E79">
        <w:t>/8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DF4838">
        <w:t>39</w:t>
      </w:r>
      <w:r w:rsidRPr="00C73E79">
        <w:t>/9</w:t>
      </w:r>
      <w:r w:rsidRPr="00C73E79">
        <w:rPr>
          <w:rFonts w:hint="cs"/>
          <w:rtl/>
        </w:rPr>
        <w:t xml:space="preserve"> و</w:t>
      </w:r>
      <w:r w:rsidRPr="00C73E79">
        <w:t>WIPO/GRTKF/IC/</w:t>
      </w:r>
      <w:r w:rsidR="00DF4838">
        <w:t>39</w:t>
      </w:r>
      <w:r w:rsidRPr="00C73E79">
        <w:t>/10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DF4838">
        <w:t>39</w:t>
      </w:r>
      <w:r w:rsidRPr="00C73E79">
        <w:t>/</w:t>
      </w:r>
      <w:r>
        <w:t>11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DF4838">
        <w:t>39</w:t>
      </w:r>
      <w:r w:rsidRPr="00C73E79">
        <w:t>/</w:t>
      </w:r>
      <w:r>
        <w:t>12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DF4838">
        <w:t>39</w:t>
      </w:r>
      <w:r w:rsidRPr="00C73E79">
        <w:t>/</w:t>
      </w:r>
      <w:r>
        <w:t>13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DF4838">
        <w:t>39</w:t>
      </w:r>
      <w:r w:rsidRPr="00C73E79">
        <w:t>/</w:t>
      </w:r>
      <w:r>
        <w:t>14</w:t>
      </w:r>
      <w:r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DF4838">
        <w:t>39</w:t>
      </w:r>
      <w:r w:rsidRPr="00C73E79">
        <w:t>/</w:t>
      </w:r>
      <w:r>
        <w:t>15</w:t>
      </w:r>
      <w:r>
        <w:rPr>
          <w:rFonts w:hint="cs"/>
          <w:rtl/>
        </w:rPr>
        <w:t xml:space="preserve"> </w:t>
      </w:r>
      <w:r w:rsidR="00DF4838" w:rsidRPr="00C73E79">
        <w:rPr>
          <w:rFonts w:hint="cs"/>
          <w:rtl/>
        </w:rPr>
        <w:t>و</w:t>
      </w:r>
      <w:r w:rsidR="00DF4838" w:rsidRPr="00C73E79">
        <w:t>WIPO/GRTKF/IC/</w:t>
      </w:r>
      <w:r w:rsidR="00DF4838">
        <w:t>39</w:t>
      </w:r>
      <w:r w:rsidR="00DF4838" w:rsidRPr="00C73E79">
        <w:t>/</w:t>
      </w:r>
      <w:r w:rsidR="00DF4838">
        <w:t>16</w:t>
      </w:r>
      <w:r w:rsidR="00DF4838">
        <w:rPr>
          <w:rFonts w:hint="cs"/>
          <w:rtl/>
        </w:rPr>
        <w:t xml:space="preserve"> </w:t>
      </w:r>
      <w:r w:rsidR="00DF4838" w:rsidRPr="00C73E79">
        <w:rPr>
          <w:rFonts w:hint="cs"/>
          <w:rtl/>
        </w:rPr>
        <w:t>و</w:t>
      </w:r>
      <w:r w:rsidR="00DF4838" w:rsidRPr="00C73E79">
        <w:t>WIPO/GRTKF/IC/</w:t>
      </w:r>
      <w:r w:rsidR="00DF4838">
        <w:t>39</w:t>
      </w:r>
      <w:r w:rsidR="00DF4838" w:rsidRPr="00C73E79">
        <w:t>/</w:t>
      </w:r>
      <w:r w:rsidR="00DF4838">
        <w:t>17</w:t>
      </w:r>
      <w:r w:rsidR="00DF4838">
        <w:rPr>
          <w:rFonts w:hint="cs"/>
          <w:rtl/>
        </w:rPr>
        <w:t xml:space="preserve"> </w:t>
      </w:r>
      <w:r w:rsidRPr="00C73E79">
        <w:rPr>
          <w:rFonts w:hint="cs"/>
          <w:rtl/>
        </w:rPr>
        <w:t>و</w:t>
      </w:r>
      <w:r w:rsidRPr="00C73E79">
        <w:t>WIPO/GRTKF/IC/</w:t>
      </w:r>
      <w:r w:rsidR="00DF4838">
        <w:t>39</w:t>
      </w:r>
      <w:r w:rsidRPr="00C73E79">
        <w:t>/INF/7</w:t>
      </w:r>
      <w:r w:rsidRPr="00C73E79">
        <w:rPr>
          <w:rFonts w:hint="cs"/>
          <w:rtl/>
        </w:rPr>
        <w:t>، وأجرت مناقشات بشأنها.</w:t>
      </w:r>
    </w:p>
    <w:p w:rsidR="004B5E8D" w:rsidRPr="008D6BC6" w:rsidRDefault="004B5E8D" w:rsidP="004B5E8D">
      <w:pPr>
        <w:pStyle w:val="Heading2"/>
        <w:rPr>
          <w:rtl/>
        </w:rPr>
      </w:pPr>
      <w:r w:rsidRPr="008D6BC6">
        <w:rPr>
          <w:rFonts w:hint="cs"/>
          <w:rtl/>
        </w:rPr>
        <w:t xml:space="preserve">قرار بشأن البند </w:t>
      </w:r>
      <w:r>
        <w:rPr>
          <w:rFonts w:hint="cs"/>
          <w:rtl/>
        </w:rPr>
        <w:t>8</w:t>
      </w:r>
      <w:r w:rsidRPr="008D6BC6"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>:</w:t>
      </w:r>
    </w:p>
    <w:p w:rsidR="004B5E8D" w:rsidRPr="00FC177D" w:rsidRDefault="004B5E8D" w:rsidP="004B5E8D">
      <w:pPr>
        <w:pStyle w:val="NormalParaAR"/>
        <w:keepNext/>
        <w:rPr>
          <w:sz w:val="40"/>
          <w:szCs w:val="40"/>
          <w:rtl/>
        </w:rPr>
      </w:pPr>
      <w:r w:rsidRPr="00FC177D">
        <w:rPr>
          <w:sz w:val="40"/>
          <w:szCs w:val="40"/>
          <w:rtl/>
        </w:rPr>
        <w:t>أية مسائل أخرى</w:t>
      </w:r>
    </w:p>
    <w:p w:rsidR="004B5E8D" w:rsidRDefault="004B5E8D" w:rsidP="004B5E8D">
      <w:pPr>
        <w:pStyle w:val="NormalParaAR"/>
        <w:rPr>
          <w:rtl/>
        </w:rPr>
      </w:pPr>
      <w:r w:rsidRPr="00163A42">
        <w:rPr>
          <w:rFonts w:hint="cs"/>
          <w:rtl/>
        </w:rPr>
        <w:t>لم تُجر أية مناقشات في إطار هذا البند.</w:t>
      </w:r>
    </w:p>
    <w:p w:rsidR="004B5E8D" w:rsidRPr="008D6BC6" w:rsidRDefault="004B5E8D" w:rsidP="004B5E8D">
      <w:pPr>
        <w:pStyle w:val="Heading2"/>
        <w:rPr>
          <w:rtl/>
        </w:rPr>
      </w:pPr>
      <w:r w:rsidRPr="008D6BC6">
        <w:rPr>
          <w:rFonts w:hint="cs"/>
          <w:rtl/>
        </w:rPr>
        <w:t xml:space="preserve">قرار بشأن البند </w:t>
      </w:r>
      <w:r>
        <w:rPr>
          <w:rFonts w:hint="cs"/>
          <w:rtl/>
        </w:rPr>
        <w:t>9</w:t>
      </w:r>
      <w:r w:rsidRPr="008D6BC6">
        <w:rPr>
          <w:rFonts w:hint="cs"/>
          <w:rtl/>
        </w:rPr>
        <w:t xml:space="preserve"> من جدول الأعمال</w:t>
      </w:r>
      <w:r>
        <w:rPr>
          <w:rFonts w:hint="cs"/>
          <w:rtl/>
        </w:rPr>
        <w:t>:</w:t>
      </w:r>
    </w:p>
    <w:p w:rsidR="004B5E8D" w:rsidRDefault="004B5E8D" w:rsidP="004B5E8D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اختتام الدورة</w:t>
      </w:r>
    </w:p>
    <w:p w:rsidR="004B5E8D" w:rsidRPr="003A2EC2" w:rsidRDefault="004B5E8D" w:rsidP="005F7CA3">
      <w:pPr>
        <w:pStyle w:val="NormalParaAR"/>
        <w:spacing w:after="480"/>
      </w:pPr>
      <w:r w:rsidRPr="002114FF">
        <w:rPr>
          <w:rtl/>
        </w:rPr>
        <w:t>اعتمدت اللجنة قراراتها بشأن البنود</w:t>
      </w:r>
      <w:r w:rsidRPr="002114FF">
        <w:rPr>
          <w:rFonts w:hint="cs"/>
          <w:rtl/>
        </w:rPr>
        <w:t> </w:t>
      </w:r>
      <w:r w:rsidRPr="002114FF">
        <w:rPr>
          <w:rtl/>
        </w:rPr>
        <w:t xml:space="preserve">2 و3 و4 و5 و6 </w:t>
      </w:r>
      <w:r w:rsidRPr="002114FF">
        <w:rPr>
          <w:rFonts w:hint="cs"/>
          <w:rtl/>
        </w:rPr>
        <w:t>و7 م</w:t>
      </w:r>
      <w:r w:rsidRPr="002114FF">
        <w:rPr>
          <w:rtl/>
        </w:rPr>
        <w:t xml:space="preserve">ن جدول الأعمال في </w:t>
      </w:r>
      <w:r w:rsidR="00DF4838">
        <w:rPr>
          <w:rFonts w:hint="cs"/>
          <w:rtl/>
        </w:rPr>
        <w:t>22</w:t>
      </w:r>
      <w:r w:rsidRPr="002114FF">
        <w:rPr>
          <w:rFonts w:hint="cs"/>
          <w:rtl/>
        </w:rPr>
        <w:t> </w:t>
      </w:r>
      <w:r w:rsidR="00DF4838">
        <w:rPr>
          <w:rFonts w:hint="cs"/>
          <w:rtl/>
        </w:rPr>
        <w:t>مارس</w:t>
      </w:r>
      <w:r w:rsidRPr="002114FF">
        <w:rPr>
          <w:rFonts w:hint="cs"/>
          <w:rtl/>
        </w:rPr>
        <w:t> </w:t>
      </w:r>
      <w:r w:rsidR="00DF4838">
        <w:rPr>
          <w:rFonts w:hint="cs"/>
          <w:rtl/>
        </w:rPr>
        <w:t>2019</w:t>
      </w:r>
      <w:r w:rsidRPr="002114FF">
        <w:rPr>
          <w:rtl/>
        </w:rPr>
        <w:t xml:space="preserve">. واتفقت على إعداد مشروع تقرير كتابي يحتوي على نصوص هذه القرارات المتفق عليها وجميع </w:t>
      </w:r>
      <w:r w:rsidRPr="002114FF">
        <w:rPr>
          <w:rtl/>
        </w:rPr>
        <w:lastRenderedPageBreak/>
        <w:t xml:space="preserve">المداخلات التي أدلي بها أمام اللجنة، وتعميمه </w:t>
      </w:r>
      <w:r w:rsidRPr="002114FF">
        <w:rPr>
          <w:rFonts w:hint="cs"/>
          <w:rtl/>
        </w:rPr>
        <w:t xml:space="preserve">في أجل أقصاه </w:t>
      </w:r>
      <w:r w:rsidR="00DF4838">
        <w:rPr>
          <w:rFonts w:hint="cs"/>
          <w:rtl/>
        </w:rPr>
        <w:t>17</w:t>
      </w:r>
      <w:r w:rsidRPr="002114FF">
        <w:rPr>
          <w:rFonts w:hint="cs"/>
          <w:rtl/>
        </w:rPr>
        <w:t xml:space="preserve"> </w:t>
      </w:r>
      <w:r w:rsidR="00DF4838">
        <w:rPr>
          <w:rFonts w:hint="cs"/>
          <w:rtl/>
        </w:rPr>
        <w:t>مايو</w:t>
      </w:r>
      <w:r w:rsidRPr="002114FF">
        <w:rPr>
          <w:rFonts w:hint="cs"/>
          <w:rtl/>
        </w:rPr>
        <w:t xml:space="preserve"> 201</w:t>
      </w:r>
      <w:r>
        <w:rPr>
          <w:rFonts w:hint="cs"/>
          <w:rtl/>
        </w:rPr>
        <w:t>9</w:t>
      </w:r>
      <w:r w:rsidRPr="002114FF">
        <w:rPr>
          <w:rtl/>
        </w:rPr>
        <w:t xml:space="preserve">. وسيُدعى المشاركون في اللجنة إلى تقديم تصويبات كتابية على مداخلاتهم كما هي مدرجة في مشروع التقرير قبل أن تعمَّم الصيغة النهائية لمشروع التقرير على </w:t>
      </w:r>
      <w:r w:rsidRPr="002114FF">
        <w:rPr>
          <w:rFonts w:hint="cs"/>
          <w:rtl/>
        </w:rPr>
        <w:t>المشاركين</w:t>
      </w:r>
      <w:r w:rsidRPr="002114FF">
        <w:rPr>
          <w:rtl/>
        </w:rPr>
        <w:t xml:space="preserve"> </w:t>
      </w:r>
      <w:r w:rsidRPr="002114FF">
        <w:rPr>
          <w:rFonts w:hint="cs"/>
          <w:rtl/>
        </w:rPr>
        <w:t xml:space="preserve">في </w:t>
      </w:r>
      <w:r w:rsidRPr="002114FF">
        <w:rPr>
          <w:rtl/>
        </w:rPr>
        <w:t xml:space="preserve">اللجنة لاحقا لاعتمادها في الدورة </w:t>
      </w:r>
      <w:r w:rsidR="005F7CA3">
        <w:rPr>
          <w:rFonts w:hint="cs"/>
          <w:rtl/>
        </w:rPr>
        <w:t>الأربعين</w:t>
      </w:r>
      <w:r w:rsidR="005F7CA3">
        <w:rPr>
          <w:rFonts w:hint="eastAsia"/>
          <w:rtl/>
        </w:rPr>
        <w:t> </w:t>
      </w:r>
      <w:r w:rsidRPr="002114FF">
        <w:rPr>
          <w:rtl/>
        </w:rPr>
        <w:t>للجنة.</w:t>
      </w:r>
    </w:p>
    <w:p w:rsidR="00290FA8" w:rsidRPr="00C41AE0" w:rsidRDefault="004B5E8D" w:rsidP="004B5E8D">
      <w:pPr>
        <w:pStyle w:val="Endofdocument-Annex"/>
      </w:pPr>
      <w:r w:rsidRPr="00857858">
        <w:rPr>
          <w:rFonts w:hint="cs"/>
          <w:rtl/>
        </w:rPr>
        <w:t>[نهاية الوثيقة]</w:t>
      </w:r>
    </w:p>
    <w:sectPr w:rsidR="00290FA8" w:rsidRPr="00C41AE0" w:rsidSect="00387985">
      <w:headerReference w:type="even" r:id="rId9"/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73B" w:rsidRDefault="0094273B">
      <w:r>
        <w:separator/>
      </w:r>
    </w:p>
  </w:endnote>
  <w:endnote w:type="continuationSeparator" w:id="0">
    <w:p w:rsidR="0094273B" w:rsidRDefault="0094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73B" w:rsidRDefault="0094273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4273B" w:rsidRDefault="0094273B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85" w:rsidRPr="00C50A61" w:rsidRDefault="00387985" w:rsidP="0038798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514F4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387985" w:rsidRPr="00C50A61" w:rsidRDefault="00387985" w:rsidP="00387985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514F4">
      <w:rPr>
        <w:rFonts w:ascii="Arial" w:hAnsi="Arial" w:cs="Arial"/>
        <w:noProof/>
        <w:sz w:val="22"/>
        <w:szCs w:val="22"/>
        <w:lang w:bidi="ar-EG"/>
      </w:rPr>
      <w:t>5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85" w:rsidRDefault="00387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3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1F51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25F6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1F7D2A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0FA8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2313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4F4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985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5E8D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4E38"/>
    <w:rsid w:val="005F6B68"/>
    <w:rsid w:val="005F6F2E"/>
    <w:rsid w:val="005F7CA3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29A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727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436B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12B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6617B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273B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347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1EE3"/>
    <w:rsid w:val="00A92065"/>
    <w:rsid w:val="00A92184"/>
    <w:rsid w:val="00A9334F"/>
    <w:rsid w:val="00A939C0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5CE6"/>
    <w:rsid w:val="00AB610D"/>
    <w:rsid w:val="00AB6DB7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3A5A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CE4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2A92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0673"/>
    <w:rsid w:val="00D52B95"/>
    <w:rsid w:val="00D5362B"/>
    <w:rsid w:val="00D53A09"/>
    <w:rsid w:val="00D54AAB"/>
    <w:rsid w:val="00D54DF5"/>
    <w:rsid w:val="00D552F9"/>
    <w:rsid w:val="00D56EDF"/>
    <w:rsid w:val="00D56EF8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4838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0F1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DDF4FF30-F083-4D11-978D-E1A023B3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3212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rsid w:val="004B5E8D"/>
    <w:pPr>
      <w:bidi/>
      <w:spacing w:after="240" w:line="3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A0F7-635E-4D02-ADBC-23F224E3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585</Words>
  <Characters>3491</Characters>
  <Application>Microsoft Office Word</Application>
  <DocSecurity>0</DocSecurity>
  <Lines>119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 (Arabic)</vt:lpstr>
    </vt:vector>
  </TitlesOfParts>
  <Company>World Intellectual Property Organization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 (Arabic)</dc:title>
  <dc:creator>MERZOUK Fawzi</dc:creator>
  <cp:keywords>FOR OFFICIAL USE ONLY</cp:keywords>
  <cp:lastModifiedBy>MORENO PALESTINI Maria Del Pilar</cp:lastModifiedBy>
  <cp:revision>7</cp:revision>
  <cp:lastPrinted>2019-08-30T08:58:00Z</cp:lastPrinted>
  <dcterms:created xsi:type="dcterms:W3CDTF">2019-03-22T16:58:00Z</dcterms:created>
  <dcterms:modified xsi:type="dcterms:W3CDTF">2019-08-30T08:58:00Z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b0540900-898f-4e50-8c49-c0805ab30d96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