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FD0C32" w:rsidP="00290FA8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WIPO/GRTKF/IC/</w:t>
      </w:r>
      <w:r w:rsidR="00290FA8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39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863DC7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 PROV.</w:t>
      </w:r>
      <w:r w:rsidR="00194A18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 xml:space="preserve"> 2</w:t>
      </w:r>
    </w:p>
    <w:bookmarkEnd w:id="2"/>
    <w:p w:rsidR="003F7284" w:rsidRPr="00863DC7" w:rsidRDefault="003F7284" w:rsidP="005D79F6">
      <w:pPr>
        <w:jc w:val="right"/>
        <w:rPr>
          <w:b/>
          <w:bCs/>
          <w:sz w:val="30"/>
          <w:szCs w:val="30"/>
          <w:rtl/>
          <w:lang w:val="fr-CH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863DC7">
        <w:rPr>
          <w:rFonts w:hint="cs"/>
          <w:b/>
          <w:bCs/>
          <w:sz w:val="30"/>
          <w:szCs w:val="30"/>
          <w:rtl/>
          <w:lang w:val="fr-CH"/>
        </w:rPr>
        <w:t>بالإنكليزية</w:t>
      </w:r>
    </w:p>
    <w:p w:rsidR="003F7284" w:rsidRPr="00BB6440" w:rsidRDefault="003F7284" w:rsidP="00194A18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194A18">
        <w:rPr>
          <w:rFonts w:hint="cs"/>
          <w:b/>
          <w:bCs/>
          <w:sz w:val="30"/>
          <w:szCs w:val="30"/>
          <w:rtl/>
        </w:rPr>
        <w:t>5</w:t>
      </w:r>
      <w:r w:rsidR="00863DC7">
        <w:rPr>
          <w:rFonts w:hint="cs"/>
          <w:b/>
          <w:bCs/>
          <w:sz w:val="30"/>
          <w:szCs w:val="30"/>
          <w:rtl/>
        </w:rPr>
        <w:t xml:space="preserve"> </w:t>
      </w:r>
      <w:r w:rsidR="00194A18">
        <w:rPr>
          <w:rFonts w:hint="cs"/>
          <w:b/>
          <w:bCs/>
          <w:sz w:val="30"/>
          <w:szCs w:val="30"/>
          <w:rtl/>
        </w:rPr>
        <w:t>مارس</w:t>
      </w:r>
      <w:r w:rsidR="00863DC7">
        <w:rPr>
          <w:rFonts w:hint="cs"/>
          <w:b/>
          <w:bCs/>
          <w:sz w:val="30"/>
          <w:szCs w:val="30"/>
          <w:rtl/>
        </w:rPr>
        <w:t xml:space="preserve"> </w:t>
      </w:r>
      <w:r w:rsidR="00194A18">
        <w:rPr>
          <w:rFonts w:hint="cs"/>
          <w:b/>
          <w:bCs/>
          <w:sz w:val="30"/>
          <w:szCs w:val="30"/>
          <w:rtl/>
        </w:rPr>
        <w:t>2019</w:t>
      </w:r>
    </w:p>
    <w:p w:rsidR="002E7810" w:rsidRPr="00FD6D15" w:rsidRDefault="00FD0C32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الحكومية</w:t>
      </w:r>
      <w:r>
        <w:rPr>
          <w:rtl/>
        </w:rPr>
        <w:t xml:space="preserve"> </w:t>
      </w:r>
      <w:r>
        <w:rPr>
          <w:rFonts w:hint="eastAsia"/>
          <w:rtl/>
        </w:rPr>
        <w:t>الدولية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بالملكية</w:t>
      </w:r>
      <w:r>
        <w:rPr>
          <w:rtl/>
        </w:rPr>
        <w:t xml:space="preserve"> </w:t>
      </w:r>
      <w:r>
        <w:rPr>
          <w:rFonts w:hint="eastAsia"/>
          <w:rtl/>
        </w:rPr>
        <w:t>الفكرية</w:t>
      </w:r>
      <w:r>
        <w:rPr>
          <w:rtl/>
        </w:rPr>
        <w:t xml:space="preserve"> </w:t>
      </w:r>
      <w:r>
        <w:rPr>
          <w:rFonts w:hint="eastAsia"/>
          <w:rtl/>
        </w:rPr>
        <w:t>والموارد</w:t>
      </w:r>
      <w:r>
        <w:rPr>
          <w:rtl/>
        </w:rPr>
        <w:t xml:space="preserve"> </w:t>
      </w:r>
      <w:r>
        <w:rPr>
          <w:rFonts w:hint="eastAsia"/>
          <w:rtl/>
        </w:rPr>
        <w:t>الوراثية</w:t>
      </w:r>
      <w:r>
        <w:rPr>
          <w:rtl/>
        </w:rPr>
        <w:t xml:space="preserve"> </w:t>
      </w:r>
      <w:r>
        <w:rPr>
          <w:rFonts w:hint="eastAsia"/>
          <w:rtl/>
        </w:rPr>
        <w:t>والمعارف</w:t>
      </w:r>
      <w:r>
        <w:rPr>
          <w:rtl/>
        </w:rPr>
        <w:t xml:space="preserve"> </w:t>
      </w:r>
      <w:r>
        <w:rPr>
          <w:rFonts w:hint="eastAsia"/>
          <w:rtl/>
        </w:rPr>
        <w:t>التقليدية</w:t>
      </w:r>
      <w:r>
        <w:rPr>
          <w:rtl/>
        </w:rPr>
        <w:t xml:space="preserve"> </w:t>
      </w:r>
      <w:r>
        <w:rPr>
          <w:rFonts w:hint="eastAsia"/>
          <w:rtl/>
        </w:rPr>
        <w:t>والفولكلور</w:t>
      </w:r>
    </w:p>
    <w:p w:rsidR="002E7810" w:rsidRPr="002E7810" w:rsidRDefault="00FD0C32" w:rsidP="007029AA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290FA8">
        <w:rPr>
          <w:rFonts w:ascii="Arial Black" w:hAnsi="Arial Black" w:cs="PT Bold Heading" w:hint="cs"/>
          <w:sz w:val="30"/>
          <w:szCs w:val="30"/>
          <w:rtl/>
        </w:rPr>
        <w:t>التاسع</w:t>
      </w:r>
      <w:r w:rsidR="007029AA">
        <w:rPr>
          <w:rFonts w:ascii="Arial Black" w:hAnsi="Arial Black" w:cs="PT Bold Heading" w:hint="cs"/>
          <w:sz w:val="30"/>
          <w:szCs w:val="30"/>
          <w:rtl/>
        </w:rPr>
        <w:t>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والثلاثون</w:t>
      </w:r>
    </w:p>
    <w:p w:rsidR="002E7810" w:rsidRPr="002E7810" w:rsidRDefault="00FD0C32" w:rsidP="007029AA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>جنيف، من</w:t>
      </w:r>
      <w:r w:rsidR="00290FA8">
        <w:rPr>
          <w:rFonts w:hint="cs"/>
          <w:b/>
          <w:bCs/>
          <w:rtl/>
        </w:rPr>
        <w:t xml:space="preserve"> 18 إلى 22 مارس 2019</w:t>
      </w:r>
    </w:p>
    <w:p w:rsidR="00863DC7" w:rsidRPr="00863DC7" w:rsidRDefault="00863DC7" w:rsidP="00863DC7">
      <w:pPr>
        <w:rPr>
          <w:rFonts w:ascii="Arial Black" w:hAnsi="Arial Black" w:cs="PT Bold Heading"/>
          <w:sz w:val="26"/>
          <w:szCs w:val="26"/>
          <w:rtl/>
        </w:rPr>
      </w:pPr>
      <w:r w:rsidRPr="00863DC7">
        <w:rPr>
          <w:rFonts w:ascii="Arial Black" w:hAnsi="Arial Black" w:cs="PT Bold Heading"/>
          <w:sz w:val="26"/>
          <w:szCs w:val="26"/>
          <w:rtl/>
        </w:rPr>
        <w:t>مشروع جدول الأعمال</w:t>
      </w:r>
    </w:p>
    <w:p w:rsidR="003F7284" w:rsidRPr="00BB6440" w:rsidRDefault="00863DC7" w:rsidP="00874721">
      <w:pPr>
        <w:spacing w:before="200" w:after="960"/>
        <w:rPr>
          <w:i/>
          <w:iCs/>
          <w:rtl/>
        </w:rPr>
      </w:pPr>
      <w:r>
        <w:rPr>
          <w:rFonts w:hint="cs"/>
          <w:i/>
          <w:iCs/>
          <w:rtl/>
        </w:rPr>
        <w:t>وثيقة من إعداد الأمانة</w:t>
      </w:r>
    </w:p>
    <w:p w:rsidR="00863DC7" w:rsidRPr="00863DC7" w:rsidRDefault="00863DC7" w:rsidP="00863DC7">
      <w:pPr>
        <w:pStyle w:val="BodyText"/>
        <w:numPr>
          <w:ilvl w:val="0"/>
          <w:numId w:val="24"/>
        </w:numPr>
      </w:pPr>
      <w:r w:rsidRPr="00863DC7">
        <w:rPr>
          <w:rtl/>
          <w:lang w:bidi="ar-SA"/>
        </w:rPr>
        <w:t>افتتاح الدورة</w:t>
      </w:r>
    </w:p>
    <w:p w:rsidR="00863DC7" w:rsidRPr="00863DC7" w:rsidRDefault="00863DC7" w:rsidP="00863DC7">
      <w:pPr>
        <w:pStyle w:val="BodyText"/>
        <w:numPr>
          <w:ilvl w:val="0"/>
          <w:numId w:val="24"/>
        </w:numPr>
      </w:pPr>
      <w:r w:rsidRPr="00863DC7">
        <w:rPr>
          <w:rtl/>
          <w:lang w:bidi="ar-SA"/>
        </w:rPr>
        <w:t>اعتماد ج</w:t>
      </w:r>
      <w:bookmarkStart w:id="3" w:name="_GoBack"/>
      <w:bookmarkEnd w:id="3"/>
      <w:r w:rsidRPr="00863DC7">
        <w:rPr>
          <w:rtl/>
          <w:lang w:bidi="ar-SA"/>
        </w:rPr>
        <w:t>دول الأعمال</w:t>
      </w:r>
    </w:p>
    <w:p w:rsidR="00863DC7" w:rsidRPr="00863DC7" w:rsidRDefault="00863DC7" w:rsidP="00194A18">
      <w:pPr>
        <w:pStyle w:val="BodyText"/>
        <w:ind w:left="1134" w:hanging="567"/>
        <w:contextualSpacing/>
        <w:rPr>
          <w:rtl/>
          <w:lang w:val="fr-CH" w:bidi="ar-SA"/>
        </w:rPr>
      </w:pPr>
      <w:r w:rsidRPr="00863DC7">
        <w:rPr>
          <w:rtl/>
        </w:rPr>
        <w:t>انظر هذه الوثيقة والوثيقتين</w:t>
      </w:r>
      <w:r w:rsidRPr="00863DC7">
        <w:rPr>
          <w:rFonts w:hint="cs"/>
          <w:rtl/>
        </w:rPr>
        <w:t xml:space="preserve"> </w:t>
      </w:r>
      <w:r w:rsidR="00194A18" w:rsidRPr="00194A18">
        <w:t>WIPO/GRTKF/IC/39/INF/2 Rev.</w:t>
      </w:r>
      <w:r>
        <w:rPr>
          <w:rFonts w:hint="cs"/>
          <w:rtl/>
        </w:rPr>
        <w:t xml:space="preserve"> و</w:t>
      </w:r>
      <w:r w:rsidR="00194A18" w:rsidRPr="00194A18">
        <w:t xml:space="preserve">WIPO/GRTKF/IC/39/INF/3 </w:t>
      </w:r>
      <w:proofErr w:type="gramStart"/>
      <w:r w:rsidR="00194A18" w:rsidRPr="00194A18">
        <w:t>Rev.</w:t>
      </w:r>
      <w:r>
        <w:rPr>
          <w:rFonts w:hint="cs"/>
          <w:rtl/>
        </w:rPr>
        <w:t>.</w:t>
      </w:r>
      <w:proofErr w:type="gramEnd"/>
    </w:p>
    <w:p w:rsidR="00863DC7" w:rsidRPr="00863DC7" w:rsidRDefault="00863DC7" w:rsidP="00863DC7">
      <w:pPr>
        <w:pStyle w:val="BodyText"/>
        <w:numPr>
          <w:ilvl w:val="0"/>
          <w:numId w:val="24"/>
        </w:numPr>
      </w:pPr>
      <w:r w:rsidRPr="00863DC7">
        <w:rPr>
          <w:rtl/>
          <w:lang w:bidi="ar-SA"/>
        </w:rPr>
        <w:t xml:space="preserve">اعتماد تقرير الدورة </w:t>
      </w:r>
      <w:r>
        <w:rPr>
          <w:rFonts w:hint="cs"/>
          <w:rtl/>
          <w:lang w:bidi="ar-SA"/>
        </w:rPr>
        <w:t>الثامن</w:t>
      </w:r>
      <w:r w:rsidRPr="00863DC7">
        <w:rPr>
          <w:rFonts w:hint="cs"/>
          <w:rtl/>
          <w:lang w:bidi="ar-SA"/>
        </w:rPr>
        <w:t>ة والثلاثين</w:t>
      </w:r>
    </w:p>
    <w:p w:rsidR="00863DC7" w:rsidRPr="00863DC7" w:rsidRDefault="00863DC7" w:rsidP="00863DC7">
      <w:pPr>
        <w:pStyle w:val="BodyText"/>
        <w:ind w:left="1134" w:hanging="567"/>
        <w:contextualSpacing/>
        <w:rPr>
          <w:lang w:val="fr-CH"/>
        </w:rPr>
      </w:pPr>
      <w:r w:rsidRPr="00863DC7">
        <w:rPr>
          <w:rtl/>
        </w:rPr>
        <w:t>انظر الوثيقة</w:t>
      </w:r>
      <w:r w:rsidRPr="00863DC7">
        <w:rPr>
          <w:rFonts w:hint="cs"/>
          <w:rtl/>
        </w:rPr>
        <w:t xml:space="preserve"> </w:t>
      </w:r>
      <w:r w:rsidRPr="00863DC7">
        <w:t>WIPO/GRTKF/IC/</w:t>
      </w:r>
      <w:r>
        <w:t>38</w:t>
      </w:r>
      <w:r w:rsidRPr="00863DC7">
        <w:t>/</w:t>
      </w:r>
      <w:r>
        <w:t>16</w:t>
      </w:r>
      <w:r w:rsidRPr="00863DC7">
        <w:t xml:space="preserve"> Prov. 2</w:t>
      </w:r>
      <w:r w:rsidRPr="00863DC7">
        <w:rPr>
          <w:rFonts w:hint="cs"/>
          <w:rtl/>
        </w:rPr>
        <w:t>.</w:t>
      </w:r>
    </w:p>
    <w:p w:rsidR="00863DC7" w:rsidRPr="00863DC7" w:rsidRDefault="00863DC7" w:rsidP="00863DC7">
      <w:pPr>
        <w:pStyle w:val="BodyText"/>
        <w:numPr>
          <w:ilvl w:val="0"/>
          <w:numId w:val="24"/>
        </w:numPr>
      </w:pPr>
      <w:r w:rsidRPr="00863DC7">
        <w:rPr>
          <w:rtl/>
          <w:lang w:bidi="ar-SA"/>
        </w:rPr>
        <w:t>اعتماد بعض المنظمات</w:t>
      </w:r>
    </w:p>
    <w:p w:rsidR="00863DC7" w:rsidRPr="00863DC7" w:rsidRDefault="00863DC7" w:rsidP="00863DC7">
      <w:pPr>
        <w:pStyle w:val="BodyText"/>
        <w:ind w:left="1134" w:hanging="567"/>
        <w:contextualSpacing/>
        <w:rPr>
          <w:rtl/>
        </w:rPr>
      </w:pPr>
      <w:r w:rsidRPr="00863DC7">
        <w:rPr>
          <w:rtl/>
        </w:rPr>
        <w:t xml:space="preserve">انظر </w:t>
      </w:r>
      <w:r w:rsidRPr="00863DC7">
        <w:rPr>
          <w:rFonts w:hint="cs"/>
          <w:rtl/>
        </w:rPr>
        <w:t xml:space="preserve">الوثيقة </w:t>
      </w:r>
      <w:r w:rsidRPr="00863DC7">
        <w:t>WIPO/GRTKF/IC/</w:t>
      </w:r>
      <w:r>
        <w:t>39</w:t>
      </w:r>
      <w:r w:rsidRPr="00863DC7">
        <w:t>/2</w:t>
      </w:r>
      <w:r>
        <w:rPr>
          <w:rFonts w:hint="cs"/>
          <w:rtl/>
        </w:rPr>
        <w:t>.</w:t>
      </w:r>
    </w:p>
    <w:p w:rsidR="00863DC7" w:rsidRPr="00863DC7" w:rsidRDefault="00863DC7" w:rsidP="00863DC7">
      <w:pPr>
        <w:pStyle w:val="BodyText"/>
        <w:keepNext/>
        <w:numPr>
          <w:ilvl w:val="0"/>
          <w:numId w:val="24"/>
        </w:numPr>
      </w:pPr>
      <w:r w:rsidRPr="00863DC7">
        <w:rPr>
          <w:rtl/>
          <w:lang w:bidi="ar-SA"/>
        </w:rPr>
        <w:lastRenderedPageBreak/>
        <w:t>مشاركة الجماعات الأصلية والمحلية</w:t>
      </w:r>
    </w:p>
    <w:p w:rsidR="00863DC7" w:rsidRPr="00863DC7" w:rsidRDefault="00863DC7" w:rsidP="00863DC7">
      <w:pPr>
        <w:pStyle w:val="BodyText"/>
        <w:keepNext/>
        <w:numPr>
          <w:ilvl w:val="0"/>
          <w:numId w:val="45"/>
        </w:numPr>
        <w:ind w:left="1134" w:hanging="567"/>
      </w:pPr>
      <w:r w:rsidRPr="00863DC7">
        <w:rPr>
          <w:rFonts w:hint="cs"/>
          <w:rtl/>
        </w:rPr>
        <w:t>مستجدات</w:t>
      </w:r>
      <w:r w:rsidRPr="00863DC7">
        <w:rPr>
          <w:rtl/>
        </w:rPr>
        <w:t xml:space="preserve"> في تشغيل صندوق التبرعات</w:t>
      </w:r>
    </w:p>
    <w:p w:rsidR="00863DC7" w:rsidRPr="00863DC7" w:rsidRDefault="00863DC7" w:rsidP="00892895">
      <w:pPr>
        <w:pStyle w:val="BodyText"/>
        <w:ind w:left="1134"/>
        <w:contextualSpacing/>
      </w:pPr>
      <w:r w:rsidRPr="00863DC7">
        <w:rPr>
          <w:rtl/>
        </w:rPr>
        <w:t>انظر الوثائق</w:t>
      </w:r>
      <w:r w:rsidRPr="00863DC7">
        <w:t xml:space="preserve"> WIPO/GRTKF/IC/</w:t>
      </w:r>
      <w:r w:rsidR="00892895">
        <w:t>39</w:t>
      </w:r>
      <w:r w:rsidRPr="00863DC7">
        <w:t xml:space="preserve">/3 </w:t>
      </w:r>
      <w:r w:rsidRPr="00863DC7">
        <w:rPr>
          <w:rtl/>
        </w:rPr>
        <w:t>و</w:t>
      </w:r>
      <w:r w:rsidRPr="00863DC7">
        <w:t>WIPO/GRTKF/IC/</w:t>
      </w:r>
      <w:r w:rsidR="00892895">
        <w:t>39</w:t>
      </w:r>
      <w:r w:rsidRPr="00863DC7">
        <w:t>/INF/4</w:t>
      </w:r>
      <w:r w:rsidR="00892895">
        <w:t xml:space="preserve"> </w:t>
      </w:r>
      <w:r w:rsidRPr="00863DC7">
        <w:rPr>
          <w:rtl/>
        </w:rPr>
        <w:t>و</w:t>
      </w:r>
      <w:r w:rsidRPr="00863DC7">
        <w:t>WIPO/GRTKF/IC/</w:t>
      </w:r>
      <w:r w:rsidR="00892895">
        <w:t>39</w:t>
      </w:r>
      <w:r w:rsidRPr="00863DC7">
        <w:t>/INF/6</w:t>
      </w:r>
      <w:r w:rsidRPr="00863DC7">
        <w:rPr>
          <w:rFonts w:hint="cs"/>
          <w:rtl/>
        </w:rPr>
        <w:t>.</w:t>
      </w:r>
    </w:p>
    <w:p w:rsidR="00863DC7" w:rsidRPr="00863DC7" w:rsidRDefault="00863DC7" w:rsidP="00892895">
      <w:pPr>
        <w:pStyle w:val="BodyText"/>
        <w:keepNext/>
        <w:numPr>
          <w:ilvl w:val="0"/>
          <w:numId w:val="45"/>
        </w:numPr>
        <w:ind w:left="1134" w:hanging="567"/>
      </w:pPr>
      <w:r w:rsidRPr="00863DC7">
        <w:rPr>
          <w:rtl/>
        </w:rPr>
        <w:t>تعيين أعضاء المجلس الاستشاري لصندوق التبرعات</w:t>
      </w:r>
    </w:p>
    <w:p w:rsidR="00863DC7" w:rsidRPr="00863DC7" w:rsidRDefault="00863DC7" w:rsidP="00892895">
      <w:pPr>
        <w:pStyle w:val="BodyText"/>
        <w:ind w:left="1134"/>
        <w:contextualSpacing/>
      </w:pPr>
      <w:r w:rsidRPr="00863DC7">
        <w:rPr>
          <w:rtl/>
        </w:rPr>
        <w:t>انظر الوثيقة</w:t>
      </w:r>
      <w:r w:rsidRPr="00863DC7">
        <w:rPr>
          <w:rFonts w:hint="cs"/>
          <w:rtl/>
        </w:rPr>
        <w:t xml:space="preserve"> </w:t>
      </w:r>
      <w:r w:rsidRPr="00863DC7">
        <w:t>WIPO/GRTKF/IC/</w:t>
      </w:r>
      <w:r w:rsidR="00892895">
        <w:t>39</w:t>
      </w:r>
      <w:r w:rsidRPr="00863DC7">
        <w:t>/3</w:t>
      </w:r>
      <w:r w:rsidRPr="00863DC7">
        <w:rPr>
          <w:rFonts w:hint="cs"/>
          <w:rtl/>
        </w:rPr>
        <w:t>.</w:t>
      </w:r>
    </w:p>
    <w:p w:rsidR="00863DC7" w:rsidRPr="00863DC7" w:rsidRDefault="00863DC7" w:rsidP="00892895">
      <w:pPr>
        <w:pStyle w:val="BodyText"/>
        <w:keepNext/>
        <w:numPr>
          <w:ilvl w:val="0"/>
          <w:numId w:val="45"/>
        </w:numPr>
        <w:ind w:left="1134" w:hanging="567"/>
      </w:pPr>
      <w:r w:rsidRPr="00863DC7">
        <w:rPr>
          <w:rtl/>
        </w:rPr>
        <w:t>مذكرة إعلامية لمنبر الجماعات الأصلية والمحلية</w:t>
      </w:r>
    </w:p>
    <w:p w:rsidR="00863DC7" w:rsidRPr="00863DC7" w:rsidRDefault="00863DC7" w:rsidP="00892895">
      <w:pPr>
        <w:pStyle w:val="BodyText"/>
        <w:ind w:left="1134"/>
        <w:contextualSpacing/>
      </w:pPr>
      <w:r w:rsidRPr="00863DC7">
        <w:rPr>
          <w:rtl/>
        </w:rPr>
        <w:t xml:space="preserve">انظر </w:t>
      </w:r>
      <w:proofErr w:type="gramStart"/>
      <w:r w:rsidRPr="00863DC7">
        <w:rPr>
          <w:rtl/>
        </w:rPr>
        <w:t>الوثيقة</w:t>
      </w:r>
      <w:r w:rsidRPr="00863DC7">
        <w:rPr>
          <w:rFonts w:hint="cs"/>
          <w:rtl/>
        </w:rPr>
        <w:t xml:space="preserve"> </w:t>
      </w:r>
      <w:r w:rsidRPr="00863DC7">
        <w:t>.WIPO</w:t>
      </w:r>
      <w:proofErr w:type="gramEnd"/>
      <w:r w:rsidRPr="00863DC7">
        <w:t>/GRTKF/IC/</w:t>
      </w:r>
      <w:r w:rsidR="00892895">
        <w:t>39</w:t>
      </w:r>
      <w:r w:rsidRPr="00863DC7">
        <w:t>/INF/5</w:t>
      </w:r>
    </w:p>
    <w:p w:rsidR="00863DC7" w:rsidRPr="00863DC7" w:rsidRDefault="00863DC7" w:rsidP="00892895">
      <w:pPr>
        <w:pStyle w:val="ONUMA"/>
        <w:rPr>
          <w:lang w:bidi="ar-EG"/>
        </w:rPr>
      </w:pPr>
      <w:r w:rsidRPr="00863DC7">
        <w:rPr>
          <w:rFonts w:hint="cs"/>
          <w:rtl/>
        </w:rPr>
        <w:t xml:space="preserve">تقرير </w:t>
      </w:r>
      <w:r w:rsidRPr="00863DC7">
        <w:rPr>
          <w:rtl/>
        </w:rPr>
        <w:t>فريق الخبراء المخصص المعني</w:t>
      </w:r>
      <w:r w:rsidRPr="00863DC7">
        <w:rPr>
          <w:rFonts w:hint="cs"/>
          <w:rtl/>
        </w:rPr>
        <w:t xml:space="preserve"> بالمعارف التقليدية وأشكال التعبير الثقافي التقليدي</w:t>
      </w:r>
    </w:p>
    <w:p w:rsidR="00863DC7" w:rsidRPr="00863DC7" w:rsidRDefault="00863DC7" w:rsidP="00892895">
      <w:pPr>
        <w:pStyle w:val="ONUMA"/>
        <w:rPr>
          <w:lang w:bidi="ar-EG"/>
        </w:rPr>
      </w:pPr>
      <w:r w:rsidRPr="00863DC7">
        <w:rPr>
          <w:rFonts w:hint="cs"/>
          <w:rtl/>
        </w:rPr>
        <w:t>المعارف التقليدية/أشكال التعبير الثقافي التقليدي</w:t>
      </w:r>
    </w:p>
    <w:p w:rsidR="00863DC7" w:rsidRPr="00863DC7" w:rsidRDefault="00863DC7" w:rsidP="00892895">
      <w:pPr>
        <w:pStyle w:val="BodyText"/>
        <w:keepNext/>
        <w:numPr>
          <w:ilvl w:val="0"/>
          <w:numId w:val="45"/>
        </w:numPr>
        <w:ind w:left="1134" w:hanging="567"/>
        <w:rPr>
          <w:rtl/>
        </w:rPr>
      </w:pPr>
      <w:r w:rsidRPr="00863DC7">
        <w:rPr>
          <w:rFonts w:hint="cs"/>
          <w:rtl/>
        </w:rPr>
        <w:t>حماية المعارف التقليدية: مشروع مواد</w:t>
      </w:r>
    </w:p>
    <w:p w:rsidR="00863DC7" w:rsidRPr="00863DC7" w:rsidRDefault="00863DC7" w:rsidP="00892895">
      <w:pPr>
        <w:pStyle w:val="BodyText"/>
        <w:ind w:left="1134"/>
        <w:contextualSpacing/>
      </w:pPr>
      <w:r w:rsidRPr="00863DC7">
        <w:rPr>
          <w:rtl/>
        </w:rPr>
        <w:t xml:space="preserve">انظر الوثيقة </w:t>
      </w:r>
      <w:r w:rsidRPr="00863DC7">
        <w:t>WIPO/GRTKF/IC/</w:t>
      </w:r>
      <w:r w:rsidR="00892895">
        <w:t>39</w:t>
      </w:r>
      <w:r w:rsidRPr="00863DC7">
        <w:t>/4</w:t>
      </w:r>
      <w:r w:rsidRPr="00863DC7">
        <w:rPr>
          <w:rtl/>
        </w:rPr>
        <w:t>.</w:t>
      </w:r>
    </w:p>
    <w:p w:rsidR="00863DC7" w:rsidRPr="00863DC7" w:rsidRDefault="00863DC7" w:rsidP="00892895">
      <w:pPr>
        <w:pStyle w:val="BodyText"/>
        <w:keepNext/>
        <w:numPr>
          <w:ilvl w:val="0"/>
          <w:numId w:val="45"/>
        </w:numPr>
        <w:ind w:left="1134" w:hanging="567"/>
      </w:pPr>
      <w:r w:rsidRPr="00863DC7">
        <w:rPr>
          <w:rFonts w:hint="cs"/>
          <w:rtl/>
        </w:rPr>
        <w:t>حماية أشكال التعبير الثقافي التقليدي: مشروع مواد</w:t>
      </w:r>
    </w:p>
    <w:p w:rsidR="00863DC7" w:rsidRPr="00863DC7" w:rsidRDefault="00863DC7" w:rsidP="00892895">
      <w:pPr>
        <w:pStyle w:val="BodyText"/>
        <w:ind w:left="1134"/>
        <w:contextualSpacing/>
      </w:pPr>
      <w:r w:rsidRPr="00863DC7">
        <w:rPr>
          <w:rtl/>
        </w:rPr>
        <w:t xml:space="preserve">انظر الوثيقة </w:t>
      </w:r>
      <w:r w:rsidRPr="00863DC7">
        <w:t>WIPO/GRTKF/IC/</w:t>
      </w:r>
      <w:r w:rsidR="00892895">
        <w:t>39</w:t>
      </w:r>
      <w:r w:rsidRPr="00863DC7">
        <w:t>/5</w:t>
      </w:r>
      <w:r w:rsidRPr="00863DC7">
        <w:rPr>
          <w:rtl/>
        </w:rPr>
        <w:t>.</w:t>
      </w:r>
    </w:p>
    <w:p w:rsidR="00863DC7" w:rsidRPr="00863DC7" w:rsidRDefault="00863DC7" w:rsidP="0062151E">
      <w:pPr>
        <w:pStyle w:val="BodyText"/>
        <w:keepNext/>
        <w:numPr>
          <w:ilvl w:val="0"/>
          <w:numId w:val="45"/>
        </w:numPr>
        <w:ind w:left="1134" w:hanging="567"/>
        <w:rPr>
          <w:rtl/>
        </w:rPr>
      </w:pPr>
      <w:r w:rsidRPr="00863DC7">
        <w:rPr>
          <w:rFonts w:hint="cs"/>
          <w:rtl/>
        </w:rPr>
        <w:t>حماية ا</w:t>
      </w:r>
      <w:r w:rsidR="0062151E">
        <w:rPr>
          <w:rFonts w:hint="cs"/>
          <w:rtl/>
        </w:rPr>
        <w:t xml:space="preserve">لمعارف التقليدية: مشروع </w:t>
      </w:r>
      <w:r w:rsidRPr="00863DC7">
        <w:rPr>
          <w:rFonts w:hint="cs"/>
          <w:rtl/>
        </w:rPr>
        <w:t>تحليل الثغرات</w:t>
      </w:r>
      <w:r w:rsidR="0062151E" w:rsidRPr="0062151E">
        <w:rPr>
          <w:rFonts w:hint="cs"/>
          <w:rtl/>
        </w:rPr>
        <w:t xml:space="preserve"> </w:t>
      </w:r>
      <w:r w:rsidR="0062151E">
        <w:rPr>
          <w:rFonts w:hint="cs"/>
          <w:rtl/>
        </w:rPr>
        <w:t>المحدَّث</w:t>
      </w:r>
    </w:p>
    <w:p w:rsidR="00863DC7" w:rsidRPr="00863DC7" w:rsidRDefault="00863DC7" w:rsidP="00892895">
      <w:pPr>
        <w:pStyle w:val="BodyText"/>
        <w:ind w:left="1134"/>
        <w:contextualSpacing/>
        <w:rPr>
          <w:rtl/>
        </w:rPr>
      </w:pPr>
      <w:r w:rsidRPr="00863DC7">
        <w:rPr>
          <w:rFonts w:hint="cs"/>
          <w:rtl/>
        </w:rPr>
        <w:t xml:space="preserve">انظر الوثيقة </w:t>
      </w:r>
      <w:r w:rsidRPr="00863DC7">
        <w:t>WIPO/GRTKF/IC/</w:t>
      </w:r>
      <w:r w:rsidR="00892895">
        <w:t>39</w:t>
      </w:r>
      <w:r w:rsidRPr="00863DC7">
        <w:t>/6</w:t>
      </w:r>
      <w:r w:rsidRPr="00863DC7">
        <w:rPr>
          <w:rFonts w:hint="cs"/>
          <w:rtl/>
        </w:rPr>
        <w:t>.</w:t>
      </w:r>
    </w:p>
    <w:p w:rsidR="00863DC7" w:rsidRPr="00863DC7" w:rsidRDefault="00863DC7" w:rsidP="0062151E">
      <w:pPr>
        <w:pStyle w:val="BodyText"/>
        <w:keepNext/>
        <w:numPr>
          <w:ilvl w:val="0"/>
          <w:numId w:val="45"/>
        </w:numPr>
        <w:ind w:left="1134" w:hanging="567"/>
      </w:pPr>
      <w:r w:rsidRPr="00863DC7">
        <w:rPr>
          <w:rFonts w:hint="cs"/>
          <w:rtl/>
        </w:rPr>
        <w:t xml:space="preserve">حماية أشكال التعبير </w:t>
      </w:r>
      <w:r w:rsidR="0062151E">
        <w:rPr>
          <w:rFonts w:hint="cs"/>
          <w:rtl/>
        </w:rPr>
        <w:t xml:space="preserve">الثقافي التقليدي: مشروع </w:t>
      </w:r>
      <w:r w:rsidRPr="00863DC7">
        <w:rPr>
          <w:rFonts w:hint="cs"/>
          <w:rtl/>
        </w:rPr>
        <w:t>تحليل الثغرات</w:t>
      </w:r>
      <w:r w:rsidR="0062151E" w:rsidRPr="0062151E">
        <w:rPr>
          <w:rFonts w:hint="cs"/>
          <w:rtl/>
        </w:rPr>
        <w:t xml:space="preserve"> </w:t>
      </w:r>
      <w:r w:rsidR="0062151E">
        <w:rPr>
          <w:rFonts w:hint="cs"/>
          <w:rtl/>
        </w:rPr>
        <w:t>المحدَّث</w:t>
      </w:r>
    </w:p>
    <w:p w:rsidR="00863DC7" w:rsidRPr="00863DC7" w:rsidRDefault="00863DC7" w:rsidP="00892895">
      <w:pPr>
        <w:pStyle w:val="BodyText"/>
        <w:ind w:left="1134"/>
        <w:contextualSpacing/>
      </w:pPr>
      <w:r w:rsidRPr="00863DC7">
        <w:rPr>
          <w:rtl/>
        </w:rPr>
        <w:t xml:space="preserve">انظر الوثيقة </w:t>
      </w:r>
      <w:r w:rsidRPr="00863DC7">
        <w:t>WIPO/GRTKF/IC/</w:t>
      </w:r>
      <w:r w:rsidR="00892895">
        <w:t>39</w:t>
      </w:r>
      <w:r w:rsidRPr="00863DC7">
        <w:t>/7</w:t>
      </w:r>
      <w:r w:rsidRPr="00863DC7">
        <w:rPr>
          <w:rtl/>
        </w:rPr>
        <w:t>.</w:t>
      </w:r>
    </w:p>
    <w:p w:rsidR="00863DC7" w:rsidRPr="00863DC7" w:rsidRDefault="00863DC7" w:rsidP="00892895">
      <w:pPr>
        <w:pStyle w:val="BodyText"/>
        <w:keepNext/>
        <w:numPr>
          <w:ilvl w:val="0"/>
          <w:numId w:val="45"/>
        </w:numPr>
        <w:ind w:left="1134" w:hanging="567"/>
        <w:rPr>
          <w:rtl/>
        </w:rPr>
      </w:pPr>
      <w:r w:rsidRPr="00863DC7">
        <w:rPr>
          <w:rFonts w:hint="cs"/>
          <w:rtl/>
        </w:rPr>
        <w:t xml:space="preserve">تقرير عن </w:t>
      </w:r>
      <w:r w:rsidRPr="00863DC7">
        <w:rPr>
          <w:rtl/>
        </w:rPr>
        <w:t>تجميع المواد بشأن قواعد البيانات المتعلقة بالموارد الوراثية والمعارف التقليدية المرتبطة بها</w:t>
      </w:r>
    </w:p>
    <w:p w:rsidR="00863DC7" w:rsidRPr="00863DC7" w:rsidRDefault="00863DC7" w:rsidP="00892895">
      <w:pPr>
        <w:pStyle w:val="BodyText"/>
        <w:ind w:left="1134"/>
        <w:contextualSpacing/>
      </w:pPr>
      <w:r w:rsidRPr="00863DC7">
        <w:rPr>
          <w:rFonts w:hint="cs"/>
          <w:rtl/>
        </w:rPr>
        <w:t xml:space="preserve">انظر الوثيقة </w:t>
      </w:r>
      <w:r w:rsidRPr="00863DC7">
        <w:t>WIPO/GRTKF/IC/</w:t>
      </w:r>
      <w:r w:rsidR="00892895">
        <w:t>39</w:t>
      </w:r>
      <w:r w:rsidRPr="00863DC7">
        <w:t>/8</w:t>
      </w:r>
      <w:r w:rsidRPr="00863DC7">
        <w:rPr>
          <w:rFonts w:hint="cs"/>
          <w:rtl/>
        </w:rPr>
        <w:t>.</w:t>
      </w:r>
    </w:p>
    <w:p w:rsidR="00863DC7" w:rsidRPr="00863DC7" w:rsidRDefault="00863DC7" w:rsidP="00892895">
      <w:pPr>
        <w:pStyle w:val="BodyText"/>
        <w:keepNext/>
        <w:numPr>
          <w:ilvl w:val="0"/>
          <w:numId w:val="45"/>
        </w:numPr>
        <w:ind w:left="1134" w:hanging="567"/>
        <w:rPr>
          <w:rtl/>
        </w:rPr>
      </w:pPr>
      <w:r w:rsidRPr="00863DC7">
        <w:rPr>
          <w:rFonts w:hint="cs"/>
          <w:rtl/>
        </w:rPr>
        <w:t>ت</w:t>
      </w:r>
      <w:r w:rsidRPr="00863DC7">
        <w:rPr>
          <w:rtl/>
        </w:rPr>
        <w:t>قرير عن تجميع المواد بشأن أنظمة الكشف المتعلقة بالموارد الوراثية والمعارف التقليدية المرتبطة بها</w:t>
      </w:r>
    </w:p>
    <w:p w:rsidR="00863DC7" w:rsidRDefault="00863DC7" w:rsidP="00892895">
      <w:pPr>
        <w:pStyle w:val="BodyText"/>
        <w:ind w:left="1134"/>
        <w:contextualSpacing/>
        <w:rPr>
          <w:rtl/>
        </w:rPr>
      </w:pPr>
      <w:r w:rsidRPr="00863DC7">
        <w:rPr>
          <w:rFonts w:hint="cs"/>
          <w:rtl/>
        </w:rPr>
        <w:t xml:space="preserve">انظر الوثيقة </w:t>
      </w:r>
      <w:r w:rsidRPr="00863DC7">
        <w:t>WIPO/GRTKF/IC/</w:t>
      </w:r>
      <w:r w:rsidR="00892895">
        <w:t>39</w:t>
      </w:r>
      <w:r w:rsidRPr="00863DC7">
        <w:t>/9</w:t>
      </w:r>
      <w:r w:rsidRPr="00863DC7">
        <w:rPr>
          <w:rFonts w:hint="cs"/>
          <w:rtl/>
        </w:rPr>
        <w:t>.</w:t>
      </w:r>
    </w:p>
    <w:p w:rsidR="00194A18" w:rsidRDefault="00194A18" w:rsidP="00194A18">
      <w:pPr>
        <w:pStyle w:val="BodyText"/>
        <w:keepNext/>
        <w:numPr>
          <w:ilvl w:val="0"/>
          <w:numId w:val="45"/>
        </w:numPr>
        <w:ind w:left="1134" w:hanging="567"/>
      </w:pPr>
      <w:r w:rsidRPr="00194A18">
        <w:rPr>
          <w:rtl/>
          <w:lang w:bidi="ar-SA"/>
        </w:rPr>
        <w:t>الأثر الاقتصادي لتأخر البراءات وعدم اليقين بشأنها: مخاوف الولايات المتحدة بشأن المقترحات المتعلقة بمتطلبات الكشف الجديدة عن البراءات</w:t>
      </w:r>
    </w:p>
    <w:p w:rsidR="00194A18" w:rsidRDefault="00194A18" w:rsidP="00194A18">
      <w:pPr>
        <w:pStyle w:val="BodyText"/>
        <w:ind w:left="1134"/>
        <w:contextualSpacing/>
        <w:rPr>
          <w:rtl/>
          <w:lang w:bidi="ar-SA"/>
        </w:rPr>
      </w:pPr>
      <w:r w:rsidRPr="00194A18">
        <w:rPr>
          <w:rFonts w:hint="cs"/>
          <w:rtl/>
        </w:rPr>
        <w:t xml:space="preserve">انظر الوثيقة </w:t>
      </w:r>
      <w:r w:rsidRPr="00194A18">
        <w:t>WIPO/GRTKF/IC/39/</w:t>
      </w:r>
      <w:r>
        <w:t>10</w:t>
      </w:r>
      <w:r w:rsidRPr="00194A18">
        <w:rPr>
          <w:rFonts w:hint="cs"/>
          <w:rtl/>
        </w:rPr>
        <w:t>.</w:t>
      </w:r>
    </w:p>
    <w:p w:rsidR="00194A18" w:rsidRDefault="00194A18" w:rsidP="00194A18">
      <w:pPr>
        <w:pStyle w:val="BodyText"/>
        <w:keepNext/>
        <w:numPr>
          <w:ilvl w:val="0"/>
          <w:numId w:val="45"/>
        </w:numPr>
        <w:ind w:left="1134" w:hanging="567"/>
        <w:rPr>
          <w:lang w:bidi="ar-SA"/>
        </w:rPr>
      </w:pPr>
      <w:r w:rsidRPr="00194A18">
        <w:rPr>
          <w:rtl/>
          <w:lang w:bidi="ar-SA"/>
        </w:rPr>
        <w:lastRenderedPageBreak/>
        <w:t>تحديد أمثلة عن المعارف التقليدية لإثراء النقاش حول بيان الموضوع القابل للحماية والموضوع الذي لا</w:t>
      </w:r>
      <w:r w:rsidR="0062151E">
        <w:rPr>
          <w:rFonts w:hint="cs"/>
          <w:rtl/>
          <w:lang w:bidi="ar-SA"/>
        </w:rPr>
        <w:t xml:space="preserve"> </w:t>
      </w:r>
      <w:r w:rsidRPr="00194A18">
        <w:rPr>
          <w:rtl/>
          <w:lang w:bidi="ar-SA"/>
        </w:rPr>
        <w:t>تُطلب حمايته</w:t>
      </w:r>
    </w:p>
    <w:p w:rsidR="00194A18" w:rsidRDefault="00194A18" w:rsidP="00194A18">
      <w:pPr>
        <w:pStyle w:val="BodyText"/>
        <w:ind w:left="1134"/>
        <w:contextualSpacing/>
        <w:rPr>
          <w:lang w:bidi="ar-SA"/>
        </w:rPr>
      </w:pPr>
      <w:r w:rsidRPr="00194A18">
        <w:rPr>
          <w:rFonts w:hint="cs"/>
          <w:rtl/>
        </w:rPr>
        <w:t xml:space="preserve">انظر الوثيقة </w:t>
      </w:r>
      <w:r w:rsidRPr="00194A18">
        <w:t>WIPO/GRTKF/IC/39/</w:t>
      </w:r>
      <w:r>
        <w:t>11</w:t>
      </w:r>
      <w:r w:rsidRPr="00194A18">
        <w:rPr>
          <w:rFonts w:hint="cs"/>
          <w:rtl/>
        </w:rPr>
        <w:t>.</w:t>
      </w:r>
    </w:p>
    <w:p w:rsidR="00194A18" w:rsidRDefault="00194A18" w:rsidP="00194A18">
      <w:pPr>
        <w:pStyle w:val="BodyText"/>
        <w:keepNext/>
        <w:numPr>
          <w:ilvl w:val="0"/>
          <w:numId w:val="45"/>
        </w:numPr>
        <w:ind w:left="1134" w:hanging="567"/>
        <w:rPr>
          <w:lang w:bidi="ar-SA"/>
        </w:rPr>
      </w:pPr>
      <w:r w:rsidRPr="00194A18">
        <w:rPr>
          <w:rFonts w:hint="eastAsia"/>
          <w:rtl/>
          <w:lang w:bidi="ar-SA"/>
        </w:rPr>
        <w:t>اقتراح</w:t>
      </w:r>
      <w:r w:rsidRPr="00194A18">
        <w:rPr>
          <w:rtl/>
          <w:lang w:bidi="ar-SA"/>
        </w:rPr>
        <w:t xml:space="preserve"> </w:t>
      </w:r>
      <w:r w:rsidRPr="00194A18">
        <w:rPr>
          <w:rFonts w:hint="eastAsia"/>
          <w:rtl/>
          <w:lang w:bidi="ar-SA"/>
        </w:rPr>
        <w:t>دراسة</w:t>
      </w:r>
      <w:r w:rsidRPr="00194A18">
        <w:rPr>
          <w:rtl/>
          <w:lang w:bidi="ar-SA"/>
        </w:rPr>
        <w:t xml:space="preserve"> </w:t>
      </w:r>
      <w:r w:rsidRPr="00194A18">
        <w:rPr>
          <w:rFonts w:hint="eastAsia"/>
          <w:rtl/>
          <w:lang w:bidi="ar-SA"/>
        </w:rPr>
        <w:t>لأمانة</w:t>
      </w:r>
      <w:r w:rsidRPr="00194A18">
        <w:rPr>
          <w:rtl/>
          <w:lang w:bidi="ar-SA"/>
        </w:rPr>
        <w:t xml:space="preserve"> </w:t>
      </w:r>
      <w:proofErr w:type="spellStart"/>
      <w:r w:rsidRPr="00194A18">
        <w:rPr>
          <w:rFonts w:hint="eastAsia"/>
          <w:rtl/>
          <w:lang w:bidi="ar-SA"/>
        </w:rPr>
        <w:t>الويبو</w:t>
      </w:r>
      <w:proofErr w:type="spellEnd"/>
      <w:r w:rsidRPr="00194A18">
        <w:rPr>
          <w:rtl/>
          <w:lang w:bidi="ar-SA"/>
        </w:rPr>
        <w:t xml:space="preserve"> </w:t>
      </w:r>
      <w:r w:rsidRPr="00194A18">
        <w:rPr>
          <w:rFonts w:hint="eastAsia"/>
          <w:rtl/>
          <w:lang w:bidi="ar-SA"/>
        </w:rPr>
        <w:t>بشأن</w:t>
      </w:r>
      <w:r w:rsidRPr="00194A18">
        <w:rPr>
          <w:rtl/>
          <w:lang w:bidi="ar-SA"/>
        </w:rPr>
        <w:t xml:space="preserve"> </w:t>
      </w:r>
      <w:r w:rsidRPr="00194A18">
        <w:rPr>
          <w:rFonts w:hint="eastAsia"/>
          <w:rtl/>
          <w:lang w:bidi="ar-SA"/>
        </w:rPr>
        <w:t>ما</w:t>
      </w:r>
      <w:r w:rsidRPr="00194A18">
        <w:rPr>
          <w:rtl/>
          <w:lang w:bidi="ar-SA"/>
        </w:rPr>
        <w:t xml:space="preserve"> </w:t>
      </w:r>
      <w:r w:rsidRPr="00194A18">
        <w:rPr>
          <w:rFonts w:hint="eastAsia"/>
          <w:rtl/>
          <w:lang w:bidi="ar-SA"/>
        </w:rPr>
        <w:t>يوجد</w:t>
      </w:r>
      <w:r w:rsidRPr="00194A18">
        <w:rPr>
          <w:rtl/>
          <w:lang w:bidi="ar-SA"/>
        </w:rPr>
        <w:t xml:space="preserve"> </w:t>
      </w:r>
      <w:r w:rsidRPr="00194A18">
        <w:rPr>
          <w:rFonts w:hint="eastAsia"/>
          <w:rtl/>
          <w:lang w:bidi="ar-SA"/>
        </w:rPr>
        <w:t>من</w:t>
      </w:r>
      <w:r w:rsidRPr="00194A18">
        <w:rPr>
          <w:rtl/>
          <w:lang w:bidi="ar-SA"/>
        </w:rPr>
        <w:t xml:space="preserve"> </w:t>
      </w:r>
      <w:r w:rsidRPr="00194A18">
        <w:rPr>
          <w:rFonts w:hint="eastAsia"/>
          <w:rtl/>
          <w:lang w:bidi="ar-SA"/>
        </w:rPr>
        <w:t>أنظمة</w:t>
      </w:r>
      <w:r w:rsidRPr="00194A18">
        <w:rPr>
          <w:rtl/>
          <w:lang w:bidi="ar-SA"/>
        </w:rPr>
        <w:t xml:space="preserve"> </w:t>
      </w:r>
      <w:r w:rsidRPr="00194A18">
        <w:rPr>
          <w:rFonts w:hint="eastAsia"/>
          <w:rtl/>
          <w:lang w:bidi="ar-SA"/>
        </w:rPr>
        <w:t>خاصة</w:t>
      </w:r>
      <w:r w:rsidRPr="00194A18">
        <w:rPr>
          <w:rtl/>
          <w:lang w:bidi="ar-SA"/>
        </w:rPr>
        <w:t xml:space="preserve"> </w:t>
      </w:r>
      <w:r w:rsidRPr="00194A18">
        <w:rPr>
          <w:rFonts w:hint="eastAsia"/>
          <w:rtl/>
          <w:lang w:bidi="ar-SA"/>
        </w:rPr>
        <w:t>لحماية</w:t>
      </w:r>
      <w:r w:rsidRPr="00194A18">
        <w:rPr>
          <w:rtl/>
          <w:lang w:bidi="ar-SA"/>
        </w:rPr>
        <w:t xml:space="preserve"> </w:t>
      </w:r>
      <w:r w:rsidRPr="00194A18">
        <w:rPr>
          <w:rFonts w:hint="eastAsia"/>
          <w:rtl/>
          <w:lang w:bidi="ar-SA"/>
        </w:rPr>
        <w:t>المعارف</w:t>
      </w:r>
      <w:r w:rsidRPr="00194A18">
        <w:rPr>
          <w:rtl/>
          <w:lang w:bidi="ar-SA"/>
        </w:rPr>
        <w:t xml:space="preserve"> </w:t>
      </w:r>
      <w:r w:rsidRPr="00194A18">
        <w:rPr>
          <w:rFonts w:hint="eastAsia"/>
          <w:rtl/>
          <w:lang w:bidi="ar-SA"/>
        </w:rPr>
        <w:t>التقليدية</w:t>
      </w:r>
      <w:r w:rsidRPr="00194A18">
        <w:rPr>
          <w:rtl/>
          <w:lang w:bidi="ar-SA"/>
        </w:rPr>
        <w:t xml:space="preserve"> </w:t>
      </w:r>
      <w:r w:rsidRPr="00194A18">
        <w:rPr>
          <w:rFonts w:hint="eastAsia"/>
          <w:rtl/>
          <w:lang w:bidi="ar-SA"/>
        </w:rPr>
        <w:t>في</w:t>
      </w:r>
      <w:r w:rsidRPr="00194A18">
        <w:rPr>
          <w:rtl/>
          <w:lang w:bidi="ar-SA"/>
        </w:rPr>
        <w:t xml:space="preserve"> </w:t>
      </w:r>
      <w:r w:rsidRPr="00194A18">
        <w:rPr>
          <w:rFonts w:hint="eastAsia"/>
          <w:rtl/>
          <w:lang w:bidi="ar-SA"/>
        </w:rPr>
        <w:t>الدول</w:t>
      </w:r>
      <w:r w:rsidRPr="00194A18">
        <w:rPr>
          <w:rtl/>
          <w:lang w:bidi="ar-SA"/>
        </w:rPr>
        <w:t xml:space="preserve"> </w:t>
      </w:r>
      <w:r w:rsidRPr="00194A18">
        <w:rPr>
          <w:rFonts w:hint="eastAsia"/>
          <w:rtl/>
          <w:lang w:bidi="ar-SA"/>
        </w:rPr>
        <w:t>الأعضاء</w:t>
      </w:r>
      <w:r w:rsidRPr="00194A18">
        <w:rPr>
          <w:rtl/>
          <w:lang w:bidi="ar-SA"/>
        </w:rPr>
        <w:t xml:space="preserve"> </w:t>
      </w:r>
      <w:r w:rsidRPr="00194A18">
        <w:rPr>
          <w:rFonts w:hint="eastAsia"/>
          <w:rtl/>
          <w:lang w:bidi="ar-SA"/>
        </w:rPr>
        <w:t>في</w:t>
      </w:r>
      <w:r>
        <w:rPr>
          <w:rFonts w:hint="cs"/>
          <w:rtl/>
          <w:lang w:bidi="ar-SA"/>
        </w:rPr>
        <w:t> </w:t>
      </w:r>
      <w:proofErr w:type="spellStart"/>
      <w:r w:rsidRPr="00194A18">
        <w:rPr>
          <w:rFonts w:hint="eastAsia"/>
          <w:rtl/>
          <w:lang w:bidi="ar-SA"/>
        </w:rPr>
        <w:t>الويبو</w:t>
      </w:r>
      <w:proofErr w:type="spellEnd"/>
    </w:p>
    <w:p w:rsidR="00194A18" w:rsidRDefault="00194A18" w:rsidP="00194A18">
      <w:pPr>
        <w:pStyle w:val="BodyText"/>
        <w:ind w:left="1134"/>
        <w:contextualSpacing/>
        <w:rPr>
          <w:rtl/>
          <w:lang w:bidi="ar-SA"/>
        </w:rPr>
      </w:pPr>
      <w:r w:rsidRPr="00194A18">
        <w:rPr>
          <w:rFonts w:hint="cs"/>
          <w:rtl/>
        </w:rPr>
        <w:t xml:space="preserve">انظر الوثيقة </w:t>
      </w:r>
      <w:r w:rsidRPr="00194A18">
        <w:t>WIPO/GRTKF/IC/39/</w:t>
      </w:r>
      <w:r>
        <w:t>12</w:t>
      </w:r>
      <w:r w:rsidRPr="00194A18">
        <w:rPr>
          <w:rFonts w:hint="cs"/>
          <w:rtl/>
        </w:rPr>
        <w:t>.</w:t>
      </w:r>
    </w:p>
    <w:p w:rsidR="00194A18" w:rsidRDefault="00194A18" w:rsidP="00194A18">
      <w:pPr>
        <w:pStyle w:val="BodyText"/>
        <w:keepNext/>
        <w:numPr>
          <w:ilvl w:val="0"/>
          <w:numId w:val="45"/>
        </w:numPr>
        <w:ind w:left="1134" w:hanging="567"/>
        <w:rPr>
          <w:lang w:bidi="ar-SA"/>
        </w:rPr>
      </w:pPr>
      <w:r w:rsidRPr="00194A18">
        <w:rPr>
          <w:rFonts w:hint="eastAsia"/>
          <w:rtl/>
          <w:lang w:bidi="ar-SA"/>
        </w:rPr>
        <w:t>توصية</w:t>
      </w:r>
      <w:r w:rsidRPr="00194A18">
        <w:rPr>
          <w:rtl/>
          <w:lang w:bidi="ar-SA"/>
        </w:rPr>
        <w:t xml:space="preserve"> </w:t>
      </w:r>
      <w:r w:rsidRPr="00194A18">
        <w:rPr>
          <w:rFonts w:hint="eastAsia"/>
          <w:rtl/>
          <w:lang w:bidi="ar-SA"/>
        </w:rPr>
        <w:t>مشتركة</w:t>
      </w:r>
      <w:r w:rsidRPr="00194A18">
        <w:rPr>
          <w:rtl/>
          <w:lang w:bidi="ar-SA"/>
        </w:rPr>
        <w:t xml:space="preserve"> </w:t>
      </w:r>
      <w:r w:rsidRPr="00194A18">
        <w:rPr>
          <w:rFonts w:hint="eastAsia"/>
          <w:rtl/>
          <w:lang w:bidi="ar-SA"/>
        </w:rPr>
        <w:t>بشأن</w:t>
      </w:r>
      <w:r w:rsidRPr="00194A18">
        <w:rPr>
          <w:rtl/>
          <w:lang w:bidi="ar-SA"/>
        </w:rPr>
        <w:t xml:space="preserve"> </w:t>
      </w:r>
      <w:r w:rsidRPr="00194A18">
        <w:rPr>
          <w:rFonts w:hint="cs"/>
          <w:rtl/>
          <w:lang w:bidi="ar-SA"/>
        </w:rPr>
        <w:t>الموارد الوراثية والمعارف التقليدية المرتبطة بها</w:t>
      </w:r>
    </w:p>
    <w:p w:rsidR="00194A18" w:rsidRDefault="00194A18" w:rsidP="00194A18">
      <w:pPr>
        <w:pStyle w:val="BodyText"/>
        <w:ind w:left="1134"/>
        <w:contextualSpacing/>
        <w:rPr>
          <w:rtl/>
          <w:lang w:bidi="ar-SA"/>
        </w:rPr>
      </w:pPr>
      <w:r w:rsidRPr="00194A18">
        <w:rPr>
          <w:rFonts w:hint="cs"/>
          <w:rtl/>
        </w:rPr>
        <w:t xml:space="preserve">انظر الوثيقة </w:t>
      </w:r>
      <w:r w:rsidRPr="00194A18">
        <w:t>WIPO/GRTKF/IC/39/</w:t>
      </w:r>
      <w:r>
        <w:t>13</w:t>
      </w:r>
      <w:r w:rsidRPr="00194A18">
        <w:rPr>
          <w:rFonts w:hint="cs"/>
          <w:rtl/>
        </w:rPr>
        <w:t>.</w:t>
      </w:r>
    </w:p>
    <w:p w:rsidR="00194A18" w:rsidRDefault="00194A18" w:rsidP="00194A18">
      <w:pPr>
        <w:pStyle w:val="BodyText"/>
        <w:keepNext/>
        <w:numPr>
          <w:ilvl w:val="0"/>
          <w:numId w:val="45"/>
        </w:numPr>
        <w:ind w:left="1134" w:hanging="567"/>
        <w:rPr>
          <w:lang w:bidi="ar-SA"/>
        </w:rPr>
      </w:pPr>
      <w:r w:rsidRPr="00194A18">
        <w:rPr>
          <w:rFonts w:hint="cs"/>
          <w:rtl/>
          <w:lang w:bidi="ar-SA"/>
        </w:rPr>
        <w:t>توصية مشتركة بشأن استخدام قواعد البيانات لأغراض الحماية الدفاعية للموارد الوراثية والمعارف التقليدية المرتبطة بها</w:t>
      </w:r>
    </w:p>
    <w:p w:rsidR="00194A18" w:rsidRDefault="00194A18" w:rsidP="00194A18">
      <w:pPr>
        <w:pStyle w:val="BodyText"/>
        <w:ind w:left="1134"/>
        <w:contextualSpacing/>
        <w:rPr>
          <w:rtl/>
        </w:rPr>
      </w:pPr>
      <w:r w:rsidRPr="00194A18">
        <w:rPr>
          <w:rFonts w:hint="cs"/>
          <w:rtl/>
        </w:rPr>
        <w:t xml:space="preserve">انظر الوثيقة </w:t>
      </w:r>
      <w:r w:rsidRPr="00194A18">
        <w:t>WIPO/GRTKF/IC/39/</w:t>
      </w:r>
      <w:r>
        <w:t>14</w:t>
      </w:r>
      <w:r w:rsidRPr="00194A18">
        <w:rPr>
          <w:rFonts w:hint="cs"/>
          <w:rtl/>
        </w:rPr>
        <w:t>.</w:t>
      </w:r>
    </w:p>
    <w:p w:rsidR="00194A18" w:rsidRDefault="00194A18" w:rsidP="00194A18">
      <w:pPr>
        <w:pStyle w:val="BodyText"/>
        <w:keepNext/>
        <w:numPr>
          <w:ilvl w:val="0"/>
          <w:numId w:val="45"/>
        </w:numPr>
        <w:ind w:left="1134" w:hanging="567"/>
      </w:pPr>
      <w:r w:rsidRPr="00194A18">
        <w:rPr>
          <w:rFonts w:hint="cs"/>
          <w:rtl/>
          <w:lang w:bidi="ar-SA"/>
        </w:rPr>
        <w:t xml:space="preserve">اقتراح بخصوص مواصفات دراسة أمانة </w:t>
      </w:r>
      <w:proofErr w:type="spellStart"/>
      <w:r w:rsidRPr="00194A18">
        <w:rPr>
          <w:rFonts w:hint="cs"/>
          <w:rtl/>
          <w:lang w:bidi="ar-SA"/>
        </w:rPr>
        <w:t>الويبو</w:t>
      </w:r>
      <w:proofErr w:type="spellEnd"/>
      <w:r w:rsidRPr="00194A18">
        <w:rPr>
          <w:rFonts w:hint="cs"/>
          <w:rtl/>
          <w:lang w:bidi="ar-SA"/>
        </w:rPr>
        <w:t xml:space="preserve"> بشأن التدابير المتعلقة بتلافي منح البراءات عن خطأ والامتثال للأنظمة الحالية للنفاذ وتقاسم المنافع</w:t>
      </w:r>
    </w:p>
    <w:p w:rsidR="0062151E" w:rsidRDefault="0062151E" w:rsidP="0062151E">
      <w:pPr>
        <w:pStyle w:val="BodyText"/>
        <w:ind w:left="1134"/>
        <w:contextualSpacing/>
        <w:rPr>
          <w:rtl/>
          <w:lang w:bidi="ar-SA"/>
        </w:rPr>
      </w:pPr>
      <w:r w:rsidRPr="0062151E">
        <w:rPr>
          <w:rFonts w:hint="cs"/>
          <w:rtl/>
        </w:rPr>
        <w:t xml:space="preserve">انظر الوثيقة </w:t>
      </w:r>
      <w:r w:rsidRPr="0062151E">
        <w:t>WIPO/GRTKF/IC/39/</w:t>
      </w:r>
      <w:r>
        <w:t>15</w:t>
      </w:r>
      <w:r w:rsidRPr="0062151E">
        <w:rPr>
          <w:rFonts w:hint="cs"/>
          <w:rtl/>
        </w:rPr>
        <w:t>.</w:t>
      </w:r>
    </w:p>
    <w:p w:rsidR="0062151E" w:rsidRDefault="0062151E" w:rsidP="0062151E">
      <w:pPr>
        <w:pStyle w:val="BodyText"/>
        <w:keepNext/>
        <w:numPr>
          <w:ilvl w:val="0"/>
          <w:numId w:val="45"/>
        </w:numPr>
        <w:ind w:left="1134" w:hanging="567"/>
        <w:rPr>
          <w:lang w:bidi="ar-SA"/>
        </w:rPr>
      </w:pPr>
      <w:r w:rsidRPr="0062151E">
        <w:rPr>
          <w:rFonts w:hint="cs"/>
          <w:rtl/>
          <w:lang w:bidi="ar-SA"/>
        </w:rPr>
        <w:t xml:space="preserve">اقتراح مواصفات دراسة بشأن </w:t>
      </w:r>
      <w:r>
        <w:rPr>
          <w:rFonts w:hint="cs"/>
          <w:rtl/>
          <w:lang w:bidi="ar-SA"/>
        </w:rPr>
        <w:t>المعارف التقليدية</w:t>
      </w:r>
    </w:p>
    <w:p w:rsidR="0062151E" w:rsidRDefault="0062151E" w:rsidP="0062151E">
      <w:pPr>
        <w:pStyle w:val="BodyText"/>
        <w:ind w:left="1134"/>
        <w:contextualSpacing/>
        <w:rPr>
          <w:rtl/>
          <w:lang w:bidi="ar-SA"/>
        </w:rPr>
      </w:pPr>
      <w:r w:rsidRPr="0062151E">
        <w:rPr>
          <w:rFonts w:hint="cs"/>
          <w:rtl/>
        </w:rPr>
        <w:t xml:space="preserve">انظر الوثيقة </w:t>
      </w:r>
      <w:r w:rsidRPr="0062151E">
        <w:t>WIPO/GRTKF/IC/39/</w:t>
      </w:r>
      <w:r>
        <w:t>16</w:t>
      </w:r>
      <w:r w:rsidRPr="0062151E">
        <w:rPr>
          <w:rFonts w:hint="cs"/>
          <w:rtl/>
        </w:rPr>
        <w:t>.</w:t>
      </w:r>
    </w:p>
    <w:p w:rsidR="0062151E" w:rsidRPr="0062151E" w:rsidRDefault="0062151E" w:rsidP="0062151E">
      <w:pPr>
        <w:pStyle w:val="BodyText"/>
        <w:numPr>
          <w:ilvl w:val="0"/>
          <w:numId w:val="45"/>
        </w:numPr>
      </w:pPr>
      <w:r w:rsidRPr="0062151E">
        <w:rPr>
          <w:rFonts w:hint="cs"/>
          <w:rtl/>
          <w:lang w:bidi="ar-SA"/>
        </w:rPr>
        <w:t xml:space="preserve">اقتراح </w:t>
      </w:r>
      <w:r>
        <w:rPr>
          <w:rFonts w:hint="cs"/>
          <w:rtl/>
          <w:lang w:bidi="ar-SA"/>
        </w:rPr>
        <w:t>الاتحاد الأوروبي ل</w:t>
      </w:r>
      <w:r w:rsidRPr="0062151E">
        <w:rPr>
          <w:rFonts w:hint="cs"/>
          <w:rtl/>
          <w:lang w:bidi="ar-SA"/>
        </w:rPr>
        <w:t xml:space="preserve">دراسة بشأن </w:t>
      </w:r>
      <w:r>
        <w:rPr>
          <w:rFonts w:hint="cs"/>
          <w:rtl/>
        </w:rPr>
        <w:t>أشكال التعبير الثقافي التقليدي</w:t>
      </w:r>
    </w:p>
    <w:p w:rsidR="0062151E" w:rsidRPr="0062151E" w:rsidRDefault="0062151E" w:rsidP="0062151E">
      <w:pPr>
        <w:pStyle w:val="BodyText"/>
        <w:ind w:left="1134"/>
        <w:contextualSpacing/>
        <w:rPr>
          <w:rtl/>
        </w:rPr>
      </w:pPr>
      <w:r w:rsidRPr="0062151E">
        <w:rPr>
          <w:rFonts w:hint="cs"/>
          <w:rtl/>
        </w:rPr>
        <w:t xml:space="preserve">انظر الوثيقة </w:t>
      </w:r>
      <w:r w:rsidRPr="0062151E">
        <w:rPr>
          <w:lang w:bidi="ar-SA"/>
        </w:rPr>
        <w:t>WIPO/GRTKF/IC/39/</w:t>
      </w:r>
      <w:r>
        <w:rPr>
          <w:lang w:bidi="ar-SA"/>
        </w:rPr>
        <w:t>17</w:t>
      </w:r>
      <w:r w:rsidRPr="0062151E">
        <w:rPr>
          <w:rFonts w:hint="cs"/>
          <w:rtl/>
        </w:rPr>
        <w:t>.</w:t>
      </w:r>
    </w:p>
    <w:p w:rsidR="00863DC7" w:rsidRPr="00863DC7" w:rsidRDefault="00863DC7" w:rsidP="00892895">
      <w:pPr>
        <w:pStyle w:val="BodyText"/>
        <w:keepNext/>
        <w:numPr>
          <w:ilvl w:val="0"/>
          <w:numId w:val="45"/>
        </w:numPr>
        <w:ind w:left="1134" w:hanging="567"/>
        <w:rPr>
          <w:rtl/>
        </w:rPr>
      </w:pPr>
      <w:r w:rsidRPr="00863DC7">
        <w:rPr>
          <w:rtl/>
        </w:rPr>
        <w:t>مسرد بالمصطلحات الرئيسية المتعلقة بالملكية الفكرية والموارد الوراثية والمعارف التقليدية وأشكال التعبير الثقافي التقليدي</w:t>
      </w:r>
    </w:p>
    <w:p w:rsidR="00863DC7" w:rsidRPr="00863DC7" w:rsidRDefault="00863DC7" w:rsidP="00892895">
      <w:pPr>
        <w:pStyle w:val="BodyText"/>
        <w:ind w:left="1134"/>
        <w:contextualSpacing/>
        <w:rPr>
          <w:rtl/>
        </w:rPr>
      </w:pPr>
      <w:r w:rsidRPr="00863DC7">
        <w:rPr>
          <w:rtl/>
        </w:rPr>
        <w:t>انظر الوثيقة</w:t>
      </w:r>
      <w:r w:rsidRPr="00863DC7">
        <w:rPr>
          <w:rFonts w:hint="cs"/>
          <w:rtl/>
        </w:rPr>
        <w:t xml:space="preserve"> </w:t>
      </w:r>
      <w:r w:rsidRPr="00863DC7">
        <w:t>WIPO/GRTKF/IC/</w:t>
      </w:r>
      <w:r w:rsidR="00892895">
        <w:t>39</w:t>
      </w:r>
      <w:r w:rsidRPr="00863DC7">
        <w:t>/INF/7</w:t>
      </w:r>
      <w:r w:rsidRPr="00863DC7">
        <w:rPr>
          <w:rFonts w:hint="cs"/>
          <w:rtl/>
        </w:rPr>
        <w:t>.</w:t>
      </w:r>
    </w:p>
    <w:p w:rsidR="00863DC7" w:rsidRPr="00863DC7" w:rsidRDefault="00863DC7" w:rsidP="00892895">
      <w:pPr>
        <w:pStyle w:val="ONUMA"/>
        <w:keepNext/>
        <w:rPr>
          <w:lang w:bidi="ar-EG"/>
        </w:rPr>
      </w:pPr>
      <w:r w:rsidRPr="00863DC7">
        <w:rPr>
          <w:rtl/>
        </w:rPr>
        <w:t>أية مسائل أخرى</w:t>
      </w:r>
    </w:p>
    <w:p w:rsidR="00863DC7" w:rsidRDefault="00863DC7" w:rsidP="00892895">
      <w:pPr>
        <w:pStyle w:val="ONUMA"/>
        <w:keepNext/>
        <w:rPr>
          <w:lang w:bidi="ar-EG"/>
        </w:rPr>
      </w:pPr>
      <w:r w:rsidRPr="00863DC7">
        <w:rPr>
          <w:rtl/>
        </w:rPr>
        <w:t>اختتام الدورة</w:t>
      </w:r>
    </w:p>
    <w:p w:rsidR="00290FA8" w:rsidRPr="00C41AE0" w:rsidRDefault="00863DC7" w:rsidP="00892895">
      <w:pPr>
        <w:pStyle w:val="Endofdocument-Annex"/>
      </w:pPr>
      <w:r w:rsidRPr="0052702C">
        <w:rPr>
          <w:rtl/>
        </w:rPr>
        <w:t>[نهاية الوثيقة]</w:t>
      </w:r>
    </w:p>
    <w:sectPr w:rsidR="00290FA8" w:rsidRPr="00C41AE0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42E" w:rsidRDefault="008D242E">
      <w:r>
        <w:separator/>
      </w:r>
    </w:p>
  </w:endnote>
  <w:endnote w:type="continuationSeparator" w:id="0">
    <w:p w:rsidR="008D242E" w:rsidRDefault="008D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42E" w:rsidRDefault="008D242E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8D242E" w:rsidRDefault="008D242E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FA8" w:rsidRDefault="00290FA8" w:rsidP="00290FA8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WIPO/GRTKF/IC/39/</w:t>
    </w:r>
    <w:r w:rsidR="00863DC7">
      <w:rPr>
        <w:rFonts w:ascii="Arial" w:hAnsi="Arial" w:cs="Arial"/>
        <w:sz w:val="22"/>
        <w:szCs w:val="22"/>
      </w:rPr>
      <w:t>1 Prov.</w:t>
    </w:r>
    <w:r w:rsidR="00194A18">
      <w:rPr>
        <w:rFonts w:ascii="Arial" w:hAnsi="Arial" w:cs="Arial"/>
        <w:sz w:val="22"/>
        <w:szCs w:val="22"/>
      </w:rPr>
      <w:t xml:space="preserve"> 2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4B6046"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7D159F5"/>
    <w:multiLevelType w:val="hybridMultilevel"/>
    <w:tmpl w:val="25A468C8"/>
    <w:lvl w:ilvl="0" w:tplc="8FE4A9D6">
      <w:numFmt w:val="bullet"/>
      <w:lvlText w:val="-"/>
      <w:lvlJc w:val="left"/>
      <w:pPr>
        <w:ind w:left="927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30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1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2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5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6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8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7"/>
  </w:num>
  <w:num w:numId="5">
    <w:abstractNumId w:val="8"/>
  </w:num>
  <w:num w:numId="6">
    <w:abstractNumId w:val="38"/>
  </w:num>
  <w:num w:numId="7">
    <w:abstractNumId w:val="20"/>
  </w:num>
  <w:num w:numId="8">
    <w:abstractNumId w:val="36"/>
  </w:num>
  <w:num w:numId="9">
    <w:abstractNumId w:val="32"/>
  </w:num>
  <w:num w:numId="10">
    <w:abstractNumId w:val="39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30"/>
  </w:num>
  <w:num w:numId="31">
    <w:abstractNumId w:val="21"/>
  </w:num>
  <w:num w:numId="32">
    <w:abstractNumId w:val="26"/>
  </w:num>
  <w:num w:numId="33">
    <w:abstractNumId w:val="35"/>
  </w:num>
  <w:num w:numId="34">
    <w:abstractNumId w:val="13"/>
  </w:num>
  <w:num w:numId="35">
    <w:abstractNumId w:val="34"/>
  </w:num>
  <w:num w:numId="36">
    <w:abstractNumId w:val="25"/>
  </w:num>
  <w:num w:numId="37">
    <w:abstractNumId w:val="33"/>
  </w:num>
  <w:num w:numId="38">
    <w:abstractNumId w:val="16"/>
  </w:num>
  <w:num w:numId="39">
    <w:abstractNumId w:val="29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1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C7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4A18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5D6"/>
    <w:rsid w:val="00281B81"/>
    <w:rsid w:val="00281F4F"/>
    <w:rsid w:val="00286744"/>
    <w:rsid w:val="002909B9"/>
    <w:rsid w:val="00290FA8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80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DD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46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151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29AA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12B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DC7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2895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6B50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242E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6DB7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CE4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03C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25F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0F1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27819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A74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0C32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97359E2"/>
  <w15:docId w15:val="{E2FF63E3-A038-4189-AB51-D4389493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3212B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ccessible%20Templates\WIPO_GRTKF_IC_39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F39CE-AB24-4704-BE96-8A97966DC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WIPO_GRTKF_IC_39_AR.dotm</Template>
  <TotalTime>20</TotalTime>
  <Pages>3</Pages>
  <Words>376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WIPO/GRTKF/IC/39/1 Prov. 2 (Arabic)</vt:lpstr>
    </vt:vector>
  </TitlesOfParts>
  <Company>World Intellectual Property Organization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WIPO/GRTKF/IC/39/1 Prov. 2 (Arabic)</dc:title>
  <dc:creator>ALAKHRAS Basel</dc:creator>
  <cp:lastModifiedBy>MERZOUK Fawzi</cp:lastModifiedBy>
  <cp:revision>10</cp:revision>
  <cp:lastPrinted>2019-03-06T17:29:00Z</cp:lastPrinted>
  <dcterms:created xsi:type="dcterms:W3CDTF">2019-03-06T17:06:00Z</dcterms:created>
  <dcterms:modified xsi:type="dcterms:W3CDTF">2019-03-06T17:29:00Z</dcterms:modified>
</cp:coreProperties>
</file>