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290FA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290FA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39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63DC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2"/>
    <w:p w:rsidR="003F7284" w:rsidRPr="00863DC7" w:rsidRDefault="003F7284" w:rsidP="005D79F6">
      <w:pPr>
        <w:jc w:val="right"/>
        <w:rPr>
          <w:rFonts w:hint="cs"/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63DC7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863DC7">
        <w:rPr>
          <w:rFonts w:hint="cs"/>
          <w:b/>
          <w:bCs/>
          <w:sz w:val="30"/>
          <w:szCs w:val="30"/>
          <w:rtl/>
        </w:rPr>
        <w:t>6 ديسمبر 2018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029AA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90FA8">
        <w:rPr>
          <w:rFonts w:ascii="Arial Black" w:hAnsi="Arial Black" w:cs="PT Bold Heading" w:hint="cs"/>
          <w:sz w:val="30"/>
          <w:szCs w:val="30"/>
          <w:rtl/>
        </w:rPr>
        <w:t>التاسع</w:t>
      </w:r>
      <w:r w:rsidR="007029AA">
        <w:rPr>
          <w:rFonts w:ascii="Arial Black" w:hAnsi="Arial Black" w:cs="PT Bold Heading" w:hint="cs"/>
          <w:sz w:val="30"/>
          <w:szCs w:val="30"/>
          <w:rtl/>
        </w:rPr>
        <w:t>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7029AA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290FA8">
        <w:rPr>
          <w:rFonts w:hint="cs"/>
          <w:b/>
          <w:bCs/>
          <w:rtl/>
        </w:rPr>
        <w:t xml:space="preserve"> 18 إلى 22 مارس 2019</w:t>
      </w:r>
    </w:p>
    <w:p w:rsidR="00863DC7" w:rsidRPr="00863DC7" w:rsidRDefault="00863DC7" w:rsidP="00863DC7">
      <w:pPr>
        <w:rPr>
          <w:rFonts w:ascii="Arial Black" w:hAnsi="Arial Black" w:cs="PT Bold Heading"/>
          <w:sz w:val="26"/>
          <w:szCs w:val="26"/>
          <w:rtl/>
        </w:rPr>
      </w:pPr>
      <w:r w:rsidRPr="00863DC7">
        <w:rPr>
          <w:rFonts w:ascii="Arial Black" w:hAnsi="Arial Black" w:cs="PT Bold Heading"/>
          <w:sz w:val="26"/>
          <w:szCs w:val="26"/>
          <w:rtl/>
        </w:rPr>
        <w:t>مشروع جدول الأعمال</w:t>
      </w:r>
    </w:p>
    <w:p w:rsidR="003F7284" w:rsidRPr="00BB6440" w:rsidRDefault="00863DC7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وثيقة من إعداد الأمانة</w:t>
      </w:r>
    </w:p>
    <w:p w:rsidR="00863DC7" w:rsidRPr="00863DC7" w:rsidRDefault="00863DC7" w:rsidP="00863DC7">
      <w:pPr>
        <w:pStyle w:val="BodyText"/>
        <w:numPr>
          <w:ilvl w:val="0"/>
          <w:numId w:val="24"/>
        </w:numPr>
      </w:pPr>
      <w:r w:rsidRPr="00863DC7">
        <w:rPr>
          <w:rtl/>
          <w:lang w:bidi="ar-SA"/>
        </w:rPr>
        <w:t>افتتاح الدورة</w:t>
      </w:r>
    </w:p>
    <w:p w:rsidR="00863DC7" w:rsidRPr="00863DC7" w:rsidRDefault="00863DC7" w:rsidP="00863DC7">
      <w:pPr>
        <w:pStyle w:val="BodyText"/>
        <w:numPr>
          <w:ilvl w:val="0"/>
          <w:numId w:val="24"/>
        </w:numPr>
      </w:pPr>
      <w:r w:rsidRPr="00863DC7">
        <w:rPr>
          <w:rtl/>
          <w:lang w:bidi="ar-SA"/>
        </w:rPr>
        <w:t>اعتماد جدول الأعمال</w:t>
      </w:r>
    </w:p>
    <w:p w:rsidR="00863DC7" w:rsidRPr="00863DC7" w:rsidRDefault="00863DC7" w:rsidP="00863DC7">
      <w:pPr>
        <w:pStyle w:val="BodyText"/>
        <w:ind w:left="1134" w:hanging="567"/>
        <w:contextualSpacing/>
        <w:rPr>
          <w:rFonts w:hint="cs"/>
          <w:rtl/>
          <w:lang w:val="fr-CH" w:bidi="ar-SA"/>
        </w:rPr>
      </w:pPr>
      <w:r w:rsidRPr="00863DC7">
        <w:rPr>
          <w:rtl/>
        </w:rPr>
        <w:t>انظر هذه الوثيقة والوثيقتين</w:t>
      </w:r>
      <w:r w:rsidRPr="00863DC7">
        <w:rPr>
          <w:rFonts w:hint="cs"/>
          <w:rtl/>
        </w:rPr>
        <w:t xml:space="preserve"> </w:t>
      </w:r>
      <w:r w:rsidRPr="00863DC7">
        <w:t>WIPO/GRTKF/IC/</w:t>
      </w:r>
      <w:r>
        <w:t>39</w:t>
      </w:r>
      <w:r w:rsidRPr="00863DC7">
        <w:t>/INF/2</w:t>
      </w:r>
      <w:r>
        <w:rPr>
          <w:rFonts w:hint="cs"/>
          <w:rtl/>
        </w:rPr>
        <w:t xml:space="preserve"> و</w:t>
      </w:r>
      <w:r w:rsidRPr="00863DC7">
        <w:t>WIPO/GRTKF/IC/</w:t>
      </w:r>
      <w:r>
        <w:t>39</w:t>
      </w:r>
      <w:r w:rsidRPr="00863DC7">
        <w:t>/INF/3</w:t>
      </w:r>
      <w:r>
        <w:rPr>
          <w:rFonts w:hint="cs"/>
          <w:rtl/>
        </w:rPr>
        <w:t>.</w:t>
      </w:r>
    </w:p>
    <w:p w:rsidR="00863DC7" w:rsidRPr="00863DC7" w:rsidRDefault="00863DC7" w:rsidP="00863DC7">
      <w:pPr>
        <w:pStyle w:val="BodyText"/>
        <w:numPr>
          <w:ilvl w:val="0"/>
          <w:numId w:val="24"/>
        </w:numPr>
      </w:pPr>
      <w:r w:rsidRPr="00863DC7">
        <w:rPr>
          <w:rtl/>
          <w:lang w:bidi="ar-SA"/>
        </w:rPr>
        <w:t xml:space="preserve">اعتماد تقرير الدورة </w:t>
      </w:r>
      <w:r>
        <w:rPr>
          <w:rFonts w:hint="cs"/>
          <w:rtl/>
          <w:lang w:bidi="ar-SA"/>
        </w:rPr>
        <w:t>الثامن</w:t>
      </w:r>
      <w:r w:rsidRPr="00863DC7">
        <w:rPr>
          <w:rFonts w:hint="cs"/>
          <w:rtl/>
          <w:lang w:bidi="ar-SA"/>
        </w:rPr>
        <w:t>ة والثلاثين</w:t>
      </w:r>
    </w:p>
    <w:p w:rsidR="00863DC7" w:rsidRPr="00863DC7" w:rsidRDefault="00863DC7" w:rsidP="00863DC7">
      <w:pPr>
        <w:pStyle w:val="BodyText"/>
        <w:ind w:left="1134" w:hanging="567"/>
        <w:contextualSpacing/>
        <w:rPr>
          <w:lang w:val="fr-CH"/>
        </w:rPr>
      </w:pPr>
      <w:r w:rsidRPr="00863DC7">
        <w:rPr>
          <w:rtl/>
        </w:rPr>
        <w:t>انظر الوثيقة</w:t>
      </w:r>
      <w:r w:rsidRPr="00863DC7">
        <w:rPr>
          <w:rFonts w:hint="cs"/>
          <w:rtl/>
        </w:rPr>
        <w:t xml:space="preserve"> </w:t>
      </w:r>
      <w:r w:rsidRPr="00863DC7">
        <w:t>WIPO/GRTKF/IC/</w:t>
      </w:r>
      <w:r>
        <w:t>38</w:t>
      </w:r>
      <w:r w:rsidRPr="00863DC7">
        <w:t>/</w:t>
      </w:r>
      <w:r>
        <w:t>16</w:t>
      </w:r>
      <w:r w:rsidRPr="00863DC7">
        <w:t xml:space="preserve"> Prov. 2</w:t>
      </w:r>
      <w:r w:rsidRPr="00863DC7">
        <w:rPr>
          <w:rFonts w:hint="cs"/>
          <w:rtl/>
        </w:rPr>
        <w:t>.</w:t>
      </w:r>
    </w:p>
    <w:p w:rsidR="00863DC7" w:rsidRPr="00863DC7" w:rsidRDefault="00863DC7" w:rsidP="00863DC7">
      <w:pPr>
        <w:pStyle w:val="BodyText"/>
        <w:numPr>
          <w:ilvl w:val="0"/>
          <w:numId w:val="24"/>
        </w:numPr>
      </w:pPr>
      <w:r w:rsidRPr="00863DC7">
        <w:rPr>
          <w:rtl/>
          <w:lang w:bidi="ar-SA"/>
        </w:rPr>
        <w:t>اعتماد بعض المنظمات</w:t>
      </w:r>
    </w:p>
    <w:p w:rsidR="00863DC7" w:rsidRPr="00863DC7" w:rsidRDefault="00863DC7" w:rsidP="00863DC7">
      <w:pPr>
        <w:pStyle w:val="BodyText"/>
        <w:ind w:left="1134" w:hanging="567"/>
        <w:contextualSpacing/>
        <w:rPr>
          <w:rtl/>
        </w:rPr>
      </w:pPr>
      <w:r w:rsidRPr="00863DC7">
        <w:rPr>
          <w:rtl/>
        </w:rPr>
        <w:t xml:space="preserve">انظر </w:t>
      </w:r>
      <w:r w:rsidRPr="00863DC7">
        <w:rPr>
          <w:rFonts w:hint="cs"/>
          <w:rtl/>
        </w:rPr>
        <w:t xml:space="preserve">الوثيقة </w:t>
      </w:r>
      <w:r w:rsidRPr="00863DC7">
        <w:t>WIPO/GRTKF/IC/</w:t>
      </w:r>
      <w:r>
        <w:t>39</w:t>
      </w:r>
      <w:r w:rsidRPr="00863DC7">
        <w:t>/2</w:t>
      </w:r>
      <w:r>
        <w:rPr>
          <w:rFonts w:hint="cs"/>
          <w:rtl/>
        </w:rPr>
        <w:t>.</w:t>
      </w:r>
    </w:p>
    <w:p w:rsidR="00863DC7" w:rsidRPr="00863DC7" w:rsidRDefault="00863DC7" w:rsidP="00863DC7">
      <w:pPr>
        <w:pStyle w:val="BodyText"/>
        <w:keepNext/>
        <w:numPr>
          <w:ilvl w:val="0"/>
          <w:numId w:val="24"/>
        </w:numPr>
      </w:pPr>
      <w:r w:rsidRPr="00863DC7">
        <w:rPr>
          <w:rtl/>
          <w:lang w:bidi="ar-SA"/>
        </w:rPr>
        <w:lastRenderedPageBreak/>
        <w:t>مشاركة الجماعات الأصلية والمحلية</w:t>
      </w:r>
    </w:p>
    <w:p w:rsidR="00863DC7" w:rsidRPr="00863DC7" w:rsidRDefault="00863DC7" w:rsidP="00863DC7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Fonts w:hint="cs"/>
          <w:rtl/>
        </w:rPr>
        <w:t>مستجدات</w:t>
      </w:r>
      <w:r w:rsidRPr="00863DC7">
        <w:rPr>
          <w:rtl/>
        </w:rPr>
        <w:t xml:space="preserve"> في تشغيل صندوق التبرعات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>انظر الوثائق</w:t>
      </w:r>
      <w:r w:rsidRPr="00863DC7">
        <w:t xml:space="preserve"> WIPO/GRTKF/IC/</w:t>
      </w:r>
      <w:r w:rsidR="00892895">
        <w:t>39</w:t>
      </w:r>
      <w:r w:rsidRPr="00863DC7">
        <w:t xml:space="preserve">/3 </w:t>
      </w:r>
      <w:r w:rsidRPr="00863DC7">
        <w:rPr>
          <w:rtl/>
        </w:rPr>
        <w:t>و</w:t>
      </w:r>
      <w:r w:rsidRPr="00863DC7">
        <w:t>WIPO/GRTKF/IC/</w:t>
      </w:r>
      <w:r w:rsidR="00892895">
        <w:t>39</w:t>
      </w:r>
      <w:r w:rsidRPr="00863DC7">
        <w:t>/INF/4</w:t>
      </w:r>
      <w:r w:rsidR="00892895">
        <w:t xml:space="preserve"> </w:t>
      </w:r>
      <w:r w:rsidRPr="00863DC7">
        <w:rPr>
          <w:rtl/>
        </w:rPr>
        <w:t>و</w:t>
      </w:r>
      <w:r w:rsidRPr="00863DC7">
        <w:t>WIPO/GRTKF/IC/</w:t>
      </w:r>
      <w:r w:rsidR="00892895">
        <w:t>39</w:t>
      </w:r>
      <w:r w:rsidRPr="00863DC7">
        <w:t>/INF/6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tl/>
        </w:rPr>
        <w:t>تعيين أعضاء المجلس الاستشاري لصندوق التبرعات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>انظر الوثيقة</w:t>
      </w:r>
      <w:r w:rsidRPr="00863DC7">
        <w:rPr>
          <w:rFonts w:hint="cs"/>
          <w:rtl/>
        </w:rPr>
        <w:t xml:space="preserve"> </w:t>
      </w:r>
      <w:r w:rsidRPr="00863DC7">
        <w:t>WIPO/GRTKF/IC/</w:t>
      </w:r>
      <w:r w:rsidR="00892895">
        <w:t>39</w:t>
      </w:r>
      <w:r w:rsidRPr="00863DC7">
        <w:t>/3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tl/>
        </w:rPr>
        <w:t>مذكرة إعلامية لمنبر الجماعات الأصلية والمحلية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 xml:space="preserve">انظر </w:t>
      </w:r>
      <w:proofErr w:type="gramStart"/>
      <w:r w:rsidRPr="00863DC7">
        <w:rPr>
          <w:rtl/>
        </w:rPr>
        <w:t>الوثيقة</w:t>
      </w:r>
      <w:r w:rsidRPr="00863DC7">
        <w:rPr>
          <w:rFonts w:hint="cs"/>
          <w:rtl/>
        </w:rPr>
        <w:t xml:space="preserve"> </w:t>
      </w:r>
      <w:r w:rsidRPr="00863DC7">
        <w:t>.WIPO</w:t>
      </w:r>
      <w:proofErr w:type="gramEnd"/>
      <w:r w:rsidRPr="00863DC7">
        <w:t>/GRTKF/IC/</w:t>
      </w:r>
      <w:r w:rsidR="00892895">
        <w:t>39</w:t>
      </w:r>
      <w:r w:rsidRPr="00863DC7">
        <w:t>/INF/5</w:t>
      </w:r>
    </w:p>
    <w:p w:rsidR="00863DC7" w:rsidRPr="00863DC7" w:rsidRDefault="00863DC7" w:rsidP="00892895">
      <w:pPr>
        <w:pStyle w:val="ONUMA"/>
        <w:rPr>
          <w:lang w:bidi="ar-EG"/>
        </w:rPr>
      </w:pPr>
      <w:r w:rsidRPr="00863DC7">
        <w:rPr>
          <w:rFonts w:hint="cs"/>
          <w:rtl/>
        </w:rPr>
        <w:t xml:space="preserve">تقرير </w:t>
      </w:r>
      <w:r w:rsidRPr="00863DC7">
        <w:rPr>
          <w:rtl/>
        </w:rPr>
        <w:t>فريق الخبراء المخصص المعني</w:t>
      </w:r>
      <w:r w:rsidRPr="00863DC7">
        <w:rPr>
          <w:rFonts w:hint="cs"/>
          <w:rtl/>
        </w:rPr>
        <w:t xml:space="preserve"> بالمعارف التقليدية وأشكال التعبير الثقافي التقليدي</w:t>
      </w:r>
    </w:p>
    <w:p w:rsidR="00863DC7" w:rsidRPr="00863DC7" w:rsidRDefault="00863DC7" w:rsidP="00892895">
      <w:pPr>
        <w:pStyle w:val="ONUMA"/>
        <w:rPr>
          <w:lang w:bidi="ar-EG"/>
        </w:rPr>
      </w:pPr>
      <w:r w:rsidRPr="00863DC7">
        <w:rPr>
          <w:rFonts w:hint="cs"/>
          <w:rtl/>
        </w:rPr>
        <w:t>المعارف التقليدية/أشكال التعبير الثقافي التقليدي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Fonts w:hint="cs"/>
          <w:rtl/>
        </w:rPr>
        <w:t>حماية المعارف التقليدية: مشروع مواد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/4</w:t>
      </w:r>
      <w:r w:rsidRPr="00863DC7">
        <w:rPr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Fonts w:hint="cs"/>
          <w:rtl/>
        </w:rPr>
        <w:t>حماية أشكال التعبير الثقافي التقليدي: مشروع مواد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/5</w:t>
      </w:r>
      <w:r w:rsidRPr="00863DC7">
        <w:rPr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Fonts w:hint="cs"/>
          <w:rtl/>
        </w:rPr>
        <w:t>حماية المعارف التقليدية: مشروع محدَّث لتحليل الثغرات</w:t>
      </w:r>
    </w:p>
    <w:p w:rsidR="00863DC7" w:rsidRPr="00863DC7" w:rsidRDefault="00863DC7" w:rsidP="00892895">
      <w:pPr>
        <w:pStyle w:val="BodyText"/>
        <w:ind w:left="1134"/>
        <w:contextualSpacing/>
        <w:rPr>
          <w:rtl/>
        </w:rPr>
      </w:pPr>
      <w:r w:rsidRPr="00863DC7">
        <w:rPr>
          <w:rFonts w:hint="cs"/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/6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Fonts w:hint="cs"/>
          <w:rtl/>
        </w:rPr>
        <w:t>حماية أشكال التعبير الثقافي التقليدي: مشروع محدَّث لتحليل الثغرات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/7</w:t>
      </w:r>
      <w:r w:rsidRPr="00863DC7">
        <w:rPr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Fonts w:hint="cs"/>
          <w:rtl/>
        </w:rPr>
        <w:t xml:space="preserve">تقرير عن </w:t>
      </w:r>
      <w:r w:rsidRPr="00863DC7">
        <w:rPr>
          <w:rtl/>
        </w:rPr>
        <w:t>تجميع المواد بشأن قواعد البيانات المتعلقة بالموارد الوراثية والمعارف التقليدية المرتبطة بها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Fonts w:hint="cs"/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/8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Fonts w:hint="cs"/>
          <w:rtl/>
        </w:rPr>
        <w:t>ت</w:t>
      </w:r>
      <w:r w:rsidRPr="00863DC7">
        <w:rPr>
          <w:rtl/>
        </w:rPr>
        <w:t>قرير عن تجميع المواد بشأن أنظمة الكشف المتعلقة بالموارد الوراثية والمعارف التقليدية المرتبطة بها</w:t>
      </w:r>
    </w:p>
    <w:p w:rsidR="00863DC7" w:rsidRPr="00863DC7" w:rsidRDefault="00863DC7" w:rsidP="00892895">
      <w:pPr>
        <w:pStyle w:val="BodyText"/>
        <w:ind w:left="1134"/>
        <w:contextualSpacing/>
        <w:rPr>
          <w:rtl/>
        </w:rPr>
      </w:pPr>
      <w:r w:rsidRPr="00863DC7">
        <w:rPr>
          <w:rFonts w:hint="cs"/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/9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863DC7" w:rsidRPr="00863DC7" w:rsidRDefault="00863DC7" w:rsidP="00892895">
      <w:pPr>
        <w:pStyle w:val="BodyText"/>
        <w:ind w:left="1134"/>
        <w:contextualSpacing/>
        <w:rPr>
          <w:rtl/>
        </w:rPr>
      </w:pPr>
      <w:r w:rsidRPr="00863DC7">
        <w:rPr>
          <w:rtl/>
        </w:rPr>
        <w:t>انظر الوثيقة</w:t>
      </w:r>
      <w:r w:rsidRPr="00863DC7">
        <w:rPr>
          <w:rFonts w:hint="cs"/>
          <w:rtl/>
        </w:rPr>
        <w:t xml:space="preserve"> </w:t>
      </w:r>
      <w:r w:rsidRPr="00863DC7">
        <w:t>WIPO/GRTKF/IC/</w:t>
      </w:r>
      <w:r w:rsidR="00892895">
        <w:t>39</w:t>
      </w:r>
      <w:r w:rsidRPr="00863DC7">
        <w:t>/INF/7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ONUMA"/>
        <w:keepNext/>
        <w:rPr>
          <w:lang w:bidi="ar-EG"/>
        </w:rPr>
      </w:pPr>
      <w:bookmarkStart w:id="3" w:name="_GoBack"/>
      <w:r w:rsidRPr="00863DC7">
        <w:rPr>
          <w:rtl/>
        </w:rPr>
        <w:lastRenderedPageBreak/>
        <w:t>أية مسائل أخرى</w:t>
      </w:r>
    </w:p>
    <w:p w:rsidR="00863DC7" w:rsidRDefault="00863DC7" w:rsidP="00892895">
      <w:pPr>
        <w:pStyle w:val="ONUMA"/>
        <w:keepNext/>
        <w:rPr>
          <w:lang w:bidi="ar-EG"/>
        </w:rPr>
      </w:pPr>
      <w:r w:rsidRPr="00863DC7">
        <w:rPr>
          <w:rtl/>
        </w:rPr>
        <w:t>اختتام الدورة</w:t>
      </w:r>
    </w:p>
    <w:bookmarkEnd w:id="3"/>
    <w:p w:rsidR="00290FA8" w:rsidRPr="00C41AE0" w:rsidRDefault="00863DC7" w:rsidP="00892895">
      <w:pPr>
        <w:pStyle w:val="Endofdocument-Annex"/>
      </w:pPr>
      <w:r w:rsidRPr="0052702C">
        <w:rPr>
          <w:rtl/>
        </w:rPr>
        <w:t>[نهاية الوثيقة]</w:t>
      </w:r>
    </w:p>
    <w:sectPr w:rsidR="00290FA8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2E" w:rsidRDefault="008D242E">
      <w:r>
        <w:separator/>
      </w:r>
    </w:p>
  </w:endnote>
  <w:endnote w:type="continuationSeparator" w:id="0">
    <w:p w:rsidR="008D242E" w:rsidRDefault="008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2E" w:rsidRDefault="008D242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D242E" w:rsidRDefault="008D242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A8" w:rsidRDefault="00290FA8" w:rsidP="00290FA8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WIPO/GRTKF/IC/39/</w:t>
    </w:r>
    <w:r w:rsidR="00863DC7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86DD6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9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FA8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DD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12B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DC7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2895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42E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DB7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E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0F1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286FA"/>
  <w15:docId w15:val="{E2FF63E3-A038-4189-AB51-D438949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12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F9CF-B36C-4598-B7F0-E2C89511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WIPO_GRTKF_IC_39_AR.dotm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 (Arabic)</vt:lpstr>
    </vt:vector>
  </TitlesOfParts>
  <Company>World Intellectual Property Organization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 (Arabic)</dc:title>
  <dc:creator>ALAKHRAS Basel</dc:creator>
  <cp:lastModifiedBy>ALAKHRAS Basel</cp:lastModifiedBy>
  <cp:revision>3</cp:revision>
  <cp:lastPrinted>2018-12-20T14:32:00Z</cp:lastPrinted>
  <dcterms:created xsi:type="dcterms:W3CDTF">2018-12-20T14:16:00Z</dcterms:created>
  <dcterms:modified xsi:type="dcterms:W3CDTF">2018-12-20T14:32:00Z</dcterms:modified>
</cp:coreProperties>
</file>