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FD0C32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WIPO/GRTKF/IC/37/</w:t>
      </w:r>
      <w:r w:rsidR="00734DF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1/PROV.</w:t>
      </w:r>
      <w:r w:rsidR="00166BF3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2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proofErr w:type="gramStart"/>
      <w:r w:rsidR="00734DF5">
        <w:rPr>
          <w:b/>
          <w:bCs/>
          <w:sz w:val="30"/>
          <w:szCs w:val="30"/>
          <w:rtl/>
        </w:rPr>
        <w:t>بالإنكليزية</w:t>
      </w:r>
      <w:proofErr w:type="gramEnd"/>
    </w:p>
    <w:p w:rsidR="003F7284" w:rsidRPr="00BB6440" w:rsidRDefault="003F7284" w:rsidP="00E13B6F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E13B6F">
        <w:rPr>
          <w:rFonts w:hint="cs"/>
          <w:b/>
          <w:bCs/>
          <w:sz w:val="30"/>
          <w:szCs w:val="30"/>
          <w:rtl/>
        </w:rPr>
        <w:t>10</w:t>
      </w:r>
      <w:r w:rsidR="00734DF5">
        <w:rPr>
          <w:b/>
          <w:bCs/>
          <w:sz w:val="30"/>
          <w:szCs w:val="30"/>
          <w:rtl/>
        </w:rPr>
        <w:t xml:space="preserve"> </w:t>
      </w:r>
      <w:proofErr w:type="gramStart"/>
      <w:r w:rsidR="00E13B6F">
        <w:rPr>
          <w:rFonts w:hint="cs"/>
          <w:b/>
          <w:bCs/>
          <w:sz w:val="30"/>
          <w:szCs w:val="30"/>
          <w:rtl/>
        </w:rPr>
        <w:t>أغسطس</w:t>
      </w:r>
      <w:proofErr w:type="gramEnd"/>
      <w:r w:rsidR="00734DF5">
        <w:rPr>
          <w:b/>
          <w:bCs/>
          <w:sz w:val="30"/>
          <w:szCs w:val="30"/>
          <w:rtl/>
        </w:rPr>
        <w:t xml:space="preserve"> 2018</w:t>
      </w:r>
    </w:p>
    <w:p w:rsidR="002E7810" w:rsidRPr="00FD6D15" w:rsidRDefault="00FD0C3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الحكومية</w:t>
      </w:r>
      <w:r>
        <w:rPr>
          <w:rtl/>
        </w:rPr>
        <w:t xml:space="preserve"> </w:t>
      </w:r>
      <w:r>
        <w:rPr>
          <w:rFonts w:hint="eastAsia"/>
          <w:rtl/>
        </w:rPr>
        <w:t>الدولية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  <w:r>
        <w:rPr>
          <w:rtl/>
        </w:rPr>
        <w:t xml:space="preserve"> </w:t>
      </w:r>
      <w:r>
        <w:rPr>
          <w:rFonts w:hint="eastAsia"/>
          <w:rtl/>
        </w:rPr>
        <w:t>والموارد</w:t>
      </w:r>
      <w:r>
        <w:rPr>
          <w:rtl/>
        </w:rPr>
        <w:t xml:space="preserve"> </w:t>
      </w:r>
      <w:r>
        <w:rPr>
          <w:rFonts w:hint="eastAsia"/>
          <w:rtl/>
        </w:rPr>
        <w:t>الوراثية</w:t>
      </w:r>
      <w:r>
        <w:rPr>
          <w:rtl/>
        </w:rPr>
        <w:t xml:space="preserve"> </w:t>
      </w:r>
      <w:r>
        <w:rPr>
          <w:rFonts w:hint="eastAsia"/>
          <w:rtl/>
        </w:rPr>
        <w:t>والمعارف</w:t>
      </w:r>
      <w:r>
        <w:rPr>
          <w:rtl/>
        </w:rPr>
        <w:t xml:space="preserve"> </w:t>
      </w:r>
      <w:r>
        <w:rPr>
          <w:rFonts w:hint="eastAsia"/>
          <w:rtl/>
        </w:rPr>
        <w:t>التقليدية</w:t>
      </w:r>
      <w:r>
        <w:rPr>
          <w:rtl/>
        </w:rPr>
        <w:t xml:space="preserve"> </w:t>
      </w:r>
      <w:r>
        <w:rPr>
          <w:rFonts w:hint="eastAsia"/>
          <w:rtl/>
        </w:rPr>
        <w:t>والفولكلور</w:t>
      </w:r>
    </w:p>
    <w:p w:rsidR="002E7810" w:rsidRPr="002E7810" w:rsidRDefault="00FD0C32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السابعة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proofErr w:type="gramStart"/>
      <w:r>
        <w:rPr>
          <w:rFonts w:ascii="Arial Black" w:hAnsi="Arial Black" w:cs="PT Bold Heading" w:hint="eastAsia"/>
          <w:sz w:val="30"/>
          <w:szCs w:val="30"/>
          <w:rtl/>
        </w:rPr>
        <w:t>والثلاثون</w:t>
      </w:r>
      <w:proofErr w:type="gramEnd"/>
    </w:p>
    <w:p w:rsidR="002E7810" w:rsidRPr="002E7810" w:rsidRDefault="00FD0C32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</w:t>
      </w:r>
      <w:proofErr w:type="gramStart"/>
      <w:r>
        <w:rPr>
          <w:b/>
          <w:bCs/>
          <w:rtl/>
        </w:rPr>
        <w:t>من</w:t>
      </w:r>
      <w:proofErr w:type="gramEnd"/>
      <w:r>
        <w:rPr>
          <w:b/>
          <w:bCs/>
          <w:rtl/>
        </w:rPr>
        <w:t xml:space="preserve"> 27 إلى 31 أغسطس 2018</w:t>
      </w:r>
      <w:bookmarkStart w:id="3" w:name="_GoBack"/>
      <w:bookmarkEnd w:id="3"/>
    </w:p>
    <w:p w:rsidR="002E7810" w:rsidRPr="002E7810" w:rsidRDefault="00734DF5" w:rsidP="00874721">
      <w:pPr>
        <w:rPr>
          <w:rFonts w:ascii="Arial Black" w:hAnsi="Arial Black" w:cs="PT Bold Heading"/>
          <w:sz w:val="26"/>
          <w:szCs w:val="26"/>
          <w:rtl/>
        </w:rPr>
      </w:pPr>
      <w:proofErr w:type="gramStart"/>
      <w:r>
        <w:rPr>
          <w:rFonts w:ascii="Arial Black" w:hAnsi="Arial Black" w:cs="PT Bold Heading" w:hint="eastAsia"/>
          <w:sz w:val="26"/>
          <w:szCs w:val="26"/>
          <w:rtl/>
        </w:rPr>
        <w:t>مشروع</w:t>
      </w:r>
      <w:proofErr w:type="gramEnd"/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جدول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الأعمال</w:t>
      </w:r>
    </w:p>
    <w:p w:rsidR="003F7284" w:rsidRPr="00BB6440" w:rsidRDefault="00734DF5" w:rsidP="00874721">
      <w:pPr>
        <w:spacing w:before="200" w:after="960"/>
        <w:rPr>
          <w:i/>
          <w:iCs/>
          <w:rtl/>
        </w:rPr>
      </w:pPr>
      <w:proofErr w:type="gramStart"/>
      <w:r>
        <w:rPr>
          <w:i/>
          <w:iCs/>
          <w:rtl/>
        </w:rPr>
        <w:t>وثيقة</w:t>
      </w:r>
      <w:proofErr w:type="gramEnd"/>
      <w:r>
        <w:rPr>
          <w:i/>
          <w:iCs/>
          <w:rtl/>
        </w:rPr>
        <w:t xml:space="preserve">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>
        <w:rPr>
          <w:rFonts w:hint="eastAsia"/>
          <w:i/>
          <w:iCs/>
          <w:rtl/>
        </w:rPr>
        <w:t>الأمانة</w:t>
      </w:r>
    </w:p>
    <w:p w:rsidR="00734DF5" w:rsidRDefault="00734DF5" w:rsidP="00734DF5">
      <w:pPr>
        <w:pStyle w:val="NumberedParaAR"/>
        <w:numPr>
          <w:ilvl w:val="0"/>
          <w:numId w:val="11"/>
        </w:numPr>
      </w:pPr>
      <w:proofErr w:type="gramStart"/>
      <w:r w:rsidRPr="0052702C">
        <w:rPr>
          <w:rtl/>
        </w:rPr>
        <w:t>افتتاح</w:t>
      </w:r>
      <w:proofErr w:type="gramEnd"/>
      <w:r w:rsidRPr="0052702C">
        <w:rPr>
          <w:rtl/>
        </w:rPr>
        <w:t xml:space="preserve"> الدورة</w:t>
      </w:r>
    </w:p>
    <w:p w:rsidR="00734DF5" w:rsidRPr="0052702C" w:rsidRDefault="00734DF5" w:rsidP="00734DF5">
      <w:pPr>
        <w:pStyle w:val="NumberedParaAR"/>
        <w:numPr>
          <w:ilvl w:val="0"/>
          <w:numId w:val="11"/>
        </w:numPr>
        <w:spacing w:after="0"/>
      </w:pPr>
      <w:proofErr w:type="gramStart"/>
      <w:r w:rsidRPr="0052702C">
        <w:rPr>
          <w:rtl/>
        </w:rPr>
        <w:t>اعتماد</w:t>
      </w:r>
      <w:proofErr w:type="gramEnd"/>
      <w:r w:rsidRPr="0052702C">
        <w:rPr>
          <w:rtl/>
        </w:rPr>
        <w:t xml:space="preserve"> جدول الأعمال</w:t>
      </w:r>
    </w:p>
    <w:p w:rsidR="00734DF5" w:rsidRPr="0052702C" w:rsidRDefault="00734DF5" w:rsidP="00734DF5">
      <w:pPr>
        <w:pStyle w:val="NormalParaAR"/>
        <w:ind w:left="566"/>
      </w:pPr>
      <w:r w:rsidRPr="0052702C">
        <w:rPr>
          <w:rtl/>
        </w:rPr>
        <w:t xml:space="preserve">انظر هذه الوثيقة </w:t>
      </w:r>
      <w:proofErr w:type="gramStart"/>
      <w:r w:rsidRPr="0052702C">
        <w:rPr>
          <w:rtl/>
        </w:rPr>
        <w:t>والوثيقتين</w:t>
      </w:r>
      <w:proofErr w:type="gramEnd"/>
      <w:r>
        <w:rPr>
          <w:rFonts w:hint="cs"/>
          <w:rtl/>
          <w:lang w:bidi="ar-EG"/>
        </w:rPr>
        <w:t xml:space="preserve"> </w:t>
      </w:r>
      <w:r w:rsidRPr="00A6352E">
        <w:t>WIPO/GRTKF/IC/</w:t>
      </w:r>
      <w:r>
        <w:t>37</w:t>
      </w:r>
      <w:r w:rsidRPr="00A6352E">
        <w:t>/INF/2</w:t>
      </w:r>
      <w:r>
        <w:rPr>
          <w:rFonts w:hint="cs"/>
          <w:rtl/>
          <w:lang w:bidi="ar-EG"/>
        </w:rPr>
        <w:t xml:space="preserve"> </w:t>
      </w:r>
      <w:r w:rsidRPr="0052702C">
        <w:rPr>
          <w:rtl/>
        </w:rPr>
        <w:t>و</w:t>
      </w:r>
      <w:r w:rsidRPr="0052702C">
        <w:t>.WIPO/GRTKF/IC/</w:t>
      </w:r>
      <w:r>
        <w:t>37</w:t>
      </w:r>
      <w:r w:rsidRPr="0052702C">
        <w:t>/INF/</w:t>
      </w:r>
      <w:r>
        <w:t>3</w:t>
      </w:r>
    </w:p>
    <w:p w:rsidR="00734DF5" w:rsidRPr="0052702C" w:rsidRDefault="00734DF5" w:rsidP="00734DF5">
      <w:pPr>
        <w:pStyle w:val="NumberedParaAR"/>
        <w:numPr>
          <w:ilvl w:val="0"/>
          <w:numId w:val="11"/>
        </w:numPr>
        <w:spacing w:after="0"/>
      </w:pPr>
      <w:proofErr w:type="gramStart"/>
      <w:r w:rsidRPr="0052702C">
        <w:rPr>
          <w:rtl/>
        </w:rPr>
        <w:t>اعتماد</w:t>
      </w:r>
      <w:proofErr w:type="gramEnd"/>
      <w:r w:rsidRPr="0052702C">
        <w:rPr>
          <w:rtl/>
        </w:rPr>
        <w:t xml:space="preserve"> بعض المنظمات</w:t>
      </w:r>
    </w:p>
    <w:p w:rsidR="00734DF5" w:rsidRDefault="00734DF5" w:rsidP="00734DF5">
      <w:pPr>
        <w:pStyle w:val="NormalParaAR"/>
        <w:ind w:left="566"/>
        <w:rPr>
          <w:rtl/>
        </w:rPr>
      </w:pPr>
      <w:r w:rsidRPr="0052702C">
        <w:rPr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842E58">
        <w:t>WIPO/GRTKF/IC/</w:t>
      </w:r>
      <w:r>
        <w:t>37</w:t>
      </w:r>
      <w:r w:rsidRPr="00842E58">
        <w:t>/2</w:t>
      </w:r>
      <w:r>
        <w:rPr>
          <w:rFonts w:hint="cs"/>
          <w:rtl/>
        </w:rPr>
        <w:t>.</w:t>
      </w:r>
    </w:p>
    <w:p w:rsidR="00734DF5" w:rsidRPr="0052702C" w:rsidRDefault="00734DF5" w:rsidP="00734DF5">
      <w:pPr>
        <w:pStyle w:val="NumberedParaAR"/>
        <w:keepNext/>
        <w:numPr>
          <w:ilvl w:val="0"/>
          <w:numId w:val="11"/>
        </w:numPr>
        <w:spacing w:after="120"/>
      </w:pPr>
      <w:r w:rsidRPr="0052702C">
        <w:rPr>
          <w:rtl/>
        </w:rPr>
        <w:t xml:space="preserve">مشاركة الجماعات الأصلية </w:t>
      </w:r>
      <w:proofErr w:type="gramStart"/>
      <w:r w:rsidRPr="0052702C">
        <w:rPr>
          <w:rtl/>
        </w:rPr>
        <w:t>والمحلية</w:t>
      </w:r>
      <w:proofErr w:type="gramEnd"/>
    </w:p>
    <w:p w:rsidR="00734DF5" w:rsidRPr="0052702C" w:rsidRDefault="00734DF5" w:rsidP="0081282D">
      <w:pPr>
        <w:pStyle w:val="NormalParaAR"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proofErr w:type="gramStart"/>
      <w:r w:rsidRPr="0052702C">
        <w:rPr>
          <w:rtl/>
        </w:rPr>
        <w:t>تطورات</w:t>
      </w:r>
      <w:proofErr w:type="gramEnd"/>
      <w:r w:rsidRPr="0052702C">
        <w:rPr>
          <w:rtl/>
        </w:rPr>
        <w:t xml:space="preserve"> في تشغيل صندوق التبرعات</w:t>
      </w:r>
    </w:p>
    <w:p w:rsidR="00734DF5" w:rsidRPr="0052702C" w:rsidRDefault="00734DF5" w:rsidP="0022333E">
      <w:pPr>
        <w:pStyle w:val="NormalParaAR"/>
        <w:spacing w:after="120"/>
        <w:ind w:left="1134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الوثائق</w:t>
      </w:r>
      <w:proofErr w:type="gramEnd"/>
      <w:r w:rsidRPr="0052702C">
        <w:t xml:space="preserve"> WIPO/GRTKF/IC/</w:t>
      </w:r>
      <w:r>
        <w:t>37</w:t>
      </w:r>
      <w:r w:rsidRPr="0052702C">
        <w:t xml:space="preserve">/3 </w:t>
      </w:r>
      <w:r w:rsidRPr="0052702C">
        <w:rPr>
          <w:rtl/>
        </w:rPr>
        <w:t>و</w:t>
      </w:r>
      <w:r w:rsidRPr="0052702C">
        <w:t>WIPO/GRTKF/IC/</w:t>
      </w:r>
      <w:r>
        <w:t>37</w:t>
      </w:r>
      <w:r w:rsidRPr="0052702C">
        <w:t>/INF/4</w:t>
      </w:r>
      <w:r>
        <w:rPr>
          <w:rFonts w:hint="cs"/>
          <w:rtl/>
        </w:rPr>
        <w:t xml:space="preserve"> </w:t>
      </w:r>
      <w:r w:rsidRPr="0052702C">
        <w:rPr>
          <w:rtl/>
        </w:rPr>
        <w:t>و</w:t>
      </w:r>
      <w:r w:rsidRPr="0052702C">
        <w:t>WIPO/GRTKF/IC/</w:t>
      </w:r>
      <w:r>
        <w:t>37</w:t>
      </w:r>
      <w:r w:rsidRPr="0052702C">
        <w:t>/INF/6</w:t>
      </w:r>
      <w:r>
        <w:rPr>
          <w:rFonts w:hint="cs"/>
          <w:rtl/>
        </w:rPr>
        <w:t>.</w:t>
      </w:r>
    </w:p>
    <w:p w:rsidR="00734DF5" w:rsidRPr="0052702C" w:rsidRDefault="00734DF5" w:rsidP="0022333E">
      <w:pPr>
        <w:pStyle w:val="NormalParaAR"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تعيين أعضاء المجلس الاستشاري لصندوق التبرعات</w:t>
      </w:r>
    </w:p>
    <w:p w:rsidR="00734DF5" w:rsidRPr="0052702C" w:rsidRDefault="00734DF5" w:rsidP="0022333E">
      <w:pPr>
        <w:pStyle w:val="NormalParaAR"/>
        <w:spacing w:after="120"/>
        <w:ind w:left="1134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>
        <w:t>37</w:t>
      </w:r>
      <w:r w:rsidRPr="0052702C">
        <w:t>/3</w:t>
      </w:r>
      <w:r>
        <w:rPr>
          <w:rFonts w:hint="cs"/>
          <w:rtl/>
        </w:rPr>
        <w:t>.</w:t>
      </w:r>
    </w:p>
    <w:p w:rsidR="00734DF5" w:rsidRPr="0052702C" w:rsidRDefault="00734DF5" w:rsidP="00734DF5">
      <w:pPr>
        <w:pStyle w:val="NormalParaAR"/>
        <w:spacing w:after="0"/>
        <w:ind w:left="567"/>
      </w:pPr>
      <w:r w:rsidRPr="0052702C">
        <w:rPr>
          <w:rtl/>
        </w:rPr>
        <w:lastRenderedPageBreak/>
        <w:t>-</w:t>
      </w:r>
      <w:r>
        <w:rPr>
          <w:rFonts w:hint="cs"/>
          <w:rtl/>
        </w:rPr>
        <w:tab/>
      </w:r>
      <w:r w:rsidRPr="0052702C">
        <w:rPr>
          <w:rtl/>
        </w:rPr>
        <w:t xml:space="preserve">مذكرة إعلامية لمنبر الجماعات الأصلية </w:t>
      </w:r>
      <w:proofErr w:type="gramStart"/>
      <w:r w:rsidRPr="0052702C">
        <w:rPr>
          <w:rtl/>
        </w:rPr>
        <w:t>والمحلية</w:t>
      </w:r>
      <w:proofErr w:type="gramEnd"/>
    </w:p>
    <w:p w:rsidR="00734DF5" w:rsidRPr="0052702C" w:rsidRDefault="00734DF5" w:rsidP="00734DF5">
      <w:pPr>
        <w:pStyle w:val="NormalParaAR"/>
        <w:spacing w:after="120"/>
        <w:ind w:left="1134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r>
        <w:rPr>
          <w:rFonts w:hint="cs"/>
          <w:rtl/>
        </w:rPr>
        <w:t xml:space="preserve"> </w:t>
      </w:r>
      <w:r>
        <w:t>.</w:t>
      </w:r>
      <w:proofErr w:type="gramEnd"/>
      <w:r w:rsidRPr="00B46954">
        <w:t>WIPO/GRTKF/IC/</w:t>
      </w:r>
      <w:r>
        <w:t>37</w:t>
      </w:r>
      <w:r w:rsidRPr="00B46954">
        <w:t>/INF/5</w:t>
      </w:r>
    </w:p>
    <w:p w:rsidR="00734DF5" w:rsidRPr="0052702C" w:rsidRDefault="00BA448F" w:rsidP="0022333E">
      <w:pPr>
        <w:pStyle w:val="NumberedParaAR"/>
        <w:numPr>
          <w:ilvl w:val="0"/>
          <w:numId w:val="11"/>
        </w:numPr>
        <w:spacing w:after="120"/>
      </w:pPr>
      <w:r>
        <w:rPr>
          <w:rFonts w:hint="cs"/>
          <w:rtl/>
          <w:lang w:val="fr-CH"/>
        </w:rPr>
        <w:t>المعارف التقليدية</w:t>
      </w:r>
      <w:r w:rsidR="00037FBC">
        <w:rPr>
          <w:rFonts w:hint="cs"/>
          <w:rtl/>
          <w:lang w:val="fr-CH"/>
        </w:rPr>
        <w:t>/أشكال التعبير الثقافي التقليدي</w:t>
      </w:r>
    </w:p>
    <w:p w:rsidR="00734DF5" w:rsidRDefault="00734DF5" w:rsidP="00BA448F">
      <w:pPr>
        <w:pStyle w:val="NormalParaAR"/>
        <w:spacing w:after="0"/>
        <w:ind w:left="1134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proofErr w:type="gramStart"/>
      <w:r w:rsidR="00BA448F">
        <w:rPr>
          <w:rFonts w:hint="cs"/>
          <w:rtl/>
        </w:rPr>
        <w:t>حماية</w:t>
      </w:r>
      <w:proofErr w:type="gramEnd"/>
      <w:r w:rsidR="00BA448F">
        <w:rPr>
          <w:rFonts w:hint="cs"/>
          <w:rtl/>
        </w:rPr>
        <w:t xml:space="preserve"> المعارف التقليدية: مشروع مواد</w:t>
      </w:r>
    </w:p>
    <w:p w:rsidR="00734DF5" w:rsidRDefault="00734DF5" w:rsidP="0022333E">
      <w:pPr>
        <w:pStyle w:val="NormalParaAR"/>
        <w:spacing w:after="120"/>
        <w:ind w:left="1134"/>
      </w:pPr>
      <w:r w:rsidRPr="005740DA">
        <w:rPr>
          <w:rtl/>
        </w:rPr>
        <w:t xml:space="preserve">انظر </w:t>
      </w:r>
      <w:proofErr w:type="gramStart"/>
      <w:r w:rsidRPr="005740DA">
        <w:rPr>
          <w:rtl/>
        </w:rPr>
        <w:t>الوثيقة</w:t>
      </w:r>
      <w:proofErr w:type="gramEnd"/>
      <w:r w:rsidRPr="005740DA">
        <w:rPr>
          <w:rtl/>
        </w:rPr>
        <w:t xml:space="preserve"> </w:t>
      </w:r>
      <w:r w:rsidRPr="005740DA">
        <w:t>WIPO/GRTKF/IC/</w:t>
      </w:r>
      <w:r w:rsidR="00BA448F">
        <w:t>37</w:t>
      </w:r>
      <w:r w:rsidRPr="005740DA">
        <w:t>/</w:t>
      </w:r>
      <w:r>
        <w:t>4</w:t>
      </w:r>
      <w:r w:rsidRPr="005740DA">
        <w:rPr>
          <w:rtl/>
        </w:rPr>
        <w:t>.</w:t>
      </w:r>
    </w:p>
    <w:p w:rsidR="00037FBC" w:rsidRDefault="00734DF5" w:rsidP="00037FBC">
      <w:pPr>
        <w:pStyle w:val="NormalParaAR"/>
        <w:spacing w:after="0"/>
        <w:ind w:left="1134" w:hanging="567"/>
        <w:rPr>
          <w:rtl/>
        </w:rPr>
      </w:pPr>
      <w:r>
        <w:t>-</w:t>
      </w:r>
      <w:r>
        <w:tab/>
      </w:r>
      <w:r w:rsidR="00037FBC">
        <w:rPr>
          <w:rFonts w:hint="cs"/>
          <w:rtl/>
        </w:rPr>
        <w:t>حماية أشكال التعبير الثقافي التقليدي: مشروع مواد</w:t>
      </w:r>
    </w:p>
    <w:p w:rsidR="00037FBC" w:rsidRDefault="00037FBC" w:rsidP="00037FBC">
      <w:pPr>
        <w:pStyle w:val="NormalParaAR"/>
        <w:spacing w:after="120"/>
        <w:ind w:left="1134"/>
      </w:pPr>
      <w:r w:rsidRPr="005740DA">
        <w:rPr>
          <w:rtl/>
        </w:rPr>
        <w:t xml:space="preserve">انظر </w:t>
      </w:r>
      <w:proofErr w:type="gramStart"/>
      <w:r w:rsidRPr="005740DA">
        <w:rPr>
          <w:rtl/>
        </w:rPr>
        <w:t>الوثيقة</w:t>
      </w:r>
      <w:proofErr w:type="gramEnd"/>
      <w:r w:rsidRPr="005740DA">
        <w:rPr>
          <w:rtl/>
        </w:rPr>
        <w:t xml:space="preserve"> </w:t>
      </w:r>
      <w:r w:rsidRPr="005740DA">
        <w:t>WIPO/GRTKF/IC/</w:t>
      </w:r>
      <w:r>
        <w:t>37</w:t>
      </w:r>
      <w:r w:rsidRPr="005740DA">
        <w:t>/</w:t>
      </w:r>
      <w:r>
        <w:t>5</w:t>
      </w:r>
      <w:r w:rsidRPr="005740DA">
        <w:rPr>
          <w:rtl/>
        </w:rPr>
        <w:t>.</w:t>
      </w:r>
    </w:p>
    <w:p w:rsidR="00734DF5" w:rsidRPr="00170BCC" w:rsidRDefault="00037FBC" w:rsidP="00BA448F">
      <w:pPr>
        <w:pStyle w:val="NormalParaAR"/>
        <w:spacing w:after="0"/>
        <w:ind w:left="1134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proofErr w:type="gramStart"/>
      <w:r w:rsidR="00BA448F">
        <w:rPr>
          <w:rFonts w:hint="cs"/>
          <w:rtl/>
        </w:rPr>
        <w:t>حماية</w:t>
      </w:r>
      <w:proofErr w:type="gramEnd"/>
      <w:r w:rsidR="00BA448F">
        <w:rPr>
          <w:rFonts w:hint="cs"/>
          <w:rtl/>
        </w:rPr>
        <w:t xml:space="preserve"> المعارف التقليدية: </w:t>
      </w:r>
      <w:r>
        <w:rPr>
          <w:rFonts w:hint="cs"/>
          <w:rtl/>
        </w:rPr>
        <w:t xml:space="preserve">مشروع </w:t>
      </w:r>
      <w:r w:rsidR="00BA448F">
        <w:rPr>
          <w:rFonts w:hint="cs"/>
          <w:rtl/>
        </w:rPr>
        <w:t>تحليل الثغرات</w:t>
      </w:r>
      <w:r>
        <w:rPr>
          <w:rFonts w:hint="cs"/>
          <w:rtl/>
        </w:rPr>
        <w:t xml:space="preserve"> المحدّث</w:t>
      </w:r>
    </w:p>
    <w:p w:rsidR="00734DF5" w:rsidRDefault="00734DF5" w:rsidP="0022333E">
      <w:pPr>
        <w:pStyle w:val="NormalParaAR"/>
        <w:spacing w:after="120"/>
        <w:ind w:left="1134"/>
        <w:rPr>
          <w:rtl/>
        </w:rPr>
      </w:pPr>
      <w:r w:rsidRPr="00170BCC">
        <w:rPr>
          <w:rFonts w:hint="cs"/>
          <w:rtl/>
        </w:rPr>
        <w:t xml:space="preserve">انظر </w:t>
      </w:r>
      <w:proofErr w:type="gramStart"/>
      <w:r w:rsidRPr="00170BCC">
        <w:rPr>
          <w:rFonts w:hint="cs"/>
          <w:rtl/>
        </w:rPr>
        <w:t>الوثيقة</w:t>
      </w:r>
      <w:proofErr w:type="gramEnd"/>
      <w:r w:rsidRPr="00170BCC">
        <w:rPr>
          <w:rFonts w:hint="cs"/>
          <w:rtl/>
        </w:rPr>
        <w:t xml:space="preserve"> </w:t>
      </w:r>
      <w:r w:rsidRPr="00170BCC">
        <w:t>WIPO/GRTKF/IC/</w:t>
      </w:r>
      <w:r w:rsidR="00BA448F">
        <w:t>37</w:t>
      </w:r>
      <w:r w:rsidRPr="00170BCC">
        <w:t>/</w:t>
      </w:r>
      <w:r w:rsidR="00BA448F">
        <w:t>6</w:t>
      </w:r>
      <w:r w:rsidRPr="00170BCC">
        <w:rPr>
          <w:rFonts w:hint="cs"/>
          <w:rtl/>
        </w:rPr>
        <w:t>.</w:t>
      </w:r>
    </w:p>
    <w:p w:rsidR="00037FBC" w:rsidRDefault="00734DF5" w:rsidP="00037FBC">
      <w:pPr>
        <w:pStyle w:val="NormalParaAR"/>
        <w:spacing w:after="0"/>
        <w:ind w:left="1134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proofErr w:type="gramStart"/>
      <w:r w:rsidR="00037FBC">
        <w:rPr>
          <w:rFonts w:hint="cs"/>
          <w:rtl/>
        </w:rPr>
        <w:t>حماية</w:t>
      </w:r>
      <w:proofErr w:type="gramEnd"/>
      <w:r w:rsidR="00037FBC">
        <w:rPr>
          <w:rFonts w:hint="cs"/>
          <w:rtl/>
        </w:rPr>
        <w:t xml:space="preserve"> أشكال التعبير الثقافي التقليدي: </w:t>
      </w:r>
      <w:r w:rsidR="00037FBC" w:rsidRPr="00037FBC">
        <w:rPr>
          <w:rFonts w:hint="cs"/>
          <w:rtl/>
        </w:rPr>
        <w:t>مشروع تحليل الثغرات المحدّث</w:t>
      </w:r>
    </w:p>
    <w:p w:rsidR="00037FBC" w:rsidRDefault="00037FBC" w:rsidP="00037FBC">
      <w:pPr>
        <w:pStyle w:val="NormalParaAR"/>
        <w:spacing w:after="120"/>
        <w:ind w:left="1134"/>
      </w:pPr>
      <w:r w:rsidRPr="005740DA">
        <w:rPr>
          <w:rtl/>
        </w:rPr>
        <w:t xml:space="preserve">انظر </w:t>
      </w:r>
      <w:proofErr w:type="gramStart"/>
      <w:r w:rsidRPr="005740DA">
        <w:rPr>
          <w:rtl/>
        </w:rPr>
        <w:t>الوثيقة</w:t>
      </w:r>
      <w:proofErr w:type="gramEnd"/>
      <w:r w:rsidRPr="005740DA">
        <w:rPr>
          <w:rtl/>
        </w:rPr>
        <w:t xml:space="preserve"> </w:t>
      </w:r>
      <w:r w:rsidRPr="005740DA">
        <w:t>WIPO/GRTKF/IC/</w:t>
      </w:r>
      <w:r>
        <w:t>37</w:t>
      </w:r>
      <w:r w:rsidRPr="005740DA">
        <w:t>/</w:t>
      </w:r>
      <w:r>
        <w:t>7</w:t>
      </w:r>
      <w:r w:rsidRPr="005740DA">
        <w:rPr>
          <w:rtl/>
        </w:rPr>
        <w:t>.</w:t>
      </w:r>
    </w:p>
    <w:p w:rsidR="00734DF5" w:rsidRPr="00170BCC" w:rsidRDefault="00037FBC" w:rsidP="00BA448F">
      <w:pPr>
        <w:pStyle w:val="NormalParaAR"/>
        <w:spacing w:after="0"/>
        <w:ind w:left="1134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34DF5" w:rsidRPr="00170BCC">
        <w:rPr>
          <w:rFonts w:hint="cs"/>
          <w:rtl/>
        </w:rPr>
        <w:t xml:space="preserve">تقرير عن </w:t>
      </w:r>
      <w:r w:rsidR="00BA448F" w:rsidRPr="00BA448F">
        <w:rPr>
          <w:rtl/>
        </w:rPr>
        <w:t>تجميع المواد بشأن قواعد البيانات المتعلقة بالموارد الوراثية والمعارف التقليدية المرتبطة بها</w:t>
      </w:r>
    </w:p>
    <w:p w:rsidR="00734DF5" w:rsidRDefault="00734DF5" w:rsidP="00037FBC">
      <w:pPr>
        <w:pStyle w:val="NormalParaAR"/>
        <w:spacing w:after="120"/>
        <w:ind w:left="1134"/>
      </w:pPr>
      <w:r w:rsidRPr="00170BCC">
        <w:rPr>
          <w:rFonts w:hint="cs"/>
          <w:rtl/>
        </w:rPr>
        <w:t xml:space="preserve">انظر </w:t>
      </w:r>
      <w:proofErr w:type="gramStart"/>
      <w:r w:rsidRPr="00170BCC">
        <w:rPr>
          <w:rFonts w:hint="cs"/>
          <w:rtl/>
        </w:rPr>
        <w:t>الوثيقة</w:t>
      </w:r>
      <w:proofErr w:type="gramEnd"/>
      <w:r w:rsidRPr="00170BCC">
        <w:rPr>
          <w:rFonts w:hint="cs"/>
          <w:rtl/>
        </w:rPr>
        <w:t xml:space="preserve"> </w:t>
      </w:r>
      <w:r w:rsidR="00037FBC" w:rsidRPr="00037FBC">
        <w:t>WIPO/GRTKF/IC/37/8 Rev.</w:t>
      </w:r>
      <w:r w:rsidRPr="00170BCC">
        <w:rPr>
          <w:rFonts w:hint="cs"/>
          <w:rtl/>
        </w:rPr>
        <w:t>.</w:t>
      </w:r>
    </w:p>
    <w:p w:rsidR="00734DF5" w:rsidRDefault="00734DF5" w:rsidP="00BA448F">
      <w:pPr>
        <w:pStyle w:val="NormalParaAR"/>
        <w:spacing w:after="0"/>
        <w:ind w:left="1134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A448F">
        <w:rPr>
          <w:rFonts w:hint="cs"/>
          <w:rtl/>
        </w:rPr>
        <w:t>ت</w:t>
      </w:r>
      <w:r w:rsidR="00BA448F" w:rsidRPr="00BA448F">
        <w:rPr>
          <w:rtl/>
        </w:rPr>
        <w:t>قرير عن تجميع المواد بشأن أنظمة الكشف المتعلقة بالموارد الوراثية والمعارف التقليدية المرتبطة بها</w:t>
      </w:r>
    </w:p>
    <w:p w:rsidR="00734DF5" w:rsidRDefault="00734DF5" w:rsidP="0022333E">
      <w:pPr>
        <w:pStyle w:val="NormalParaAR"/>
        <w:spacing w:after="120"/>
        <w:ind w:left="1134"/>
        <w:rPr>
          <w:rtl/>
        </w:rPr>
      </w:pPr>
      <w:r w:rsidRPr="007A3084">
        <w:rPr>
          <w:rFonts w:hint="cs"/>
          <w:rtl/>
        </w:rPr>
        <w:t xml:space="preserve">انظر </w:t>
      </w:r>
      <w:proofErr w:type="gramStart"/>
      <w:r w:rsidRPr="007A3084">
        <w:rPr>
          <w:rFonts w:hint="cs"/>
          <w:rtl/>
        </w:rPr>
        <w:t>الوثيقة</w:t>
      </w:r>
      <w:proofErr w:type="gramEnd"/>
      <w:r w:rsidRPr="007A3084">
        <w:rPr>
          <w:rFonts w:hint="cs"/>
          <w:rtl/>
        </w:rPr>
        <w:t xml:space="preserve"> </w:t>
      </w:r>
      <w:r w:rsidRPr="007A3084">
        <w:t>WIPO/GRTKF/IC/</w:t>
      </w:r>
      <w:r w:rsidR="00BA448F">
        <w:t>37</w:t>
      </w:r>
      <w:r w:rsidRPr="007A3084">
        <w:t>/</w:t>
      </w:r>
      <w:r w:rsidR="00BA448F">
        <w:t>9</w:t>
      </w:r>
      <w:r w:rsidRPr="007A3084">
        <w:rPr>
          <w:rFonts w:hint="cs"/>
          <w:rtl/>
        </w:rPr>
        <w:t>.</w:t>
      </w:r>
    </w:p>
    <w:p w:rsidR="00037FBC" w:rsidRPr="007D65D8" w:rsidRDefault="00037FBC" w:rsidP="007D65D8">
      <w:pPr>
        <w:pStyle w:val="NormalParaAR"/>
        <w:spacing w:after="0"/>
        <w:ind w:left="1134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proofErr w:type="gramStart"/>
      <w:r w:rsidR="007D65D8" w:rsidRPr="007D65D8">
        <w:rPr>
          <w:rFonts w:hint="eastAsia"/>
          <w:rtl/>
        </w:rPr>
        <w:t>اقتراح</w:t>
      </w:r>
      <w:proofErr w:type="gramEnd"/>
      <w:r w:rsidR="007D65D8" w:rsidRPr="007D65D8">
        <w:rPr>
          <w:rtl/>
        </w:rPr>
        <w:t xml:space="preserve"> بخصوص مواصفات دراسة بش</w:t>
      </w:r>
      <w:r w:rsidR="007D65D8" w:rsidRPr="007D65D8">
        <w:rPr>
          <w:rFonts w:hint="cs"/>
          <w:rtl/>
        </w:rPr>
        <w:t xml:space="preserve">أن </w:t>
      </w:r>
      <w:r w:rsidR="007D65D8" w:rsidRPr="007D65D8">
        <w:rPr>
          <w:rFonts w:hint="eastAsia"/>
          <w:rtl/>
        </w:rPr>
        <w:t>المعارف</w:t>
      </w:r>
      <w:r w:rsidR="007D65D8" w:rsidRPr="007D65D8">
        <w:rPr>
          <w:rtl/>
        </w:rPr>
        <w:t xml:space="preserve"> </w:t>
      </w:r>
      <w:r w:rsidR="007D65D8" w:rsidRPr="007D65D8">
        <w:rPr>
          <w:rFonts w:hint="eastAsia"/>
          <w:rtl/>
        </w:rPr>
        <w:t>التقليدية</w:t>
      </w:r>
    </w:p>
    <w:p w:rsidR="00037FBC" w:rsidRDefault="00037FBC" w:rsidP="007D65D8">
      <w:pPr>
        <w:pStyle w:val="NormalParaAR"/>
        <w:spacing w:after="120"/>
        <w:ind w:left="1134"/>
        <w:rPr>
          <w:rtl/>
        </w:rPr>
      </w:pPr>
      <w:r w:rsidRPr="007D65D8">
        <w:rPr>
          <w:rFonts w:hint="cs"/>
          <w:rtl/>
        </w:rPr>
        <w:t xml:space="preserve">انظر </w:t>
      </w:r>
      <w:proofErr w:type="gramStart"/>
      <w:r w:rsidRPr="007D65D8">
        <w:rPr>
          <w:rFonts w:hint="cs"/>
          <w:rtl/>
        </w:rPr>
        <w:t>الوثيقة</w:t>
      </w:r>
      <w:proofErr w:type="gramEnd"/>
      <w:r w:rsidRPr="007D65D8">
        <w:rPr>
          <w:rFonts w:hint="cs"/>
          <w:rtl/>
        </w:rPr>
        <w:t xml:space="preserve"> </w:t>
      </w:r>
      <w:r w:rsidRPr="007D65D8">
        <w:t>WIPO/GRTKF/IC/37/</w:t>
      </w:r>
      <w:r w:rsidR="007D65D8" w:rsidRPr="007D65D8">
        <w:t>10</w:t>
      </w:r>
      <w:r w:rsidRPr="007D65D8">
        <w:rPr>
          <w:rFonts w:hint="cs"/>
          <w:rtl/>
        </w:rPr>
        <w:t>.</w:t>
      </w:r>
    </w:p>
    <w:p w:rsidR="007D65D8" w:rsidRPr="007D65D8" w:rsidRDefault="00734DF5" w:rsidP="007D65D8">
      <w:pPr>
        <w:pStyle w:val="NormalParaAR"/>
        <w:spacing w:after="0"/>
        <w:ind w:left="1134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D65D8" w:rsidRPr="007D65D8">
        <w:rPr>
          <w:rtl/>
        </w:rPr>
        <w:t>اقتراح الاتحاد الأوروبي لإعداد دراسة</w:t>
      </w:r>
      <w:r w:rsidR="007D65D8" w:rsidRPr="007D65D8">
        <w:rPr>
          <w:rFonts w:hint="cs"/>
          <w:rtl/>
        </w:rPr>
        <w:t xml:space="preserve"> بشأن أشكال التعبير الثقافي التقليدي</w:t>
      </w:r>
    </w:p>
    <w:p w:rsidR="007D65D8" w:rsidRDefault="007D65D8" w:rsidP="007D65D8">
      <w:pPr>
        <w:pStyle w:val="NormalParaAR"/>
        <w:spacing w:after="120"/>
        <w:ind w:left="1134"/>
        <w:rPr>
          <w:rFonts w:hint="cs"/>
          <w:rtl/>
        </w:rPr>
      </w:pPr>
      <w:r w:rsidRPr="007D65D8">
        <w:rPr>
          <w:rFonts w:hint="cs"/>
          <w:rtl/>
        </w:rPr>
        <w:t xml:space="preserve">انظر </w:t>
      </w:r>
      <w:proofErr w:type="gramStart"/>
      <w:r w:rsidRPr="007D65D8">
        <w:rPr>
          <w:rFonts w:hint="cs"/>
          <w:rtl/>
        </w:rPr>
        <w:t>الوثيقة</w:t>
      </w:r>
      <w:proofErr w:type="gramEnd"/>
      <w:r w:rsidRPr="007D65D8">
        <w:rPr>
          <w:rFonts w:hint="cs"/>
          <w:rtl/>
        </w:rPr>
        <w:t xml:space="preserve"> </w:t>
      </w:r>
      <w:r w:rsidRPr="007D65D8">
        <w:t>WIPO/GRTKF/IC/37/</w:t>
      </w:r>
      <w:r w:rsidRPr="007D65D8">
        <w:t>11</w:t>
      </w:r>
      <w:r w:rsidRPr="007D65D8">
        <w:rPr>
          <w:rFonts w:hint="cs"/>
          <w:rtl/>
        </w:rPr>
        <w:t>.</w:t>
      </w:r>
    </w:p>
    <w:p w:rsidR="007D65D8" w:rsidRPr="007D65D8" w:rsidRDefault="007D65D8" w:rsidP="007D65D8">
      <w:pPr>
        <w:pStyle w:val="NormalParaAR"/>
        <w:spacing w:after="0"/>
        <w:ind w:left="1134" w:hanging="567"/>
        <w:rPr>
          <w:rtl/>
        </w:rPr>
      </w:pPr>
      <w:r w:rsidRPr="007D65D8">
        <w:rPr>
          <w:rFonts w:hint="cs"/>
          <w:rtl/>
        </w:rPr>
        <w:t>-</w:t>
      </w:r>
      <w:r w:rsidRPr="007D65D8">
        <w:rPr>
          <w:rtl/>
        </w:rPr>
        <w:tab/>
      </w:r>
      <w:r w:rsidRPr="007D65D8">
        <w:rPr>
          <w:rFonts w:hint="eastAsia"/>
          <w:rtl/>
        </w:rPr>
        <w:t>توصية</w:t>
      </w:r>
      <w:r w:rsidRPr="007D65D8">
        <w:rPr>
          <w:rtl/>
        </w:rPr>
        <w:t xml:space="preserve"> </w:t>
      </w:r>
      <w:r w:rsidRPr="007D65D8">
        <w:rPr>
          <w:rFonts w:hint="eastAsia"/>
          <w:rtl/>
        </w:rPr>
        <w:t>مشتركة</w:t>
      </w:r>
      <w:r w:rsidRPr="007D65D8">
        <w:rPr>
          <w:rtl/>
        </w:rPr>
        <w:t xml:space="preserve"> </w:t>
      </w:r>
      <w:r w:rsidRPr="007D65D8">
        <w:rPr>
          <w:rFonts w:hint="eastAsia"/>
          <w:rtl/>
        </w:rPr>
        <w:t>بشأن</w:t>
      </w:r>
      <w:r w:rsidRPr="007D65D8">
        <w:rPr>
          <w:rtl/>
        </w:rPr>
        <w:t xml:space="preserve"> </w:t>
      </w:r>
      <w:r w:rsidRPr="007D65D8">
        <w:rPr>
          <w:rFonts w:hint="eastAsia"/>
          <w:rtl/>
        </w:rPr>
        <w:t>الموارد</w:t>
      </w:r>
      <w:r w:rsidRPr="007D65D8">
        <w:rPr>
          <w:rtl/>
        </w:rPr>
        <w:t xml:space="preserve"> </w:t>
      </w:r>
      <w:r w:rsidRPr="007D65D8">
        <w:rPr>
          <w:rFonts w:hint="eastAsia"/>
          <w:rtl/>
        </w:rPr>
        <w:t>الوراثية</w:t>
      </w:r>
      <w:r w:rsidRPr="007D65D8">
        <w:rPr>
          <w:rtl/>
        </w:rPr>
        <w:t xml:space="preserve"> </w:t>
      </w:r>
      <w:r w:rsidRPr="007D65D8">
        <w:rPr>
          <w:rFonts w:hint="eastAsia"/>
          <w:rtl/>
        </w:rPr>
        <w:t>والمعارف</w:t>
      </w:r>
      <w:r w:rsidRPr="007D65D8">
        <w:rPr>
          <w:rtl/>
        </w:rPr>
        <w:t xml:space="preserve"> </w:t>
      </w:r>
      <w:r w:rsidRPr="007D65D8">
        <w:rPr>
          <w:rFonts w:hint="eastAsia"/>
          <w:rtl/>
        </w:rPr>
        <w:t>التقليدية</w:t>
      </w:r>
      <w:r w:rsidRPr="007D65D8">
        <w:rPr>
          <w:rtl/>
        </w:rPr>
        <w:t xml:space="preserve"> </w:t>
      </w:r>
      <w:r w:rsidRPr="007D65D8">
        <w:rPr>
          <w:rFonts w:hint="eastAsia"/>
          <w:rtl/>
        </w:rPr>
        <w:t>المرتبطة</w:t>
      </w:r>
      <w:r w:rsidRPr="007D65D8">
        <w:rPr>
          <w:rtl/>
        </w:rPr>
        <w:t xml:space="preserve"> </w:t>
      </w:r>
      <w:r w:rsidRPr="007D65D8">
        <w:rPr>
          <w:rFonts w:hint="eastAsia"/>
          <w:rtl/>
        </w:rPr>
        <w:t>بها</w:t>
      </w:r>
    </w:p>
    <w:p w:rsidR="007D65D8" w:rsidRDefault="007D65D8" w:rsidP="007D65D8">
      <w:pPr>
        <w:pStyle w:val="NormalParaAR"/>
        <w:spacing w:after="120"/>
        <w:ind w:left="1134"/>
        <w:rPr>
          <w:rFonts w:hint="cs"/>
          <w:rtl/>
        </w:rPr>
      </w:pPr>
      <w:r w:rsidRPr="007D65D8">
        <w:rPr>
          <w:rFonts w:hint="cs"/>
          <w:rtl/>
        </w:rPr>
        <w:t xml:space="preserve">انظر </w:t>
      </w:r>
      <w:proofErr w:type="gramStart"/>
      <w:r w:rsidRPr="007D65D8">
        <w:rPr>
          <w:rFonts w:hint="cs"/>
          <w:rtl/>
        </w:rPr>
        <w:t>الوثيقة</w:t>
      </w:r>
      <w:proofErr w:type="gramEnd"/>
      <w:r w:rsidRPr="007D65D8">
        <w:rPr>
          <w:rFonts w:hint="cs"/>
          <w:rtl/>
        </w:rPr>
        <w:t xml:space="preserve"> </w:t>
      </w:r>
      <w:r w:rsidRPr="007D65D8">
        <w:t>WIPO/GRTKF/IC/37/</w:t>
      </w:r>
      <w:r w:rsidRPr="007D65D8">
        <w:t>12</w:t>
      </w:r>
      <w:r w:rsidRPr="007D65D8">
        <w:rPr>
          <w:rFonts w:hint="cs"/>
          <w:rtl/>
        </w:rPr>
        <w:t>.</w:t>
      </w:r>
    </w:p>
    <w:p w:rsidR="007D65D8" w:rsidRPr="007D65D8" w:rsidRDefault="007D65D8" w:rsidP="007D65D8">
      <w:pPr>
        <w:pStyle w:val="NormalParaAR"/>
        <w:spacing w:after="0"/>
        <w:ind w:left="1134" w:hanging="567"/>
        <w:rPr>
          <w:rFonts w:hint="cs"/>
          <w:rtl/>
        </w:rPr>
      </w:pPr>
      <w:r w:rsidRPr="007D65D8">
        <w:rPr>
          <w:rFonts w:hint="cs"/>
          <w:rtl/>
        </w:rPr>
        <w:t>-</w:t>
      </w:r>
      <w:r w:rsidRPr="007D65D8">
        <w:rPr>
          <w:rFonts w:hint="cs"/>
          <w:rtl/>
        </w:rPr>
        <w:tab/>
      </w:r>
      <w:r w:rsidRPr="007D65D8">
        <w:rPr>
          <w:rtl/>
        </w:rPr>
        <w:t>توصية مشتركة بشأن استخدام قواعد البيانات لأغراض الحماية الدفاعية للموارد الوراثية والمعارف التقليدية المرتبطة بها</w:t>
      </w:r>
    </w:p>
    <w:p w:rsidR="007D65D8" w:rsidRDefault="007D65D8" w:rsidP="007D65D8">
      <w:pPr>
        <w:pStyle w:val="NormalParaAR"/>
        <w:spacing w:after="120"/>
        <w:ind w:left="1134"/>
        <w:rPr>
          <w:rFonts w:hint="cs"/>
          <w:rtl/>
        </w:rPr>
      </w:pPr>
      <w:r w:rsidRPr="007D65D8">
        <w:rPr>
          <w:rFonts w:hint="cs"/>
          <w:rtl/>
        </w:rPr>
        <w:t xml:space="preserve">انظر </w:t>
      </w:r>
      <w:proofErr w:type="gramStart"/>
      <w:r w:rsidRPr="007D65D8">
        <w:rPr>
          <w:rFonts w:hint="cs"/>
          <w:rtl/>
        </w:rPr>
        <w:t>الوثيقة</w:t>
      </w:r>
      <w:proofErr w:type="gramEnd"/>
      <w:r w:rsidRPr="007D65D8">
        <w:rPr>
          <w:rFonts w:hint="cs"/>
          <w:rtl/>
        </w:rPr>
        <w:t xml:space="preserve"> </w:t>
      </w:r>
      <w:r w:rsidRPr="007D65D8">
        <w:t>WIPO/GRTKF/IC/37/</w:t>
      </w:r>
      <w:r>
        <w:t>13</w:t>
      </w:r>
      <w:r w:rsidRPr="007D65D8">
        <w:rPr>
          <w:rFonts w:hint="cs"/>
          <w:rtl/>
        </w:rPr>
        <w:t>.</w:t>
      </w:r>
    </w:p>
    <w:p w:rsidR="007D65D8" w:rsidRPr="007D65D8" w:rsidRDefault="007D65D8" w:rsidP="007D65D8">
      <w:pPr>
        <w:pStyle w:val="NormalParaAR"/>
        <w:spacing w:after="0"/>
        <w:ind w:left="1134" w:hanging="567"/>
        <w:rPr>
          <w:rFonts w:hint="cs"/>
          <w:rtl/>
        </w:rPr>
      </w:pPr>
      <w:r w:rsidRPr="007D65D8">
        <w:rPr>
          <w:rFonts w:hint="cs"/>
          <w:rtl/>
        </w:rPr>
        <w:t>-</w:t>
      </w:r>
      <w:r w:rsidRPr="007D65D8">
        <w:rPr>
          <w:rtl/>
        </w:rPr>
        <w:tab/>
      </w:r>
      <w:r w:rsidRPr="007D65D8">
        <w:rPr>
          <w:rtl/>
          <w:lang w:bidi="ar-EG"/>
        </w:rPr>
        <w:t>اقتراح بخصوص مواصفات دراسة أمانة الويبو</w:t>
      </w:r>
      <w:r w:rsidRPr="007D65D8">
        <w:rPr>
          <w:rFonts w:hint="cs"/>
          <w:rtl/>
          <w:lang w:bidi="ar-EG"/>
        </w:rPr>
        <w:t xml:space="preserve"> </w:t>
      </w:r>
      <w:r w:rsidRPr="007D65D8">
        <w:rPr>
          <w:rtl/>
          <w:lang w:bidi="ar-EG"/>
        </w:rPr>
        <w:t>بشأن التدابير المتعلقة ب</w:t>
      </w:r>
      <w:r w:rsidRPr="007D65D8">
        <w:rPr>
          <w:rFonts w:hint="cs"/>
          <w:rtl/>
        </w:rPr>
        <w:t xml:space="preserve">تلافي </w:t>
      </w:r>
      <w:r w:rsidRPr="007D65D8">
        <w:rPr>
          <w:rtl/>
          <w:lang w:bidi="ar-EG"/>
        </w:rPr>
        <w:t>منح البراءات عن خطأ والامتثال للأنظمة الحالية للنفاذ وتقاسم المنافع</w:t>
      </w:r>
    </w:p>
    <w:p w:rsidR="007D65D8" w:rsidRDefault="007D65D8" w:rsidP="007D65D8">
      <w:pPr>
        <w:pStyle w:val="NormalParaAR"/>
        <w:spacing w:after="120"/>
        <w:ind w:left="1134"/>
        <w:rPr>
          <w:rFonts w:hint="cs"/>
          <w:rtl/>
        </w:rPr>
      </w:pPr>
      <w:r w:rsidRPr="007D65D8">
        <w:rPr>
          <w:rFonts w:hint="cs"/>
          <w:rtl/>
        </w:rPr>
        <w:t xml:space="preserve">انظر </w:t>
      </w:r>
      <w:proofErr w:type="gramStart"/>
      <w:r w:rsidRPr="007D65D8">
        <w:rPr>
          <w:rFonts w:hint="cs"/>
          <w:rtl/>
        </w:rPr>
        <w:t>الوثيقة</w:t>
      </w:r>
      <w:proofErr w:type="gramEnd"/>
      <w:r w:rsidRPr="007D65D8">
        <w:rPr>
          <w:rFonts w:hint="cs"/>
          <w:rtl/>
        </w:rPr>
        <w:t xml:space="preserve"> </w:t>
      </w:r>
      <w:r w:rsidRPr="007D65D8">
        <w:t>WIPO/GRTKF/IC/37/14</w:t>
      </w:r>
      <w:r w:rsidRPr="007D65D8">
        <w:rPr>
          <w:rFonts w:hint="cs"/>
          <w:rtl/>
        </w:rPr>
        <w:t>.</w:t>
      </w:r>
    </w:p>
    <w:p w:rsidR="007D65D8" w:rsidRPr="007D65D8" w:rsidRDefault="007D65D8" w:rsidP="007D65D8">
      <w:pPr>
        <w:pStyle w:val="NormalParaAR"/>
        <w:spacing w:after="0"/>
        <w:ind w:left="1134" w:hanging="567"/>
        <w:rPr>
          <w:rFonts w:hint="cs"/>
          <w:rtl/>
        </w:rPr>
      </w:pPr>
      <w:r w:rsidRPr="007D65D8">
        <w:rPr>
          <w:rFonts w:hint="cs"/>
          <w:rtl/>
          <w:lang w:bidi="ar-EG"/>
        </w:rPr>
        <w:t>-</w:t>
      </w:r>
      <w:r w:rsidRPr="007D65D8">
        <w:rPr>
          <w:rtl/>
          <w:lang w:bidi="ar-EG"/>
        </w:rPr>
        <w:tab/>
      </w:r>
      <w:r w:rsidRPr="007D65D8">
        <w:rPr>
          <w:rtl/>
        </w:rPr>
        <w:t>الأثر الاقتصادي لتأخر البراءات وعدم اليقين بشأنها: مخاوف الولايات المتحدة بشأن المقترحات المتعلقة بمتطلبات الكشف الجديدة عن البراءات</w:t>
      </w:r>
    </w:p>
    <w:p w:rsidR="007D65D8" w:rsidRDefault="007D65D8" w:rsidP="007D65D8">
      <w:pPr>
        <w:pStyle w:val="NormalParaAR"/>
        <w:spacing w:after="120"/>
        <w:ind w:left="1134"/>
        <w:rPr>
          <w:rFonts w:hint="cs"/>
          <w:rtl/>
        </w:rPr>
      </w:pPr>
      <w:r w:rsidRPr="007D65D8">
        <w:rPr>
          <w:rFonts w:hint="cs"/>
          <w:rtl/>
        </w:rPr>
        <w:t xml:space="preserve">انظر </w:t>
      </w:r>
      <w:proofErr w:type="gramStart"/>
      <w:r w:rsidRPr="007D65D8">
        <w:rPr>
          <w:rFonts w:hint="cs"/>
          <w:rtl/>
        </w:rPr>
        <w:t>الوثيقة</w:t>
      </w:r>
      <w:proofErr w:type="gramEnd"/>
      <w:r w:rsidRPr="007D65D8">
        <w:rPr>
          <w:rFonts w:hint="cs"/>
          <w:rtl/>
        </w:rPr>
        <w:t xml:space="preserve"> </w:t>
      </w:r>
      <w:r w:rsidRPr="007D65D8">
        <w:t>WIPO/GRTKF/IC/37/</w:t>
      </w:r>
      <w:r w:rsidRPr="007D65D8">
        <w:t>15</w:t>
      </w:r>
      <w:r w:rsidRPr="007D65D8">
        <w:rPr>
          <w:rFonts w:hint="cs"/>
          <w:rtl/>
        </w:rPr>
        <w:t>.</w:t>
      </w:r>
    </w:p>
    <w:p w:rsidR="00734DF5" w:rsidRPr="00C814EC" w:rsidRDefault="007D65D8" w:rsidP="00BA448F">
      <w:pPr>
        <w:pStyle w:val="NormalParaAR"/>
        <w:spacing w:after="0"/>
        <w:ind w:left="1134" w:hanging="567"/>
      </w:pPr>
      <w:r>
        <w:rPr>
          <w:rFonts w:hint="cs"/>
          <w:rtl/>
        </w:rPr>
        <w:t>-</w:t>
      </w:r>
      <w:r>
        <w:rPr>
          <w:rtl/>
        </w:rPr>
        <w:tab/>
      </w:r>
      <w:r w:rsidR="00734DF5" w:rsidRPr="00C814EC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734DF5" w:rsidRDefault="00734DF5" w:rsidP="00BA448F">
      <w:pPr>
        <w:pStyle w:val="NormalParaAR"/>
        <w:ind w:left="1134" w:hanging="1"/>
        <w:rPr>
          <w:rtl/>
        </w:rPr>
      </w:pPr>
      <w:r w:rsidRPr="00C814EC">
        <w:rPr>
          <w:rtl/>
        </w:rPr>
        <w:t xml:space="preserve">انظر </w:t>
      </w:r>
      <w:proofErr w:type="gramStart"/>
      <w:r w:rsidRPr="00C814EC">
        <w:rPr>
          <w:rtl/>
        </w:rPr>
        <w:t>الوثيقة</w:t>
      </w:r>
      <w:proofErr w:type="gramEnd"/>
      <w:r w:rsidRPr="00C814EC">
        <w:rPr>
          <w:rFonts w:hint="cs"/>
          <w:rtl/>
        </w:rPr>
        <w:t xml:space="preserve"> </w:t>
      </w:r>
      <w:r w:rsidRPr="00C814EC">
        <w:t>WIPO/GRTKF/IC/</w:t>
      </w:r>
      <w:r w:rsidR="00BA448F">
        <w:t>37</w:t>
      </w:r>
      <w:r w:rsidRPr="00C814EC">
        <w:t>/INF/7</w:t>
      </w:r>
      <w:r w:rsidRPr="00C814EC">
        <w:rPr>
          <w:rFonts w:hint="cs"/>
          <w:rtl/>
        </w:rPr>
        <w:t>.</w:t>
      </w:r>
    </w:p>
    <w:p w:rsidR="00BA448F" w:rsidRDefault="0022333E" w:rsidP="0022333E">
      <w:pPr>
        <w:pStyle w:val="NumberedParaAR"/>
        <w:numPr>
          <w:ilvl w:val="0"/>
          <w:numId w:val="11"/>
        </w:numPr>
        <w:rPr>
          <w:rFonts w:hint="cs"/>
          <w:lang w:val="fr-CH"/>
        </w:rPr>
      </w:pPr>
      <w:r w:rsidRPr="0022333E">
        <w:rPr>
          <w:rtl/>
          <w:lang w:val="fr-CH"/>
        </w:rPr>
        <w:lastRenderedPageBreak/>
        <w:t>إنشاء فريق (</w:t>
      </w:r>
      <w:proofErr w:type="gramStart"/>
      <w:r w:rsidRPr="0022333E">
        <w:rPr>
          <w:rtl/>
          <w:lang w:val="fr-CH"/>
        </w:rPr>
        <w:t>أفرقة</w:t>
      </w:r>
      <w:proofErr w:type="gramEnd"/>
      <w:r w:rsidRPr="0022333E">
        <w:rPr>
          <w:rtl/>
          <w:lang w:val="fr-CH"/>
        </w:rPr>
        <w:t>) خبراء مخصّص</w:t>
      </w:r>
    </w:p>
    <w:p w:rsidR="007D65D8" w:rsidRDefault="00F077BF" w:rsidP="0022333E">
      <w:pPr>
        <w:pStyle w:val="NumberedParaAR"/>
        <w:numPr>
          <w:ilvl w:val="0"/>
          <w:numId w:val="11"/>
        </w:numPr>
        <w:rPr>
          <w:lang w:val="fr-CH"/>
        </w:rPr>
      </w:pPr>
      <w:r>
        <w:rPr>
          <w:rFonts w:hint="cs"/>
          <w:rtl/>
          <w:lang w:val="fr-CH"/>
        </w:rPr>
        <w:t xml:space="preserve">التوصيات الممكن تقديمها إلى الجمعية العامة </w:t>
      </w:r>
      <w:proofErr w:type="gramStart"/>
      <w:r>
        <w:rPr>
          <w:rFonts w:hint="cs"/>
          <w:rtl/>
          <w:lang w:val="fr-CH"/>
        </w:rPr>
        <w:t>لعام</w:t>
      </w:r>
      <w:proofErr w:type="gramEnd"/>
      <w:r>
        <w:rPr>
          <w:rFonts w:hint="cs"/>
          <w:rtl/>
          <w:lang w:val="fr-CH"/>
        </w:rPr>
        <w:t xml:space="preserve"> 2018</w:t>
      </w:r>
    </w:p>
    <w:p w:rsidR="0022333E" w:rsidRPr="0022333E" w:rsidRDefault="0022333E" w:rsidP="0022333E">
      <w:pPr>
        <w:pStyle w:val="NumberedParaAR"/>
        <w:numPr>
          <w:ilvl w:val="0"/>
          <w:numId w:val="11"/>
        </w:numPr>
        <w:rPr>
          <w:rtl/>
          <w:lang w:val="fr-CH"/>
        </w:rPr>
      </w:pPr>
      <w:r w:rsidRPr="0022333E">
        <w:rPr>
          <w:rtl/>
          <w:lang w:val="fr-CH"/>
        </w:rPr>
        <w:t>مساهمة اللجنة الحكومية الدولية المعنية بالملكية الفكرية والموارد الوراثية والمعارف التقليدية والفولكلور (لجنة المعارف) في تنفيذ ما يعنيها من توصيات أجندة التنمية</w:t>
      </w:r>
    </w:p>
    <w:p w:rsidR="00734DF5" w:rsidRPr="0052702C" w:rsidRDefault="00734DF5" w:rsidP="00734DF5">
      <w:pPr>
        <w:pStyle w:val="NumberedParaAR"/>
        <w:numPr>
          <w:ilvl w:val="0"/>
          <w:numId w:val="11"/>
        </w:numPr>
      </w:pPr>
      <w:r w:rsidRPr="0052702C">
        <w:rPr>
          <w:rtl/>
        </w:rPr>
        <w:t>أية مسائل أخرى</w:t>
      </w:r>
    </w:p>
    <w:p w:rsidR="00734DF5" w:rsidRPr="0052702C" w:rsidRDefault="00734DF5" w:rsidP="00734DF5">
      <w:pPr>
        <w:pStyle w:val="NumberedParaAR"/>
        <w:numPr>
          <w:ilvl w:val="0"/>
          <w:numId w:val="11"/>
        </w:numPr>
      </w:pPr>
      <w:proofErr w:type="gramStart"/>
      <w:r w:rsidRPr="0052702C">
        <w:rPr>
          <w:rtl/>
        </w:rPr>
        <w:t>اختتام</w:t>
      </w:r>
      <w:proofErr w:type="gramEnd"/>
      <w:r w:rsidRPr="0052702C">
        <w:rPr>
          <w:rtl/>
        </w:rPr>
        <w:t xml:space="preserve"> الدورة</w:t>
      </w:r>
    </w:p>
    <w:p w:rsidR="00FD6D15" w:rsidRPr="00C41AE0" w:rsidRDefault="00734DF5" w:rsidP="0022333E">
      <w:pPr>
        <w:pStyle w:val="EndofDocumentAR"/>
        <w:rPr>
          <w:rtl/>
        </w:rPr>
      </w:pPr>
      <w:r w:rsidRPr="0052702C">
        <w:rPr>
          <w:rtl/>
        </w:rPr>
        <w:t>[</w:t>
      </w:r>
      <w:proofErr w:type="gramStart"/>
      <w:r w:rsidRPr="0052702C">
        <w:rPr>
          <w:rtl/>
        </w:rPr>
        <w:t>نهاية</w:t>
      </w:r>
      <w:proofErr w:type="gramEnd"/>
      <w:r w:rsidRPr="0052702C">
        <w:rPr>
          <w:rtl/>
        </w:rPr>
        <w:t xml:space="preserve"> الوثيقة]</w:t>
      </w:r>
    </w:p>
    <w:sectPr w:rsidR="00FD6D15" w:rsidRPr="00C41AE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F5" w:rsidRDefault="00734DF5">
      <w:r>
        <w:separator/>
      </w:r>
    </w:p>
  </w:endnote>
  <w:endnote w:type="continuationSeparator" w:id="0">
    <w:p w:rsidR="00734DF5" w:rsidRDefault="0073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F5" w:rsidRDefault="00734DF5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34DF5" w:rsidRDefault="00734DF5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F5" w:rsidRDefault="00734DF5" w:rsidP="0023693F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WIPO/GRTKF/IC/37/1/PROV.</w:t>
    </w:r>
    <w:r w:rsidR="00037FBC">
      <w:rPr>
        <w:rFonts w:ascii="Arial" w:hAnsi="Arial" w:cs="Arial"/>
        <w:sz w:val="22"/>
        <w:szCs w:val="22"/>
      </w:rPr>
      <w:t xml:space="preserve"> 2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B07193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F5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37FBC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6BF3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0DC3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33E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0FF9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350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59C4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0F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4DF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5D8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282D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C7846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C0E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193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48F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03C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24C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25F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B6F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077BF"/>
    <w:rsid w:val="00F11800"/>
    <w:rsid w:val="00F11B61"/>
    <w:rsid w:val="00F12942"/>
    <w:rsid w:val="00F135D6"/>
    <w:rsid w:val="00F13922"/>
    <w:rsid w:val="00F13DBC"/>
    <w:rsid w:val="00F15FCF"/>
    <w:rsid w:val="00F16613"/>
    <w:rsid w:val="00F17437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3666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0C32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ormalParaAR">
    <w:name w:val="Normal_Para_AR"/>
    <w:rsid w:val="00734DF5"/>
    <w:pPr>
      <w:bidi/>
      <w:spacing w:after="240" w:line="360" w:lineRule="exact"/>
    </w:pPr>
  </w:style>
  <w:style w:type="paragraph" w:customStyle="1" w:styleId="NumberedParaAR">
    <w:name w:val="Numbered_Para_AR"/>
    <w:basedOn w:val="NormalParaAR"/>
    <w:rsid w:val="00734DF5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734DF5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ormalParaAR">
    <w:name w:val="Normal_Para_AR"/>
    <w:rsid w:val="00734DF5"/>
    <w:pPr>
      <w:bidi/>
      <w:spacing w:after="240" w:line="360" w:lineRule="exact"/>
    </w:pPr>
  </w:style>
  <w:style w:type="paragraph" w:customStyle="1" w:styleId="NumberedParaAR">
    <w:name w:val="Numbered_Para_AR"/>
    <w:basedOn w:val="NormalParaAR"/>
    <w:rsid w:val="00734DF5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734DF5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ccessible%20Templates\WIPO_GRTKF_IC_37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2DAD-A774-47B6-B846-9782A349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WIPO_GRTKF_IC_37_AR.dotm</Template>
  <TotalTime>43</TotalTime>
  <Pages>3</Pages>
  <Words>348</Words>
  <Characters>2331</Characters>
  <Application>Microsoft Office Word</Application>
  <DocSecurity>0</DocSecurity>
  <Lines>62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WIPO/GRTKF/IC/37/1/PROV. 2_x000d_ (Arabic)</vt:lpstr>
    </vt:vector>
  </TitlesOfParts>
  <Company>World Intellectual Property Organization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WIPO/GRTKF/IC/37/1/PROV. 2_x000d_ (Arabic)</dc:title>
  <dc:creator>MERZOUK Fawzi</dc:creator>
  <cp:lastModifiedBy>MERZOUK Fawzi</cp:lastModifiedBy>
  <cp:revision>14</cp:revision>
  <cp:lastPrinted>2018-08-14T09:23:00Z</cp:lastPrinted>
  <dcterms:created xsi:type="dcterms:W3CDTF">2018-08-14T08:22:00Z</dcterms:created>
  <dcterms:modified xsi:type="dcterms:W3CDTF">2018-08-14T09:23:00Z</dcterms:modified>
</cp:coreProperties>
</file>