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3E5324" w:rsidP="007466C6">
            <w:pPr>
              <w:pStyle w:val="DocumentCodeAR"/>
              <w:bidi/>
              <w:rPr>
                <w:rtl/>
              </w:rPr>
            </w:pPr>
            <w:r>
              <w:t>WIPO/GRTKF/IC/</w:t>
            </w:r>
            <w:r w:rsidR="00F55FB5">
              <w:t>3</w:t>
            </w:r>
            <w:r w:rsidR="007466C6">
              <w:t>4</w:t>
            </w:r>
            <w:r w:rsidR="0015593C">
              <w:t>/</w:t>
            </w:r>
            <w:r w:rsidR="008549AE">
              <w:t>7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549AE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8549AE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549AE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549AE">
              <w:rPr>
                <w:rFonts w:hint="cs"/>
                <w:rtl/>
              </w:rPr>
              <w:t>14</w:t>
            </w:r>
            <w:r w:rsidRPr="00B6101C">
              <w:rPr>
                <w:rFonts w:hint="cs"/>
                <w:rtl/>
              </w:rPr>
              <w:t xml:space="preserve"> </w:t>
            </w:r>
            <w:r w:rsidR="008549AE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F55FB5">
              <w:rPr>
                <w:rFonts w:hint="cs"/>
                <w:rtl/>
              </w:rPr>
              <w:t>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7466C6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3E5324">
        <w:rPr>
          <w:rFonts w:ascii="Cambria Math" w:hAnsi="Cambria Math" w:hint="cs"/>
          <w:rtl/>
        </w:rPr>
        <w:t xml:space="preserve"> </w:t>
      </w:r>
      <w:r w:rsidR="007466C6">
        <w:rPr>
          <w:rFonts w:ascii="Cambria Math" w:hAnsi="Cambria Math" w:hint="cs"/>
          <w:rtl/>
        </w:rPr>
        <w:t>الرابعة</w:t>
      </w:r>
      <w:r w:rsidRPr="00783D11">
        <w:rPr>
          <w:rFonts w:ascii="Cambria Math" w:hAnsi="Cambria Math"/>
          <w:rtl/>
        </w:rPr>
        <w:t xml:space="preserve"> </w:t>
      </w:r>
      <w:r w:rsidR="0070344A">
        <w:rPr>
          <w:rFonts w:ascii="Cambria Math" w:hAnsi="Cambria Math" w:hint="cs"/>
          <w:rtl/>
        </w:rPr>
        <w:t>و</w:t>
      </w:r>
      <w:r w:rsidR="0015593C">
        <w:rPr>
          <w:rFonts w:ascii="Cambria Math" w:hAnsi="Cambria Math" w:hint="cs"/>
          <w:rtl/>
        </w:rPr>
        <w:t>الثلاثون</w:t>
      </w:r>
    </w:p>
    <w:p w:rsidR="00D61541" w:rsidRPr="00D61541" w:rsidRDefault="0015593C" w:rsidP="007466C6">
      <w:pPr>
        <w:pStyle w:val="MeetingDatesAR"/>
        <w:bidi/>
        <w:rPr>
          <w:rtl/>
        </w:rPr>
      </w:pPr>
      <w:r w:rsidRPr="0015593C">
        <w:rPr>
          <w:rtl/>
        </w:rPr>
        <w:t xml:space="preserve">جنيف، من </w:t>
      </w:r>
      <w:r w:rsidR="007466C6" w:rsidRPr="007466C6">
        <w:rPr>
          <w:rtl/>
        </w:rPr>
        <w:t>12 إلى 16 يونيو 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232F2" w:rsidRDefault="00D232F2" w:rsidP="00D232F2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6F43EC" w:rsidP="006F43EC">
      <w:pPr>
        <w:pStyle w:val="DocumentTitleAR"/>
        <w:bidi/>
        <w:rPr>
          <w:rtl/>
        </w:rPr>
      </w:pPr>
      <w:r w:rsidRPr="006F43EC">
        <w:rPr>
          <w:rFonts w:hint="cs"/>
          <w:b/>
          <w:bCs/>
          <w:rtl/>
        </w:rPr>
        <w:t xml:space="preserve">قائمة إرشادية بالقضايا العالقة التي ينبغي </w:t>
      </w:r>
      <w:r w:rsidR="007A5AD5">
        <w:rPr>
          <w:rFonts w:hint="cs"/>
          <w:b/>
          <w:bCs/>
          <w:rtl/>
        </w:rPr>
        <w:t>معالجتها/حلّها</w:t>
      </w:r>
    </w:p>
    <w:p w:rsidR="00D61541" w:rsidRPr="00D61541" w:rsidRDefault="006F43EC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DF7400" w:rsidRDefault="007A5AD5" w:rsidP="007A5AD5">
      <w:pPr>
        <w:pStyle w:val="NumberedParaAR"/>
      </w:pPr>
      <w:r w:rsidRPr="007A5AD5">
        <w:rPr>
          <w:rFonts w:hint="cs"/>
          <w:rtl/>
        </w:rPr>
        <w:t>قر</w:t>
      </w:r>
      <w:r>
        <w:rPr>
          <w:rFonts w:hint="cs"/>
          <w:rtl/>
        </w:rPr>
        <w:t>ّ</w:t>
      </w:r>
      <w:r w:rsidRPr="007A5AD5">
        <w:rPr>
          <w:rFonts w:hint="cs"/>
          <w:rtl/>
        </w:rPr>
        <w:t>رت</w:t>
      </w:r>
      <w:r>
        <w:rPr>
          <w:rtl/>
        </w:rPr>
        <w:t xml:space="preserve"> </w:t>
      </w:r>
      <w:r w:rsidRPr="007A5AD5">
        <w:rPr>
          <w:rtl/>
        </w:rPr>
        <w:t xml:space="preserve">لجنة </w:t>
      </w:r>
      <w:r>
        <w:rPr>
          <w:rFonts w:hint="cs"/>
          <w:rtl/>
        </w:rPr>
        <w:t xml:space="preserve">الويبو </w:t>
      </w:r>
      <w:r w:rsidRPr="007A5AD5">
        <w:rPr>
          <w:rtl/>
        </w:rPr>
        <w:t xml:space="preserve">الحكومية الدولية المعنية بالملكية الفكرية والموارد الوراثية والمعارف </w:t>
      </w:r>
      <w:r>
        <w:rPr>
          <w:rtl/>
        </w:rPr>
        <w:t>التقليدية والفولكلور ("اللجنة")</w:t>
      </w:r>
      <w:r>
        <w:rPr>
          <w:rFonts w:hint="cs"/>
          <w:rtl/>
        </w:rPr>
        <w:t xml:space="preserve">، </w:t>
      </w:r>
      <w:r w:rsidRPr="007A5AD5">
        <w:rPr>
          <w:rtl/>
        </w:rPr>
        <w:t>في</w:t>
      </w:r>
      <w:r>
        <w:rPr>
          <w:rFonts w:hint="cs"/>
          <w:rtl/>
        </w:rPr>
        <w:t> </w:t>
      </w:r>
      <w:r w:rsidRPr="007A5AD5">
        <w:rPr>
          <w:rtl/>
        </w:rPr>
        <w:t xml:space="preserve">دورتها </w:t>
      </w:r>
      <w:r w:rsidRPr="007A5AD5">
        <w:rPr>
          <w:rFonts w:hint="cs"/>
          <w:rtl/>
          <w:lang w:bidi="ar-EG"/>
        </w:rPr>
        <w:t>الثالثة والثلاثين</w:t>
      </w:r>
      <w:r w:rsidRPr="007A5AD5">
        <w:rPr>
          <w:rtl/>
        </w:rPr>
        <w:t xml:space="preserve"> المعقودة في جنيف </w:t>
      </w:r>
      <w:r>
        <w:rPr>
          <w:rFonts w:hint="cs"/>
          <w:rtl/>
        </w:rPr>
        <w:t xml:space="preserve">في الفترة </w:t>
      </w:r>
      <w:r w:rsidRPr="007A5AD5">
        <w:rPr>
          <w:rtl/>
        </w:rPr>
        <w:t xml:space="preserve">من </w:t>
      </w:r>
      <w:r w:rsidRPr="007A5AD5">
        <w:rPr>
          <w:rFonts w:hint="cs"/>
          <w:rtl/>
        </w:rPr>
        <w:t>27</w:t>
      </w:r>
      <w:r w:rsidRPr="007A5AD5">
        <w:rPr>
          <w:rtl/>
        </w:rPr>
        <w:t xml:space="preserve"> </w:t>
      </w:r>
      <w:r w:rsidRPr="007A5AD5">
        <w:rPr>
          <w:rFonts w:hint="cs"/>
          <w:rtl/>
        </w:rPr>
        <w:t xml:space="preserve">فبراير </w:t>
      </w:r>
      <w:r w:rsidRPr="007A5AD5">
        <w:rPr>
          <w:rtl/>
        </w:rPr>
        <w:t xml:space="preserve">إلى </w:t>
      </w:r>
      <w:r w:rsidRPr="007A5AD5">
        <w:rPr>
          <w:rFonts w:hint="cs"/>
          <w:rtl/>
        </w:rPr>
        <w:t>3 مارس 2017</w:t>
      </w:r>
      <w:r>
        <w:rPr>
          <w:rFonts w:hint="cs"/>
          <w:rtl/>
        </w:rPr>
        <w:t>، أن تحيل إلى دورتها الرابعة والثلاثين "</w:t>
      </w:r>
      <w:r w:rsidRPr="007A5AD5">
        <w:rPr>
          <w:rtl/>
        </w:rPr>
        <w:t>قائمة إرشادية بالقضايا العالقة التي ينبغي مع</w:t>
      </w:r>
      <w:r>
        <w:rPr>
          <w:rtl/>
        </w:rPr>
        <w:t>الجتها/حلّها في الدورة القادمة"</w:t>
      </w:r>
      <w:r>
        <w:rPr>
          <w:rFonts w:hint="cs"/>
          <w:rtl/>
        </w:rPr>
        <w:t xml:space="preserve"> ("القائمة")، أدرِجت في</w:t>
      </w:r>
      <w:r>
        <w:rPr>
          <w:rFonts w:hint="eastAsia"/>
          <w:rtl/>
        </w:rPr>
        <w:t> </w:t>
      </w:r>
      <w:r>
        <w:rPr>
          <w:rFonts w:hint="cs"/>
          <w:rtl/>
        </w:rPr>
        <w:t>مرفق قرارات الدورة الثالثة والثلاثين للجنة.</w:t>
      </w:r>
    </w:p>
    <w:p w:rsidR="007A5AD5" w:rsidRDefault="007A5AD5" w:rsidP="007A5AD5">
      <w:pPr>
        <w:pStyle w:val="NumberedParaAR"/>
      </w:pPr>
      <w:r>
        <w:rPr>
          <w:rFonts w:hint="cs"/>
          <w:rtl/>
        </w:rPr>
        <w:t>وعملا بالقرار المذكور أعلاه، ترد القائمة في مرفق هذه الوثيقة.</w:t>
      </w:r>
    </w:p>
    <w:p w:rsidR="007A5AD5" w:rsidRDefault="007A5AD5" w:rsidP="007A5AD5">
      <w:pPr>
        <w:pStyle w:val="DecisionParaAR"/>
        <w:spacing w:after="480"/>
      </w:pPr>
      <w:r>
        <w:rPr>
          <w:rFonts w:hint="cs"/>
          <w:rtl/>
        </w:rPr>
        <w:t>إن اللجنة مدعوة إلى الإحاطة</w:t>
      </w:r>
      <w:r w:rsidR="00EF239D">
        <w:rPr>
          <w:rFonts w:hint="cs"/>
          <w:rtl/>
        </w:rPr>
        <w:t xml:space="preserve"> علما بالقائمة الواردة في المرفق.</w:t>
      </w:r>
      <w:bookmarkStart w:id="2" w:name="_GoBack"/>
      <w:bookmarkEnd w:id="2"/>
    </w:p>
    <w:p w:rsidR="007A5AD5" w:rsidRDefault="007A5AD5" w:rsidP="007A5AD5">
      <w:pPr>
        <w:pStyle w:val="EndofDocumentAR"/>
        <w:rPr>
          <w:rtl/>
        </w:rPr>
        <w:sectPr w:rsidR="007A5AD5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rPr>
          <w:rFonts w:hint="cs"/>
          <w:rtl/>
        </w:rPr>
        <w:t>[يلي ذلك المرفق]</w:t>
      </w:r>
    </w:p>
    <w:p w:rsidR="00E9172B" w:rsidRPr="00E9172B" w:rsidRDefault="00E9172B" w:rsidP="00E9172B">
      <w:pPr>
        <w:pStyle w:val="NormalParaAR"/>
        <w:jc w:val="center"/>
        <w:rPr>
          <w:b/>
          <w:bCs/>
          <w:sz w:val="40"/>
          <w:szCs w:val="40"/>
          <w:rtl/>
        </w:rPr>
      </w:pPr>
      <w:r w:rsidRPr="00E9172B">
        <w:rPr>
          <w:rFonts w:hint="cs"/>
          <w:b/>
          <w:bCs/>
          <w:sz w:val="40"/>
          <w:szCs w:val="40"/>
          <w:rtl/>
        </w:rPr>
        <w:lastRenderedPageBreak/>
        <w:t>المرفق</w:t>
      </w:r>
    </w:p>
    <w:p w:rsidR="00E9172B" w:rsidRPr="00CF5567" w:rsidRDefault="00E9172B" w:rsidP="00E9172B">
      <w:pPr>
        <w:pStyle w:val="NormalParaAR"/>
        <w:jc w:val="center"/>
        <w:rPr>
          <w:b/>
          <w:bCs/>
          <w:rtl/>
        </w:rPr>
      </w:pPr>
      <w:r w:rsidRPr="00CF5567">
        <w:rPr>
          <w:rFonts w:hint="cs"/>
          <w:b/>
          <w:bCs/>
          <w:rtl/>
        </w:rPr>
        <w:t>قائمة إرشادية بالقضايا العالقة التي ينبغي معالجتها/حلّها في الدورة القادمة</w:t>
      </w:r>
    </w:p>
    <w:p w:rsidR="00E9172B" w:rsidRPr="00344E7F" w:rsidRDefault="00E9172B" w:rsidP="00E9172B">
      <w:pPr>
        <w:pStyle w:val="NormalParaAR"/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>1.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أهداف السياسة العامة</w:t>
      </w:r>
    </w:p>
    <w:p w:rsidR="00E9172B" w:rsidRDefault="00E9172B" w:rsidP="00E9172B">
      <w:pPr>
        <w:pStyle w:val="NormalParaAR"/>
        <w:ind w:left="566"/>
        <w:rPr>
          <w:rtl/>
        </w:rPr>
      </w:pPr>
      <w:r>
        <w:rPr>
          <w:rFonts w:hint="cs"/>
          <w:rtl/>
        </w:rPr>
        <w:t>استخدام مصطلحات "التملك غير المشروع" و/أو "[سوء الاستخدام]/[التملك غير القانوني]".</w:t>
      </w:r>
    </w:p>
    <w:p w:rsidR="00E9172B" w:rsidRDefault="00E9172B" w:rsidP="00E9172B">
      <w:pPr>
        <w:pStyle w:val="NormalParaAR"/>
        <w:ind w:left="566"/>
        <w:rPr>
          <w:rtl/>
        </w:rPr>
      </w:pPr>
      <w:r>
        <w:rPr>
          <w:rFonts w:hint="cs"/>
          <w:rtl/>
        </w:rPr>
        <w:t>والاعتراف بالحقوق التي اكتسبها الغير.</w:t>
      </w:r>
    </w:p>
    <w:p w:rsidR="00E9172B" w:rsidRPr="00A671C5" w:rsidRDefault="00E9172B" w:rsidP="00E9172B">
      <w:pPr>
        <w:pStyle w:val="NormalParaAR"/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>2.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الموضوع</w:t>
      </w:r>
    </w:p>
    <w:p w:rsidR="00E9172B" w:rsidRDefault="00E9172B" w:rsidP="00E9172B">
      <w:pPr>
        <w:pStyle w:val="NormalParaAR"/>
        <w:ind w:left="566"/>
        <w:rPr>
          <w:rtl/>
        </w:rPr>
      </w:pPr>
      <w:r>
        <w:rPr>
          <w:rFonts w:hint="cs"/>
          <w:rtl/>
        </w:rPr>
        <w:t>ما إذا كان ينبغي إدراج معايير الأهلية وتحديد الموضع الذي تُدرج فيه.</w:t>
      </w:r>
    </w:p>
    <w:p w:rsidR="00E9172B" w:rsidRDefault="00E9172B" w:rsidP="00E9172B">
      <w:pPr>
        <w:pStyle w:val="NormalParaAR"/>
        <w:ind w:left="566"/>
        <w:rPr>
          <w:rtl/>
        </w:rPr>
      </w:pPr>
      <w:r>
        <w:rPr>
          <w:rFonts w:hint="cs"/>
          <w:rtl/>
        </w:rPr>
        <w:t xml:space="preserve">والإشارة </w:t>
      </w:r>
      <w:r w:rsidRPr="00DD5F2E">
        <w:rPr>
          <w:rFonts w:hint="cs"/>
          <w:rtl/>
        </w:rPr>
        <w:t>إلى مدة زمنية لا بد أن تكون أشكال التعبير الثقافي التقليدي قد استُخدمت فيها لتكون قابلة للحماية</w:t>
      </w:r>
      <w:r>
        <w:rPr>
          <w:rFonts w:hint="cs"/>
          <w:rtl/>
        </w:rPr>
        <w:t>.</w:t>
      </w:r>
    </w:p>
    <w:p w:rsidR="00E9172B" w:rsidRPr="00A671C5" w:rsidRDefault="00E9172B" w:rsidP="00E9172B">
      <w:pPr>
        <w:pStyle w:val="NormalParaAR"/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>3</w:t>
      </w:r>
      <w:r w:rsidRPr="00A671C5">
        <w:rPr>
          <w:rFonts w:hint="cs"/>
          <w:b/>
          <w:bCs/>
          <w:rtl/>
        </w:rPr>
        <w:t>.</w:t>
      </w:r>
      <w:r w:rsidRPr="00A671C5">
        <w:rPr>
          <w:b/>
          <w:bCs/>
          <w:rtl/>
        </w:rPr>
        <w:tab/>
      </w:r>
      <w:r w:rsidRPr="00A671C5">
        <w:rPr>
          <w:rFonts w:hint="cs"/>
          <w:b/>
          <w:bCs/>
          <w:rtl/>
        </w:rPr>
        <w:t>نطاق الحماية</w:t>
      </w:r>
    </w:p>
    <w:p w:rsidR="00E9172B" w:rsidRDefault="00E9172B" w:rsidP="00E9172B">
      <w:pPr>
        <w:pStyle w:val="NormalParaAR"/>
        <w:ind w:left="566"/>
        <w:rPr>
          <w:rtl/>
        </w:rPr>
      </w:pPr>
      <w:r>
        <w:rPr>
          <w:rFonts w:hint="cs"/>
          <w:rtl/>
        </w:rPr>
        <w:t>النُهج "القائمة على الحقوق" و/أو "القائمة على التدابير".</w:t>
      </w:r>
    </w:p>
    <w:p w:rsidR="00E9172B" w:rsidRDefault="00E9172B" w:rsidP="00E9172B">
      <w:pPr>
        <w:pStyle w:val="NormalParaAR"/>
        <w:ind w:left="566"/>
        <w:rPr>
          <w:rtl/>
        </w:rPr>
      </w:pPr>
      <w:r>
        <w:rPr>
          <w:rFonts w:hint="cs"/>
          <w:rtl/>
        </w:rPr>
        <w:t>وما إذا كان يمكن اتباع "نهج متعدد المستويات"، وإذا أمكن اتباعه، تحديد طريقة صياغته.</w:t>
      </w:r>
    </w:p>
    <w:p w:rsidR="00E9172B" w:rsidRDefault="00E9172B" w:rsidP="00E9172B">
      <w:pPr>
        <w:pStyle w:val="NormalParaAR"/>
        <w:ind w:left="566"/>
        <w:rPr>
          <w:rtl/>
        </w:rPr>
      </w:pPr>
      <w:r>
        <w:rPr>
          <w:rFonts w:hint="cs"/>
          <w:rtl/>
        </w:rPr>
        <w:t>والحقوق الاقتصادية و/أو المعنوية، والحقوق الأخرى.</w:t>
      </w:r>
    </w:p>
    <w:p w:rsidR="00E9172B" w:rsidRPr="00A671C5" w:rsidRDefault="00E9172B" w:rsidP="00E9172B">
      <w:pPr>
        <w:pStyle w:val="NormalParaAR"/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>4</w:t>
      </w:r>
      <w:r w:rsidRPr="00A671C5">
        <w:rPr>
          <w:rFonts w:hint="cs"/>
          <w:b/>
          <w:bCs/>
          <w:rtl/>
        </w:rPr>
        <w:t>.</w:t>
      </w:r>
      <w:r w:rsidRPr="00A671C5">
        <w:rPr>
          <w:b/>
          <w:bCs/>
          <w:rtl/>
        </w:rPr>
        <w:tab/>
      </w:r>
      <w:r w:rsidRPr="00A671C5">
        <w:rPr>
          <w:rFonts w:hint="cs"/>
          <w:b/>
          <w:bCs/>
          <w:rtl/>
        </w:rPr>
        <w:t>المستفيدون</w:t>
      </w:r>
    </w:p>
    <w:p w:rsidR="00E9172B" w:rsidRDefault="00E9172B" w:rsidP="00E9172B">
      <w:pPr>
        <w:pStyle w:val="NormalParaAR"/>
        <w:ind w:left="566"/>
        <w:rPr>
          <w:rtl/>
        </w:rPr>
      </w:pPr>
      <w:r>
        <w:rPr>
          <w:rFonts w:hint="cs"/>
          <w:rtl/>
        </w:rPr>
        <w:t>ما إذا كان ينبغي إدراج مستفيدين بخلاف الشعوب الأصلية والجماعات المحلية.</w:t>
      </w:r>
    </w:p>
    <w:p w:rsidR="00E9172B" w:rsidRPr="008B7F92" w:rsidRDefault="00E9172B" w:rsidP="00E9172B">
      <w:pPr>
        <w:pStyle w:val="NormalParaAR"/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>5</w:t>
      </w:r>
      <w:r w:rsidRPr="008B7F92">
        <w:rPr>
          <w:rFonts w:hint="cs"/>
          <w:b/>
          <w:bCs/>
          <w:rtl/>
        </w:rPr>
        <w:t>.</w:t>
      </w:r>
      <w:r w:rsidRPr="008B7F92">
        <w:rPr>
          <w:b/>
          <w:bCs/>
          <w:rtl/>
        </w:rPr>
        <w:tab/>
      </w:r>
      <w:r w:rsidRPr="008B7F92">
        <w:rPr>
          <w:rFonts w:hint="cs"/>
          <w:b/>
          <w:bCs/>
          <w:rtl/>
        </w:rPr>
        <w:t>استخدام بعض المصطلحات والمفاهيم ومعانيها</w:t>
      </w:r>
    </w:p>
    <w:p w:rsidR="00E9172B" w:rsidRDefault="00E9172B" w:rsidP="00E9172B">
      <w:pPr>
        <w:pStyle w:val="NormalParaAR"/>
        <w:ind w:left="566"/>
        <w:rPr>
          <w:rtl/>
        </w:rPr>
      </w:pPr>
      <w:r>
        <w:rPr>
          <w:rFonts w:hint="cs"/>
          <w:rtl/>
        </w:rPr>
        <w:t>الإشارات إلى "الحماية" وأشكال التعبير الثقافي التقليدي "المحمية" والعلاقة بمعايير الأهلية / نطاق الحماية.</w:t>
      </w:r>
    </w:p>
    <w:p w:rsidR="00E9172B" w:rsidRDefault="00E9172B" w:rsidP="00E9172B">
      <w:pPr>
        <w:pStyle w:val="NormalParaAR"/>
        <w:ind w:left="566"/>
        <w:rPr>
          <w:rtl/>
        </w:rPr>
      </w:pPr>
      <w:r>
        <w:rPr>
          <w:rFonts w:hint="cs"/>
          <w:rtl/>
        </w:rPr>
        <w:t>والإشارة إلى "صون" أشكال التعبير الثقافي التقليدي.</w:t>
      </w:r>
    </w:p>
    <w:p w:rsidR="00E9172B" w:rsidRDefault="00E9172B" w:rsidP="00E9172B">
      <w:pPr>
        <w:pStyle w:val="NormalParaAR"/>
        <w:ind w:left="566"/>
        <w:rPr>
          <w:rtl/>
        </w:rPr>
      </w:pPr>
      <w:r>
        <w:rPr>
          <w:rFonts w:hint="cs"/>
          <w:rtl/>
        </w:rPr>
        <w:t>والمصطلحات التي تشير إلى طبيعة الضرر التي يجوز التماس الحماية ضدّها، مثل "التملك غير المشروع".</w:t>
      </w:r>
    </w:p>
    <w:p w:rsidR="00E9172B" w:rsidRDefault="00E9172B" w:rsidP="00E9172B">
      <w:pPr>
        <w:pStyle w:val="NormalParaAR"/>
        <w:ind w:left="566"/>
        <w:rPr>
          <w:rtl/>
        </w:rPr>
      </w:pPr>
      <w:r>
        <w:rPr>
          <w:rFonts w:hint="cs"/>
          <w:rtl/>
        </w:rPr>
        <w:t>والمصطلحات التي تصف أو تخص جودة أشكال التعبير الثقافي التقليدي أو مدى انتشارها، مثل "الملك العام" أو</w:t>
      </w:r>
      <w:r>
        <w:rPr>
          <w:rFonts w:hint="eastAsia"/>
          <w:rtl/>
        </w:rPr>
        <w:t> </w:t>
      </w:r>
      <w:r>
        <w:rPr>
          <w:rFonts w:hint="cs"/>
          <w:rtl/>
        </w:rPr>
        <w:t>"المتاحة للجمهور" أو "السرية" أو "المقدسة".</w:t>
      </w:r>
    </w:p>
    <w:p w:rsidR="00E9172B" w:rsidRDefault="00E9172B" w:rsidP="00E9172B">
      <w:pPr>
        <w:pStyle w:val="NormalParaAR"/>
        <w:ind w:left="566"/>
        <w:rPr>
          <w:rtl/>
        </w:rPr>
      </w:pPr>
      <w:r>
        <w:rPr>
          <w:rFonts w:hint="cs"/>
          <w:rtl/>
        </w:rPr>
        <w:t>والمصطلحات التي تخص المستفيدين، مثل "الشعوب الأصلية".</w:t>
      </w:r>
    </w:p>
    <w:p w:rsidR="00E9172B" w:rsidRPr="00A671C5" w:rsidRDefault="00E9172B" w:rsidP="00E9172B">
      <w:pPr>
        <w:pStyle w:val="NormalParaAR"/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>6</w:t>
      </w:r>
      <w:r w:rsidRPr="00A671C5">
        <w:rPr>
          <w:rFonts w:hint="cs"/>
          <w:b/>
          <w:bCs/>
          <w:rtl/>
        </w:rPr>
        <w:t>.</w:t>
      </w:r>
      <w:r w:rsidRPr="00A671C5">
        <w:rPr>
          <w:b/>
          <w:bCs/>
          <w:rtl/>
        </w:rPr>
        <w:tab/>
      </w:r>
      <w:r>
        <w:rPr>
          <w:rFonts w:hint="cs"/>
          <w:b/>
          <w:bCs/>
          <w:rtl/>
        </w:rPr>
        <w:t>إدارة الحقوق/المصالح</w:t>
      </w:r>
    </w:p>
    <w:p w:rsidR="00E9172B" w:rsidRDefault="00E9172B" w:rsidP="00E9172B">
      <w:pPr>
        <w:pStyle w:val="NormalParaAR"/>
        <w:ind w:left="566"/>
        <w:rPr>
          <w:rtl/>
        </w:rPr>
      </w:pPr>
      <w:r>
        <w:rPr>
          <w:rFonts w:hint="cs"/>
          <w:rtl/>
        </w:rPr>
        <w:t>دور وطبيعة "الإدارة أو الإدارات المختصة"</w:t>
      </w:r>
      <w:r w:rsidRPr="00573E6D">
        <w:rPr>
          <w:rFonts w:hint="cs"/>
          <w:rtl/>
        </w:rPr>
        <w:t>.</w:t>
      </w:r>
    </w:p>
    <w:p w:rsidR="00E9172B" w:rsidRPr="00A671C5" w:rsidRDefault="00E9172B" w:rsidP="00E9172B">
      <w:pPr>
        <w:pStyle w:val="NormalParaAR"/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7</w:t>
      </w:r>
      <w:r w:rsidRPr="00A671C5">
        <w:rPr>
          <w:rFonts w:hint="cs"/>
          <w:b/>
          <w:bCs/>
          <w:rtl/>
        </w:rPr>
        <w:t>.</w:t>
      </w:r>
      <w:r w:rsidRPr="00A671C5">
        <w:rPr>
          <w:b/>
          <w:bCs/>
          <w:rtl/>
        </w:rPr>
        <w:tab/>
      </w:r>
      <w:r w:rsidRPr="00333DAF">
        <w:rPr>
          <w:rFonts w:hint="cs"/>
          <w:b/>
          <w:bCs/>
          <w:rtl/>
        </w:rPr>
        <w:t>الاستثناءات والتقييدات</w:t>
      </w:r>
    </w:p>
    <w:p w:rsidR="00E9172B" w:rsidRDefault="00E9172B" w:rsidP="00E9172B">
      <w:pPr>
        <w:pStyle w:val="NormalParaAR"/>
        <w:ind w:left="566"/>
        <w:rPr>
          <w:rtl/>
        </w:rPr>
      </w:pPr>
      <w:r>
        <w:rPr>
          <w:rFonts w:hint="cs"/>
          <w:rtl/>
        </w:rPr>
        <w:t>ما إذا كان ينبغي تحديد الاستثناءات والتقييدات على الصعيد الوطني، أو توفير مجموعة من الاستثناءات العامة و/أو المحدّدة.</w:t>
      </w:r>
    </w:p>
    <w:p w:rsidR="00E9172B" w:rsidRDefault="00E9172B" w:rsidP="00E9172B">
      <w:pPr>
        <w:pStyle w:val="NormalParaAR"/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>8</w:t>
      </w:r>
      <w:r w:rsidRPr="00CA0C71">
        <w:rPr>
          <w:rFonts w:hint="cs"/>
          <w:b/>
          <w:bCs/>
          <w:rtl/>
        </w:rPr>
        <w:t>.</w:t>
      </w:r>
      <w:r w:rsidRPr="00CA0C71">
        <w:rPr>
          <w:b/>
          <w:bCs/>
          <w:rtl/>
        </w:rPr>
        <w:tab/>
      </w:r>
      <w:r>
        <w:rPr>
          <w:rFonts w:hint="cs"/>
          <w:b/>
          <w:bCs/>
          <w:rtl/>
        </w:rPr>
        <w:t>العلاقة بالملك العام</w:t>
      </w:r>
    </w:p>
    <w:p w:rsidR="00E9172B" w:rsidRDefault="00E9172B" w:rsidP="00E9172B">
      <w:pPr>
        <w:pStyle w:val="NormalParaAR"/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>9.</w:t>
      </w:r>
      <w:r>
        <w:rPr>
          <w:b/>
          <w:bCs/>
          <w:rtl/>
        </w:rPr>
        <w:tab/>
      </w:r>
      <w:r w:rsidRPr="00CA0C71">
        <w:rPr>
          <w:b/>
          <w:bCs/>
          <w:rtl/>
        </w:rPr>
        <w:t>العقوبات</w:t>
      </w:r>
      <w:r w:rsidRPr="00CA0C71">
        <w:rPr>
          <w:b/>
          <w:bCs/>
        </w:rPr>
        <w:t xml:space="preserve"> </w:t>
      </w:r>
      <w:proofErr w:type="spellStart"/>
      <w:r w:rsidRPr="00CA0C71">
        <w:rPr>
          <w:rFonts w:hint="cs"/>
          <w:b/>
          <w:bCs/>
          <w:rtl/>
        </w:rPr>
        <w:t>والجزاءات</w:t>
      </w:r>
      <w:proofErr w:type="spellEnd"/>
      <w:r w:rsidRPr="00CA0C71">
        <w:rPr>
          <w:b/>
          <w:bCs/>
          <w:rtl/>
        </w:rPr>
        <w:t xml:space="preserve"> وممارسة</w:t>
      </w:r>
      <w:r>
        <w:rPr>
          <w:rFonts w:hint="cs"/>
          <w:b/>
          <w:bCs/>
          <w:rtl/>
        </w:rPr>
        <w:t xml:space="preserve"> الحقوق/المصالح</w:t>
      </w:r>
    </w:p>
    <w:p w:rsidR="00E9172B" w:rsidRDefault="00E9172B" w:rsidP="00E9172B">
      <w:pPr>
        <w:pStyle w:val="NormalParaAR"/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>10.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مدة الحماية/الصون</w:t>
      </w:r>
    </w:p>
    <w:p w:rsidR="00E9172B" w:rsidRDefault="00E9172B" w:rsidP="00E9172B">
      <w:pPr>
        <w:pStyle w:val="NormalParaAR"/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>11.</w:t>
      </w:r>
      <w:r>
        <w:rPr>
          <w:b/>
          <w:bCs/>
          <w:rtl/>
        </w:rPr>
        <w:tab/>
      </w:r>
      <w:r w:rsidRPr="0066060A">
        <w:rPr>
          <w:b/>
          <w:bCs/>
          <w:rtl/>
        </w:rPr>
        <w:t>الشروط الشكلية</w:t>
      </w:r>
    </w:p>
    <w:p w:rsidR="00E9172B" w:rsidRDefault="00E9172B" w:rsidP="00E9172B">
      <w:pPr>
        <w:pStyle w:val="NormalParaAR"/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>12.</w:t>
      </w:r>
      <w:r>
        <w:rPr>
          <w:b/>
          <w:bCs/>
          <w:rtl/>
        </w:rPr>
        <w:tab/>
      </w:r>
      <w:r w:rsidRPr="0066060A">
        <w:rPr>
          <w:b/>
          <w:bCs/>
          <w:rtl/>
        </w:rPr>
        <w:t>التدابير الانتقالية</w:t>
      </w:r>
    </w:p>
    <w:p w:rsidR="00E9172B" w:rsidRDefault="00E9172B" w:rsidP="00E9172B">
      <w:pPr>
        <w:pStyle w:val="NormalParaAR"/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>13.</w:t>
      </w:r>
      <w:r>
        <w:rPr>
          <w:b/>
          <w:bCs/>
          <w:rtl/>
        </w:rPr>
        <w:tab/>
      </w:r>
      <w:r w:rsidRPr="00E709E3">
        <w:rPr>
          <w:b/>
          <w:bCs/>
          <w:rtl/>
        </w:rPr>
        <w:t>العلاقة بالاتفاقات الدولية</w:t>
      </w:r>
      <w:r w:rsidRPr="00E709E3">
        <w:rPr>
          <w:rFonts w:hint="cs"/>
          <w:b/>
          <w:bCs/>
          <w:rtl/>
        </w:rPr>
        <w:t xml:space="preserve"> الأخرى</w:t>
      </w:r>
    </w:p>
    <w:p w:rsidR="00E9172B" w:rsidRDefault="00E9172B" w:rsidP="00E9172B">
      <w:pPr>
        <w:pStyle w:val="NormalParaAR"/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>14.</w:t>
      </w:r>
      <w:r>
        <w:rPr>
          <w:b/>
          <w:bCs/>
          <w:rtl/>
        </w:rPr>
        <w:tab/>
      </w:r>
      <w:r w:rsidRPr="00CA0C71">
        <w:rPr>
          <w:b/>
          <w:bCs/>
          <w:rtl/>
        </w:rPr>
        <w:t>المعاملة الوطنية</w:t>
      </w:r>
    </w:p>
    <w:p w:rsidR="00E9172B" w:rsidRDefault="00E9172B" w:rsidP="00E9172B">
      <w:pPr>
        <w:pStyle w:val="NormalParaAR"/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>15.</w:t>
      </w:r>
      <w:r>
        <w:rPr>
          <w:b/>
          <w:bCs/>
          <w:rtl/>
        </w:rPr>
        <w:tab/>
      </w:r>
      <w:r w:rsidRPr="0093695D">
        <w:rPr>
          <w:b/>
          <w:bCs/>
          <w:rtl/>
        </w:rPr>
        <w:t>التعاون عبر الحدود</w:t>
      </w:r>
    </w:p>
    <w:p w:rsidR="00E9172B" w:rsidRDefault="00E9172B" w:rsidP="00E9172B">
      <w:pPr>
        <w:pStyle w:val="NormalParaAR"/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>16.</w:t>
      </w:r>
      <w:r>
        <w:rPr>
          <w:b/>
          <w:bCs/>
          <w:rtl/>
        </w:rPr>
        <w:tab/>
      </w:r>
      <w:r w:rsidRPr="0093695D">
        <w:rPr>
          <w:rFonts w:hint="cs"/>
          <w:b/>
          <w:bCs/>
          <w:rtl/>
        </w:rPr>
        <w:t>تكوين الكفاءات وإذكاء الوعي</w:t>
      </w:r>
    </w:p>
    <w:p w:rsidR="00E9172B" w:rsidRDefault="00E9172B" w:rsidP="00E9172B">
      <w:pPr>
        <w:pStyle w:val="NormalParaAR"/>
        <w:spacing w:after="480"/>
        <w:ind w:left="567"/>
        <w:rPr>
          <w:b/>
          <w:bCs/>
          <w:rtl/>
        </w:rPr>
      </w:pPr>
      <w:r>
        <w:rPr>
          <w:rFonts w:hint="cs"/>
          <w:b/>
          <w:bCs/>
          <w:rtl/>
        </w:rPr>
        <w:t>17</w:t>
      </w:r>
      <w:r w:rsidRPr="00344E7F">
        <w:rPr>
          <w:rFonts w:hint="cs"/>
          <w:b/>
          <w:bCs/>
          <w:rtl/>
        </w:rPr>
        <w:t>.</w:t>
      </w:r>
      <w:r w:rsidRPr="00344E7F">
        <w:rPr>
          <w:b/>
          <w:bCs/>
          <w:rtl/>
        </w:rPr>
        <w:tab/>
      </w:r>
      <w:r w:rsidRPr="00014BF3">
        <w:rPr>
          <w:b/>
          <w:bCs/>
          <w:rtl/>
        </w:rPr>
        <w:t>المبادئ / الديباجة/ مقدمة</w:t>
      </w:r>
    </w:p>
    <w:p w:rsidR="00E9172B" w:rsidRPr="007F38D1" w:rsidRDefault="00E9172B" w:rsidP="00E9172B">
      <w:pPr>
        <w:pStyle w:val="EndofDocumentAR"/>
      </w:pPr>
      <w:r>
        <w:rPr>
          <w:rFonts w:hint="cs"/>
          <w:rtl/>
        </w:rPr>
        <w:t>[نهاية المرفق والوثيقة]</w:t>
      </w:r>
    </w:p>
    <w:p w:rsidR="007A5AD5" w:rsidRPr="00E9172B" w:rsidRDefault="007A5AD5" w:rsidP="007A5AD5">
      <w:pPr>
        <w:pStyle w:val="NormalParaAR"/>
      </w:pPr>
    </w:p>
    <w:sectPr w:rsidR="007A5AD5" w:rsidRPr="00E9172B" w:rsidSect="00E50D23">
      <w:headerReference w:type="default" r:id="rId11"/>
      <w:headerReference w:type="first" r:id="rId12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CCF" w:rsidRDefault="00F74CCF">
      <w:r>
        <w:separator/>
      </w:r>
    </w:p>
  </w:endnote>
  <w:endnote w:type="continuationSeparator" w:id="0">
    <w:p w:rsidR="00F74CCF" w:rsidRDefault="00F7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CCF" w:rsidRDefault="00F74CC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74CCF" w:rsidRDefault="00F74CC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593C" w:rsidP="007466C6">
    <w:r w:rsidRPr="0015593C">
      <w:t>WIPO/GRTKF/IC/</w:t>
    </w:r>
    <w:r w:rsidR="003E5324">
      <w:t>3</w:t>
    </w:r>
    <w:r w:rsidR="007466C6">
      <w:t>4</w:t>
    </w:r>
    <w:r w:rsidRPr="0015593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0619AC">
      <w:rPr>
        <w:noProof/>
      </w:rPr>
      <w:t>2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2B" w:rsidRDefault="00E9172B" w:rsidP="00D61541">
    <w:r w:rsidRPr="00E9172B">
      <w:t>WIPO/GRTKF/IC/34/7</w:t>
    </w:r>
  </w:p>
  <w:p w:rsidR="00E50D23" w:rsidRDefault="00BE152C" w:rsidP="00D61541">
    <w:pPr>
      <w:rPr>
        <w:rtl/>
      </w:rPr>
    </w:pPr>
    <w:r>
      <w:t>Annex</w:t>
    </w:r>
  </w:p>
  <w:p w:rsidR="00E50D23" w:rsidRDefault="00BE152C" w:rsidP="00D61541">
    <w:r>
      <w:fldChar w:fldCharType="begin"/>
    </w:r>
    <w:r>
      <w:instrText xml:space="preserve"> PAGE  \* MERGEFORMAT </w:instrText>
    </w:r>
    <w:r>
      <w:fldChar w:fldCharType="separate"/>
    </w:r>
    <w:r w:rsidR="00755E92">
      <w:rPr>
        <w:noProof/>
      </w:rPr>
      <w:t>2</w:t>
    </w:r>
    <w:r>
      <w:fldChar w:fldCharType="end"/>
    </w:r>
  </w:p>
  <w:p w:rsidR="00E50D23" w:rsidRDefault="00755E92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2B" w:rsidRDefault="00E9172B" w:rsidP="00CF5567">
    <w:pPr>
      <w:pStyle w:val="Header"/>
    </w:pPr>
    <w:r w:rsidRPr="00E9172B">
      <w:t>WIPO/GRTKF/IC/34/7</w:t>
    </w:r>
  </w:p>
  <w:p w:rsidR="00CF5567" w:rsidRDefault="00BE152C" w:rsidP="00CF5567">
    <w:pPr>
      <w:pStyle w:val="Header"/>
    </w:pPr>
    <w:r>
      <w:t>ANNEX</w:t>
    </w:r>
  </w:p>
  <w:p w:rsidR="00CF5567" w:rsidRDefault="00BE152C" w:rsidP="00E9172B">
    <w:pPr>
      <w:pStyle w:val="Header"/>
      <w:bidi/>
      <w:jc w:val="right"/>
      <w:rPr>
        <w:rFonts w:ascii="Arabic Typesetting" w:hAnsi="Arabic Typesetting" w:cs="Arabic Typesetting"/>
        <w:sz w:val="36"/>
        <w:szCs w:val="36"/>
      </w:rPr>
    </w:pPr>
    <w:r w:rsidRPr="00CF5567">
      <w:rPr>
        <w:rFonts w:ascii="Arabic Typesetting" w:hAnsi="Arabic Typesetting" w:cs="Arabic Typesetting"/>
        <w:sz w:val="36"/>
        <w:szCs w:val="36"/>
        <w:rtl/>
      </w:rPr>
      <w:t>المرفق</w:t>
    </w:r>
  </w:p>
  <w:p w:rsidR="00E9172B" w:rsidRPr="00E9172B" w:rsidRDefault="00E9172B" w:rsidP="00E9172B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C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9AC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2843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0E5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51A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810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3EC"/>
    <w:rsid w:val="006F7974"/>
    <w:rsid w:val="00700A60"/>
    <w:rsid w:val="0070344A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6C6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E92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5AD5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9AE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42D8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152C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2F2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400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72B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39D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5FB5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4CCF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74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6C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9172B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74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6C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9172B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3371-8723-4AAD-AE25-31080988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GRTKF_IC_34_AR.dotx</Template>
  <TotalTime>30</TotalTime>
  <Pages>3</Pages>
  <Words>372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WIPO/GRTKF/IC/34/7 (Arabic)</vt:lpstr>
    </vt:vector>
  </TitlesOfParts>
  <Company>World Intellectual Property Organization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WIPO/GRTKF/IC/34/7 (Arabic)</dc:title>
  <dc:creator>وثيقة من إعداد الأمانة</dc:creator>
  <cp:lastModifiedBy> </cp:lastModifiedBy>
  <cp:revision>15</cp:revision>
  <cp:lastPrinted>2017-03-22T15:12:00Z</cp:lastPrinted>
  <dcterms:created xsi:type="dcterms:W3CDTF">2017-03-22T14:35:00Z</dcterms:created>
  <dcterms:modified xsi:type="dcterms:W3CDTF">2017-03-22T15:12:00Z</dcterms:modified>
</cp:coreProperties>
</file>