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B6101C" w:rsidP="006A5810">
            <w:pPr>
              <w:pStyle w:val="DocumentCodeAR"/>
              <w:bidi/>
              <w:rPr>
                <w:rtl/>
              </w:rPr>
            </w:pP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23AB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23AB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23AB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23AB8">
              <w:rPr>
                <w:rFonts w:hint="cs"/>
                <w:rtl/>
              </w:rPr>
              <w:t>3</w:t>
            </w:r>
            <w:r w:rsidRPr="00B6101C">
              <w:rPr>
                <w:rFonts w:hint="cs"/>
                <w:rtl/>
              </w:rPr>
              <w:t xml:space="preserve"> </w:t>
            </w:r>
            <w:r w:rsidR="00223AB8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F55FB5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F55FB5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F55FB5">
        <w:rPr>
          <w:rFonts w:ascii="Cambria Math" w:hAnsi="Cambria Math" w:hint="cs"/>
          <w:rtl/>
        </w:rPr>
        <w:t>الثالثة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F55FB5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F55FB5">
        <w:rPr>
          <w:rFonts w:hint="cs"/>
          <w:rtl/>
        </w:rPr>
        <w:t>27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فبراير </w:t>
      </w:r>
      <w:r w:rsidRPr="0015593C">
        <w:rPr>
          <w:rtl/>
        </w:rPr>
        <w:t xml:space="preserve">إلى </w:t>
      </w:r>
      <w:r w:rsidR="00F55FB5">
        <w:rPr>
          <w:rFonts w:hint="cs"/>
          <w:rtl/>
        </w:rPr>
        <w:t>3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مارس </w:t>
      </w:r>
      <w:r w:rsidRPr="0015593C">
        <w:rPr>
          <w:rtl/>
        </w:rPr>
        <w:t>201</w:t>
      </w:r>
      <w:r w:rsidR="00F55FB5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23AB8" w:rsidP="00FB7EC9">
      <w:pPr>
        <w:pStyle w:val="DocumentTitleAR"/>
        <w:bidi/>
        <w:rPr>
          <w:rtl/>
        </w:rPr>
      </w:pPr>
      <w:r>
        <w:rPr>
          <w:rtl/>
        </w:rPr>
        <w:t>قرارات الدورة الث</w:t>
      </w:r>
      <w:r>
        <w:rPr>
          <w:rFonts w:hint="cs"/>
          <w:rtl/>
        </w:rPr>
        <w:t>الثة</w:t>
      </w:r>
      <w:r w:rsidRPr="00223AB8">
        <w:rPr>
          <w:rtl/>
        </w:rPr>
        <w:t xml:space="preserve"> والثلاثين للجنة</w:t>
      </w:r>
    </w:p>
    <w:p w:rsidR="00D61541" w:rsidRPr="00D61541" w:rsidRDefault="001E1310" w:rsidP="00931859">
      <w:pPr>
        <w:pStyle w:val="PreparedbyAR"/>
        <w:bidi/>
        <w:rPr>
          <w:rFonts w:hint="cs"/>
          <w:rtl/>
        </w:rPr>
      </w:pPr>
      <w:r>
        <w:rPr>
          <w:rFonts w:hint="cs"/>
          <w:rtl/>
        </w:rPr>
        <w:t>التي اعتمدتها اللجنة</w:t>
      </w:r>
    </w:p>
    <w:p w:rsidR="00223AB8" w:rsidRDefault="00223AB8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lastRenderedPageBreak/>
        <w:t xml:space="preserve">قرار بشأن البند </w:t>
      </w:r>
      <w:r>
        <w:rPr>
          <w:rFonts w:hint="cs"/>
          <w:sz w:val="40"/>
          <w:szCs w:val="40"/>
          <w:rtl/>
        </w:rPr>
        <w:t>2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جدول الأعمال</w:t>
      </w:r>
    </w:p>
    <w:p w:rsidR="00223AB8" w:rsidRDefault="00223AB8" w:rsidP="005056DD">
      <w:pPr>
        <w:pStyle w:val="NormalParaAR"/>
        <w:rPr>
          <w:rtl/>
        </w:rPr>
      </w:pPr>
      <w:r w:rsidRPr="00477C91">
        <w:rPr>
          <w:rtl/>
        </w:rPr>
        <w:t>قدم الرئيس مشروع جدول الأعمال المُعمّم في 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5056DD">
        <w:t>33</w:t>
      </w:r>
      <w:r w:rsidRPr="00477C91">
        <w:t xml:space="preserve">/1 Prov. </w:t>
      </w:r>
      <w:r>
        <w:t>2</w:t>
      </w:r>
      <w:r w:rsidRPr="00477C91">
        <w:t>.</w:t>
      </w:r>
      <w:r w:rsidRPr="00477C91">
        <w:rPr>
          <w:rFonts w:hint="cs"/>
          <w:rtl/>
        </w:rPr>
        <w:t xml:space="preserve"> </w:t>
      </w:r>
      <w:r w:rsidRPr="00477C91">
        <w:rPr>
          <w:rtl/>
        </w:rPr>
        <w:t>كي يُعتمد، وتم اعتماده</w:t>
      </w:r>
      <w:r w:rsidRPr="00477C91">
        <w:rPr>
          <w:rFonts w:hint="cs"/>
          <w:rtl/>
        </w:rPr>
        <w:t>.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3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تقرير الدورة الثانية والثلاثين</w:t>
      </w:r>
    </w:p>
    <w:p w:rsidR="00223AB8" w:rsidRDefault="00223AB8" w:rsidP="005056DD">
      <w:pPr>
        <w:pStyle w:val="NormalParaAR"/>
        <w:rPr>
          <w:rtl/>
        </w:rPr>
      </w:pPr>
      <w:r>
        <w:rPr>
          <w:rtl/>
        </w:rPr>
        <w:t xml:space="preserve">قدم الرئيس مشروع </w:t>
      </w:r>
      <w:r w:rsidRPr="00477C91">
        <w:rPr>
          <w:rtl/>
        </w:rPr>
        <w:t xml:space="preserve">تقرير </w:t>
      </w:r>
      <w:r>
        <w:rPr>
          <w:rFonts w:hint="cs"/>
          <w:rtl/>
        </w:rPr>
        <w:t>ا</w:t>
      </w:r>
      <w:r w:rsidRPr="00477C91">
        <w:rPr>
          <w:rtl/>
        </w:rPr>
        <w:t xml:space="preserve">لدورة </w:t>
      </w:r>
      <w:r w:rsidR="005056DD">
        <w:rPr>
          <w:rFonts w:hint="cs"/>
          <w:rtl/>
        </w:rPr>
        <w:t>الثانية</w:t>
      </w:r>
      <w:r>
        <w:rPr>
          <w:rFonts w:hint="cs"/>
          <w:rtl/>
        </w:rPr>
        <w:t xml:space="preserve"> والثلاثين </w:t>
      </w:r>
      <w:r w:rsidRPr="00477C91">
        <w:rPr>
          <w:rtl/>
        </w:rPr>
        <w:t>للجنة (الوثيقة</w:t>
      </w:r>
      <w:r w:rsidRPr="00477C91">
        <w:rPr>
          <w:rFonts w:hint="cs"/>
          <w:rtl/>
        </w:rPr>
        <w:t> </w:t>
      </w:r>
      <w:r w:rsidRPr="00477C91">
        <w:t>WIPO/GRTKF/IC/</w:t>
      </w:r>
      <w:r w:rsidR="005056DD">
        <w:t>32</w:t>
      </w:r>
      <w:r w:rsidRPr="00477C91">
        <w:t>/</w:t>
      </w:r>
      <w:r w:rsidR="005056DD">
        <w:t>11</w:t>
      </w:r>
      <w:r w:rsidRPr="00477C91">
        <w:t xml:space="preserve"> Prov. 2</w:t>
      </w:r>
      <w:r w:rsidRPr="00477C91">
        <w:rPr>
          <w:rtl/>
        </w:rPr>
        <w:t xml:space="preserve">) </w:t>
      </w:r>
      <w:r w:rsidRPr="008A5011">
        <w:rPr>
          <w:rtl/>
        </w:rPr>
        <w:t>كي يُعتمد</w:t>
      </w:r>
      <w:r w:rsidRPr="00477C91">
        <w:rPr>
          <w:rtl/>
        </w:rPr>
        <w:t>، وتم اعتماده.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sz w:val="40"/>
          <w:szCs w:val="40"/>
        </w:rPr>
        <w:t>4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بعض المنظمات</w:t>
      </w:r>
    </w:p>
    <w:p w:rsidR="00223AB8" w:rsidRPr="00CC7A6C" w:rsidRDefault="00223AB8" w:rsidP="00A518B5">
      <w:pPr>
        <w:pStyle w:val="NormalParaAR"/>
        <w:rPr>
          <w:rtl/>
        </w:rPr>
      </w:pPr>
      <w:r>
        <w:rPr>
          <w:rFonts w:hint="cs"/>
          <w:rtl/>
        </w:rPr>
        <w:t xml:space="preserve">وافقت اللجنة بالإجماع على </w:t>
      </w:r>
      <w:r w:rsidR="00A518B5">
        <w:rPr>
          <w:rFonts w:hint="cs"/>
          <w:rtl/>
        </w:rPr>
        <w:t>اعتماد</w:t>
      </w:r>
      <w:r>
        <w:rPr>
          <w:rFonts w:hint="cs"/>
          <w:rtl/>
        </w:rPr>
        <w:t xml:space="preserve"> </w:t>
      </w:r>
      <w:r w:rsidR="00A518B5">
        <w:rPr>
          <w:rFonts w:hint="cs"/>
          <w:rtl/>
        </w:rPr>
        <w:t>جامعة لوزان المشار إليها</w:t>
      </w:r>
      <w:r w:rsidRPr="00B1674E">
        <w:rPr>
          <w:rFonts w:hint="cs"/>
          <w:rtl/>
        </w:rPr>
        <w:t xml:space="preserve"> </w:t>
      </w:r>
      <w:r w:rsidR="00A518B5">
        <w:rPr>
          <w:rFonts w:hint="cs"/>
          <w:rtl/>
        </w:rPr>
        <w:t>في مرفق الوثيقة</w:t>
      </w:r>
      <w:r w:rsidR="00A518B5">
        <w:rPr>
          <w:rFonts w:hint="eastAsia"/>
          <w:rtl/>
        </w:rPr>
        <w:t> </w:t>
      </w:r>
      <w:r w:rsidR="00A518B5" w:rsidRPr="00A518B5">
        <w:t>WIPO/GRTKF/IC/33/2</w:t>
      </w:r>
      <w:r w:rsidR="00A518B5">
        <w:rPr>
          <w:rFonts w:hint="cs"/>
          <w:rtl/>
        </w:rPr>
        <w:t xml:space="preserve"> بصفة مراقب مؤقت</w:t>
      </w:r>
      <w:r>
        <w:rPr>
          <w:rFonts w:hint="cs"/>
          <w:rtl/>
        </w:rPr>
        <w:t>.</w:t>
      </w:r>
    </w:p>
    <w:p w:rsidR="00223AB8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5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355402">
        <w:rPr>
          <w:rFonts w:hint="cs"/>
          <w:sz w:val="40"/>
          <w:szCs w:val="40"/>
          <w:rtl/>
        </w:rPr>
        <w:t>مشاركة الجماعات الأصلية والمحلية</w:t>
      </w:r>
    </w:p>
    <w:p w:rsidR="00223AB8" w:rsidRDefault="00223AB8" w:rsidP="003D6413">
      <w:pPr>
        <w:pStyle w:val="NormalParaAR"/>
        <w:rPr>
          <w:rtl/>
        </w:rPr>
      </w:pPr>
      <w:r>
        <w:rPr>
          <w:rFonts w:hint="cs"/>
          <w:rtl/>
        </w:rPr>
        <w:t>أحاطت اللجنة علما بالوثائق</w:t>
      </w:r>
      <w:r w:rsidR="003D6413">
        <w:rPr>
          <w:rFonts w:hint="eastAsia"/>
          <w:rtl/>
        </w:rPr>
        <w:t> </w:t>
      </w:r>
      <w:r w:rsidRPr="005665FB">
        <w:t>WIPO/GRTKF/IC/</w:t>
      </w:r>
      <w:r w:rsidR="00A518B5">
        <w:t>33</w:t>
      </w:r>
      <w:r w:rsidRPr="005665FB">
        <w:t>/3</w:t>
      </w:r>
      <w:r>
        <w:rPr>
          <w:rFonts w:hint="cs"/>
          <w:rtl/>
        </w:rPr>
        <w:t xml:space="preserve"> و</w:t>
      </w:r>
      <w:r w:rsidRPr="005665FB">
        <w:t>WIPO/GRTKF/IC/</w:t>
      </w:r>
      <w:r w:rsidR="00A518B5">
        <w:t>33</w:t>
      </w:r>
      <w:r w:rsidRPr="005665FB">
        <w:t>/INF/4</w:t>
      </w:r>
      <w:r>
        <w:rPr>
          <w:rFonts w:hint="cs"/>
          <w:rtl/>
        </w:rPr>
        <w:t xml:space="preserve"> و</w:t>
      </w:r>
      <w:r w:rsidRPr="005665FB">
        <w:t>WIPO/GRTKF/IC/</w:t>
      </w:r>
      <w:r w:rsidR="00A518B5">
        <w:t>33</w:t>
      </w:r>
      <w:r w:rsidRPr="005665FB">
        <w:t>/INF/6</w:t>
      </w:r>
      <w:r>
        <w:rPr>
          <w:rFonts w:hint="cs"/>
          <w:rtl/>
        </w:rPr>
        <w:t>.</w:t>
      </w:r>
    </w:p>
    <w:p w:rsidR="00223AB8" w:rsidRDefault="007C44C9" w:rsidP="002F41EC">
      <w:pPr>
        <w:pStyle w:val="NormalParaAR"/>
        <w:rPr>
          <w:rtl/>
        </w:rPr>
      </w:pPr>
      <w:r>
        <w:rPr>
          <w:rFonts w:hint="cs"/>
          <w:rtl/>
        </w:rPr>
        <w:t xml:space="preserve">ورحّبت اللجنة بالمساهمة التي قدمتها حكومة أستراليا إلى صندوق  الويبو للتبرعات لفائدة الجماعات الأصلية والمحلية المعتمدة، </w:t>
      </w:r>
      <w:r w:rsidR="00223AB8" w:rsidRPr="005F3CEE">
        <w:rPr>
          <w:rtl/>
        </w:rPr>
        <w:t xml:space="preserve">وشجّعت بشدّة </w:t>
      </w:r>
      <w:r>
        <w:rPr>
          <w:rFonts w:hint="cs"/>
          <w:rtl/>
        </w:rPr>
        <w:t xml:space="preserve">سائر </w:t>
      </w:r>
      <w:r>
        <w:rPr>
          <w:rtl/>
        </w:rPr>
        <w:t>أعضا</w:t>
      </w:r>
      <w:r>
        <w:rPr>
          <w:rFonts w:hint="cs"/>
          <w:rtl/>
        </w:rPr>
        <w:t>ئ</w:t>
      </w:r>
      <w:r w:rsidR="00223AB8" w:rsidRPr="005F3CEE">
        <w:rPr>
          <w:rtl/>
        </w:rPr>
        <w:t>ها وجميع الهيئات المهتمة في القطاعين العام والخاص وحثّتها على الإسهام في صندوق الويبو</w:t>
      </w:r>
      <w:r w:rsidR="002F41EC">
        <w:rPr>
          <w:rFonts w:hint="cs"/>
          <w:rtl/>
        </w:rPr>
        <w:t xml:space="preserve"> المذكور</w:t>
      </w:r>
      <w:r w:rsidR="00223AB8" w:rsidRPr="005F3CEE">
        <w:rPr>
          <w:rtl/>
        </w:rPr>
        <w:t>.</w:t>
      </w:r>
    </w:p>
    <w:p w:rsidR="00223AB8" w:rsidRDefault="00223AB8" w:rsidP="003D6413">
      <w:pPr>
        <w:pStyle w:val="NormalParaAR"/>
        <w:rPr>
          <w:rtl/>
        </w:rPr>
      </w:pPr>
      <w:r w:rsidRPr="007B23CC">
        <w:rPr>
          <w:rtl/>
        </w:rPr>
        <w:t xml:space="preserve">واقترح الرئيس انتخاب الأعضاء </w:t>
      </w:r>
      <w:r>
        <w:rPr>
          <w:rFonts w:hint="cs"/>
          <w:rtl/>
        </w:rPr>
        <w:t>الثمانية</w:t>
      </w:r>
      <w:r w:rsidRPr="007B23CC">
        <w:rPr>
          <w:rtl/>
        </w:rPr>
        <w:t xml:space="preserve"> التالية أسماؤهم في المجلس الاستشاري للعمل بصفتهم الشخصية وانتخبتهم اللجنة بالتزكية:</w:t>
      </w:r>
      <w:r w:rsidR="00A518B5">
        <w:rPr>
          <w:rFonts w:hint="cs"/>
          <w:rtl/>
        </w:rPr>
        <w:t xml:space="preserve"> </w:t>
      </w:r>
      <w:r w:rsidR="00535FB6">
        <w:rPr>
          <w:rFonts w:hint="cs"/>
          <w:rtl/>
        </w:rPr>
        <w:t xml:space="preserve">السيد </w:t>
      </w:r>
      <w:r w:rsidR="00535FB6">
        <w:rPr>
          <w:rtl/>
        </w:rPr>
        <w:t xml:space="preserve">توماس </w:t>
      </w:r>
      <w:proofErr w:type="spellStart"/>
      <w:r w:rsidR="00535FB6">
        <w:rPr>
          <w:rtl/>
        </w:rPr>
        <w:t>ألاركون</w:t>
      </w:r>
      <w:proofErr w:type="spellEnd"/>
      <w:r w:rsidR="00535FB6">
        <w:rPr>
          <w:rFonts w:hint="cs"/>
          <w:rtl/>
        </w:rPr>
        <w:t xml:space="preserve">، </w:t>
      </w:r>
      <w:r w:rsidR="003D6413">
        <w:rPr>
          <w:rFonts w:hint="cs"/>
          <w:rtl/>
        </w:rPr>
        <w:t xml:space="preserve">ممثل </w:t>
      </w:r>
      <w:r w:rsidR="00535FB6" w:rsidRPr="00535FB6">
        <w:rPr>
          <w:rtl/>
        </w:rPr>
        <w:t xml:space="preserve">اللجنة القانونية للتنمية الذاتية لشعوب منطقة </w:t>
      </w:r>
      <w:proofErr w:type="spellStart"/>
      <w:r w:rsidR="00535FB6" w:rsidRPr="00535FB6">
        <w:rPr>
          <w:rtl/>
        </w:rPr>
        <w:t>الأنديز</w:t>
      </w:r>
      <w:proofErr w:type="spellEnd"/>
      <w:r w:rsidR="00535FB6" w:rsidRPr="00535FB6">
        <w:rPr>
          <w:rtl/>
        </w:rPr>
        <w:t xml:space="preserve"> الأوائل</w:t>
      </w:r>
      <w:r w:rsidR="00535FB6">
        <w:rPr>
          <w:rFonts w:hint="cs"/>
          <w:rtl/>
        </w:rPr>
        <w:t> </w:t>
      </w:r>
      <w:r w:rsidR="00535FB6" w:rsidRPr="00535FB6">
        <w:rPr>
          <w:rtl/>
        </w:rPr>
        <w:t>(</w:t>
      </w:r>
      <w:r w:rsidR="00535FB6" w:rsidRPr="00535FB6">
        <w:t>CAPAJ</w:t>
      </w:r>
      <w:r w:rsidR="00535FB6" w:rsidRPr="00535FB6">
        <w:rPr>
          <w:rtl/>
        </w:rPr>
        <w:t>)</w:t>
      </w:r>
      <w:r w:rsidR="003D6413">
        <w:rPr>
          <w:rFonts w:hint="cs"/>
          <w:rtl/>
        </w:rPr>
        <w:t>، بيرو</w:t>
      </w:r>
      <w:r w:rsidR="00535FB6">
        <w:rPr>
          <w:rFonts w:hint="cs"/>
          <w:rtl/>
        </w:rPr>
        <w:t>؛ والسيدة</w:t>
      </w:r>
      <w:r w:rsidR="002F6DB7">
        <w:rPr>
          <w:rFonts w:hint="eastAsia"/>
          <w:rtl/>
        </w:rPr>
        <w:t> </w:t>
      </w:r>
      <w:proofErr w:type="spellStart"/>
      <w:r w:rsidR="002F6DB7">
        <w:rPr>
          <w:rFonts w:hint="cs"/>
          <w:rtl/>
        </w:rPr>
        <w:t>إيسيليالوفا</w:t>
      </w:r>
      <w:proofErr w:type="spellEnd"/>
      <w:r w:rsidR="002F6DB7">
        <w:rPr>
          <w:rFonts w:hint="cs"/>
          <w:rtl/>
        </w:rPr>
        <w:t xml:space="preserve"> </w:t>
      </w:r>
      <w:proofErr w:type="spellStart"/>
      <w:r w:rsidR="002F6DB7">
        <w:rPr>
          <w:rFonts w:hint="cs"/>
          <w:rtl/>
        </w:rPr>
        <w:t>أبينيلو</w:t>
      </w:r>
      <w:proofErr w:type="spellEnd"/>
      <w:r w:rsidR="002F6DB7">
        <w:rPr>
          <w:rFonts w:hint="cs"/>
          <w:rtl/>
        </w:rPr>
        <w:t xml:space="preserve">، مدعية عامة، </w:t>
      </w:r>
      <w:r w:rsidR="003D6413">
        <w:rPr>
          <w:rFonts w:hint="cs"/>
          <w:rtl/>
        </w:rPr>
        <w:t xml:space="preserve">الدائرة القانونية، </w:t>
      </w:r>
      <w:r w:rsidR="002F6DB7">
        <w:rPr>
          <w:rFonts w:hint="cs"/>
          <w:rtl/>
        </w:rPr>
        <w:t>مكتب المدعي العام،</w:t>
      </w:r>
      <w:r w:rsidR="00534576">
        <w:rPr>
          <w:rFonts w:hint="cs"/>
          <w:rtl/>
        </w:rPr>
        <w:t xml:space="preserve"> </w:t>
      </w:r>
      <w:r w:rsidR="002F6DB7">
        <w:rPr>
          <w:rFonts w:hint="cs"/>
          <w:rtl/>
        </w:rPr>
        <w:t xml:space="preserve">توفالو؛ </w:t>
      </w:r>
      <w:r w:rsidR="00835738">
        <w:rPr>
          <w:rFonts w:hint="cs"/>
          <w:rtl/>
        </w:rPr>
        <w:t xml:space="preserve">والسيدة أيدين </w:t>
      </w:r>
      <w:proofErr w:type="spellStart"/>
      <w:r w:rsidR="00835738">
        <w:rPr>
          <w:rFonts w:hint="cs"/>
          <w:rtl/>
        </w:rPr>
        <w:t>فيتزجيرلد</w:t>
      </w:r>
      <w:proofErr w:type="spellEnd"/>
      <w:r w:rsidR="00835738">
        <w:rPr>
          <w:rFonts w:hint="cs"/>
          <w:rtl/>
        </w:rPr>
        <w:t>، مسؤولة</w:t>
      </w:r>
      <w:r w:rsidR="003D6413">
        <w:rPr>
          <w:rFonts w:hint="eastAsia"/>
          <w:rtl/>
        </w:rPr>
        <w:t> </w:t>
      </w:r>
      <w:r w:rsidR="00534576">
        <w:rPr>
          <w:rFonts w:hint="cs"/>
          <w:rtl/>
        </w:rPr>
        <w:t>ل</w:t>
      </w:r>
      <w:r w:rsidR="00835738">
        <w:rPr>
          <w:rFonts w:hint="cs"/>
          <w:rtl/>
        </w:rPr>
        <w:t xml:space="preserve">شؤون السياسة العامة، </w:t>
      </w:r>
      <w:r w:rsidR="003D6413">
        <w:rPr>
          <w:rFonts w:hint="cs"/>
          <w:rtl/>
        </w:rPr>
        <w:t xml:space="preserve">قسم السياسة والتعاون الدوليين، </w:t>
      </w:r>
      <w:r w:rsidR="00835738">
        <w:rPr>
          <w:rFonts w:hint="cs"/>
          <w:rtl/>
        </w:rPr>
        <w:t>مكتب أستراليا للملكية الفكرية، أستراليا؛ والسيدة</w:t>
      </w:r>
      <w:r w:rsidR="003D6413">
        <w:rPr>
          <w:rFonts w:hint="eastAsia"/>
          <w:rtl/>
        </w:rPr>
        <w:t> </w:t>
      </w:r>
      <w:r w:rsidR="00534576">
        <w:rPr>
          <w:rtl/>
        </w:rPr>
        <w:t xml:space="preserve">لوسيا </w:t>
      </w:r>
      <w:proofErr w:type="spellStart"/>
      <w:r w:rsidR="00534576">
        <w:rPr>
          <w:rtl/>
        </w:rPr>
        <w:t>فرناندا</w:t>
      </w:r>
      <w:proofErr w:type="spellEnd"/>
      <w:r w:rsidR="00534576">
        <w:rPr>
          <w:rtl/>
        </w:rPr>
        <w:t xml:space="preserve"> </w:t>
      </w:r>
      <w:proofErr w:type="spellStart"/>
      <w:r w:rsidR="00534576">
        <w:rPr>
          <w:rtl/>
        </w:rPr>
        <w:t>إناسيو</w:t>
      </w:r>
      <w:proofErr w:type="spellEnd"/>
      <w:r w:rsidR="00534576">
        <w:rPr>
          <w:rtl/>
        </w:rPr>
        <w:t xml:space="preserve"> </w:t>
      </w:r>
      <w:proofErr w:type="spellStart"/>
      <w:r w:rsidR="00534576">
        <w:rPr>
          <w:rtl/>
        </w:rPr>
        <w:t>بيلفورت</w:t>
      </w:r>
      <w:proofErr w:type="spellEnd"/>
      <w:r w:rsidR="00835738" w:rsidRPr="00835738">
        <w:rPr>
          <w:rtl/>
        </w:rPr>
        <w:t xml:space="preserve">، </w:t>
      </w:r>
      <w:r w:rsidR="003D6413">
        <w:rPr>
          <w:rFonts w:hint="cs"/>
          <w:rtl/>
        </w:rPr>
        <w:t>ممثلة</w:t>
      </w:r>
      <w:r w:rsidR="00835738" w:rsidRPr="00835738">
        <w:rPr>
          <w:rtl/>
        </w:rPr>
        <w:t xml:space="preserve"> معهد</w:t>
      </w:r>
      <w:r w:rsidR="003D6413">
        <w:rPr>
          <w:rFonts w:hint="cs"/>
          <w:rtl/>
        </w:rPr>
        <w:t xml:space="preserve"> </w:t>
      </w:r>
      <w:r w:rsidR="00835738" w:rsidRPr="00835738">
        <w:rPr>
          <w:rtl/>
        </w:rPr>
        <w:t>الشعوب الأصلية البرازيلي للملكية الفكرية</w:t>
      </w:r>
      <w:r w:rsidR="00534576">
        <w:rPr>
          <w:rFonts w:hint="cs"/>
          <w:rtl/>
        </w:rPr>
        <w:t> </w:t>
      </w:r>
      <w:r w:rsidR="00835738" w:rsidRPr="00835738">
        <w:rPr>
          <w:rtl/>
        </w:rPr>
        <w:t>(</w:t>
      </w:r>
      <w:proofErr w:type="spellStart"/>
      <w:r w:rsidR="00534576" w:rsidRPr="00534576">
        <w:t>InBraPi</w:t>
      </w:r>
      <w:proofErr w:type="spellEnd"/>
      <w:r w:rsidR="00835738" w:rsidRPr="00835738">
        <w:rPr>
          <w:rtl/>
        </w:rPr>
        <w:t>)، البرازيل؛</w:t>
      </w:r>
      <w:r w:rsidR="00534576">
        <w:rPr>
          <w:rFonts w:hint="cs"/>
          <w:rtl/>
        </w:rPr>
        <w:t xml:space="preserve"> </w:t>
      </w:r>
      <w:r w:rsidR="003D6413">
        <w:rPr>
          <w:rFonts w:hint="cs"/>
          <w:rtl/>
        </w:rPr>
        <w:t xml:space="preserve">والسيدة غالينا </w:t>
      </w:r>
      <w:proofErr w:type="spellStart"/>
      <w:r w:rsidR="003D6413">
        <w:rPr>
          <w:rFonts w:hint="cs"/>
          <w:rtl/>
        </w:rPr>
        <w:t>ميخيفا</w:t>
      </w:r>
      <w:proofErr w:type="spellEnd"/>
      <w:r w:rsidR="003D6413">
        <w:rPr>
          <w:rFonts w:hint="cs"/>
          <w:rtl/>
        </w:rPr>
        <w:t xml:space="preserve">، رئيسة </w:t>
      </w:r>
      <w:r w:rsidR="001970E2">
        <w:rPr>
          <w:rFonts w:hint="cs"/>
          <w:rtl/>
        </w:rPr>
        <w:t xml:space="preserve">شعبة التعاون المتعدد الأطراف، إدارة التعاون الدولي، </w:t>
      </w:r>
      <w:r w:rsidR="00B62135">
        <w:rPr>
          <w:rFonts w:hint="cs"/>
          <w:rtl/>
        </w:rPr>
        <w:t>الدائرة</w:t>
      </w:r>
      <w:r w:rsidR="001970E2">
        <w:rPr>
          <w:rFonts w:hint="cs"/>
          <w:rtl/>
        </w:rPr>
        <w:t xml:space="preserve"> الاتحادية للملكية الفكرية</w:t>
      </w:r>
      <w:r w:rsidR="001970E2">
        <w:rPr>
          <w:rFonts w:hint="eastAsia"/>
          <w:rtl/>
        </w:rPr>
        <w:t> </w:t>
      </w:r>
      <w:r w:rsidR="001970E2">
        <w:rPr>
          <w:rFonts w:hint="cs"/>
          <w:rtl/>
        </w:rPr>
        <w:t>(</w:t>
      </w:r>
      <w:r w:rsidR="001970E2" w:rsidRPr="001970E2">
        <w:t>ROSPATENT</w:t>
      </w:r>
      <w:r w:rsidR="001970E2">
        <w:rPr>
          <w:rFonts w:hint="cs"/>
          <w:rtl/>
        </w:rPr>
        <w:t xml:space="preserve">)، الاتحاد الروسي؛ </w:t>
      </w:r>
      <w:r w:rsidR="00B62135">
        <w:rPr>
          <w:rFonts w:hint="cs"/>
          <w:rtl/>
        </w:rPr>
        <w:t>والسيدة</w:t>
      </w:r>
      <w:r w:rsidR="003D6413">
        <w:rPr>
          <w:rFonts w:hint="cs"/>
          <w:rtl/>
        </w:rPr>
        <w:t xml:space="preserve"> </w:t>
      </w:r>
      <w:r w:rsidR="00B62135">
        <w:rPr>
          <w:rFonts w:hint="cs"/>
          <w:rtl/>
        </w:rPr>
        <w:t xml:space="preserve">دانييلا </w:t>
      </w:r>
      <w:proofErr w:type="spellStart"/>
      <w:r w:rsidR="00B62135">
        <w:rPr>
          <w:rFonts w:hint="cs"/>
          <w:rtl/>
        </w:rPr>
        <w:t>رودريغيس</w:t>
      </w:r>
      <w:proofErr w:type="spellEnd"/>
      <w:r w:rsidR="00B62135">
        <w:rPr>
          <w:rFonts w:hint="cs"/>
          <w:rtl/>
        </w:rPr>
        <w:t xml:space="preserve"> </w:t>
      </w:r>
      <w:proofErr w:type="spellStart"/>
      <w:r w:rsidR="00B62135">
        <w:rPr>
          <w:rFonts w:hint="cs"/>
          <w:rtl/>
        </w:rPr>
        <w:t>أوريبي</w:t>
      </w:r>
      <w:proofErr w:type="spellEnd"/>
      <w:r w:rsidR="00B62135">
        <w:rPr>
          <w:rFonts w:hint="cs"/>
          <w:rtl/>
        </w:rPr>
        <w:t xml:space="preserve">، مستشارة، وزارة الثقافة، كولومبيا؛ والسيدة </w:t>
      </w:r>
      <w:r w:rsidR="00B62135" w:rsidRPr="00B62135">
        <w:rPr>
          <w:rtl/>
        </w:rPr>
        <w:t xml:space="preserve">جينفر تولي </w:t>
      </w:r>
      <w:proofErr w:type="spellStart"/>
      <w:r w:rsidR="00B62135" w:rsidRPr="00B62135">
        <w:rPr>
          <w:rtl/>
        </w:rPr>
        <w:t>كوربوز</w:t>
      </w:r>
      <w:proofErr w:type="spellEnd"/>
      <w:r w:rsidR="00B62135">
        <w:rPr>
          <w:rFonts w:hint="cs"/>
          <w:rtl/>
        </w:rPr>
        <w:t xml:space="preserve">، </w:t>
      </w:r>
      <w:r w:rsidR="003D6413">
        <w:rPr>
          <w:rFonts w:hint="cs"/>
          <w:rtl/>
        </w:rPr>
        <w:t xml:space="preserve">ممثلة </w:t>
      </w:r>
      <w:r w:rsidR="00B62135" w:rsidRPr="00B62135">
        <w:rPr>
          <w:rtl/>
        </w:rPr>
        <w:t xml:space="preserve">مؤسسة </w:t>
      </w:r>
      <w:proofErr w:type="spellStart"/>
      <w:r w:rsidR="00B62135" w:rsidRPr="00B62135">
        <w:rPr>
          <w:rtl/>
        </w:rPr>
        <w:t>ت</w:t>
      </w:r>
      <w:r w:rsidR="00534576">
        <w:rPr>
          <w:rFonts w:hint="cs"/>
          <w:rtl/>
        </w:rPr>
        <w:t>بتيبا</w:t>
      </w:r>
      <w:proofErr w:type="spellEnd"/>
      <w:r w:rsidR="003D6413">
        <w:rPr>
          <w:rFonts w:hint="cs"/>
          <w:rtl/>
        </w:rPr>
        <w:t xml:space="preserve"> - </w:t>
      </w:r>
      <w:r w:rsidR="00DD2744" w:rsidRPr="00DD2744">
        <w:rPr>
          <w:rtl/>
        </w:rPr>
        <w:t>مركز الشعوب الأصلية الدولي للبحث في السياسة العامة والتعليم</w:t>
      </w:r>
      <w:r w:rsidR="00DD2744">
        <w:rPr>
          <w:rFonts w:hint="cs"/>
          <w:rtl/>
        </w:rPr>
        <w:t>، الفلبين</w:t>
      </w:r>
      <w:r w:rsidR="00B62135">
        <w:rPr>
          <w:rFonts w:hint="cs"/>
          <w:rtl/>
        </w:rPr>
        <w:t xml:space="preserve">؛ والسيد جورج </w:t>
      </w:r>
      <w:proofErr w:type="spellStart"/>
      <w:r w:rsidR="00B62135">
        <w:rPr>
          <w:rFonts w:hint="cs"/>
          <w:rtl/>
        </w:rPr>
        <w:t>تيباغانا</w:t>
      </w:r>
      <w:proofErr w:type="spellEnd"/>
      <w:r w:rsidR="00B62135">
        <w:rPr>
          <w:rFonts w:hint="cs"/>
          <w:rtl/>
        </w:rPr>
        <w:t>، سكرتير ثالث، البعثة الدائمة لأوغندا، جنيف.</w:t>
      </w:r>
    </w:p>
    <w:p w:rsidR="00223AB8" w:rsidRDefault="00223AB8" w:rsidP="00223AB8">
      <w:pPr>
        <w:pStyle w:val="NormalParaAR"/>
        <w:rPr>
          <w:rtl/>
        </w:rPr>
      </w:pPr>
      <w:r w:rsidRPr="0041405C">
        <w:rPr>
          <w:rtl/>
        </w:rPr>
        <w:t>وعي</w:t>
      </w:r>
      <w:r w:rsidRPr="0041405C">
        <w:rPr>
          <w:rFonts w:hint="cs"/>
          <w:rtl/>
        </w:rPr>
        <w:t>ّ</w:t>
      </w:r>
      <w:r w:rsidRPr="0041405C">
        <w:rPr>
          <w:rtl/>
        </w:rPr>
        <w:t xml:space="preserve">ن رئيس اللجنة </w:t>
      </w:r>
      <w:r>
        <w:rPr>
          <w:rFonts w:hint="cs"/>
          <w:rtl/>
        </w:rPr>
        <w:t xml:space="preserve">السفير روبرتو </w:t>
      </w:r>
      <w:proofErr w:type="spellStart"/>
      <w:r>
        <w:rPr>
          <w:rFonts w:hint="cs"/>
          <w:rtl/>
        </w:rPr>
        <w:t>ماتيوس</w:t>
      </w:r>
      <w:proofErr w:type="spellEnd"/>
      <w:r>
        <w:rPr>
          <w:rFonts w:hint="cs"/>
          <w:rtl/>
        </w:rPr>
        <w:t xml:space="preserve"> ميكائيل تيني</w:t>
      </w:r>
      <w:r w:rsidRPr="0041405C">
        <w:rPr>
          <w:rFonts w:hint="cs"/>
          <w:rtl/>
        </w:rPr>
        <w:t>،</w:t>
      </w:r>
      <w:r w:rsidRPr="0041405C">
        <w:rPr>
          <w:rtl/>
        </w:rPr>
        <w:t xml:space="preserve"> نائب رئيس اللجنة</w:t>
      </w:r>
      <w:r w:rsidRPr="0041405C">
        <w:rPr>
          <w:rFonts w:hint="cs"/>
          <w:rtl/>
        </w:rPr>
        <w:t xml:space="preserve">، </w:t>
      </w:r>
      <w:r w:rsidRPr="0041405C">
        <w:rPr>
          <w:rtl/>
        </w:rPr>
        <w:t>رئيس</w:t>
      </w:r>
      <w:r>
        <w:rPr>
          <w:rFonts w:hint="cs"/>
          <w:rtl/>
        </w:rPr>
        <w:t>ا</w:t>
      </w:r>
      <w:r w:rsidRPr="0041405C">
        <w:rPr>
          <w:rtl/>
        </w:rPr>
        <w:t xml:space="preserve"> للمجلس الاستشاري.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6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أشكال التعبير الثقافي التقليدي</w:t>
      </w:r>
    </w:p>
    <w:p w:rsidR="00223AB8" w:rsidRDefault="00223AB8" w:rsidP="00672EC1">
      <w:pPr>
        <w:pStyle w:val="NormalParaAR"/>
        <w:rPr>
          <w:rtl/>
        </w:rPr>
      </w:pPr>
      <w:r w:rsidRPr="00C578E8">
        <w:rPr>
          <w:rFonts w:hint="cs"/>
          <w:rtl/>
        </w:rPr>
        <w:t>أعدّت اللجنة، استنادا إلى الوثيقة</w:t>
      </w:r>
      <w:r w:rsidRPr="00C578E8">
        <w:rPr>
          <w:rFonts w:hint="eastAsia"/>
          <w:rtl/>
        </w:rPr>
        <w:t> </w:t>
      </w:r>
      <w:r w:rsidRPr="00C578E8">
        <w:t>WIPO/GRTKF/IC/</w:t>
      </w:r>
      <w:r w:rsidR="00A518B5">
        <w:t>33</w:t>
      </w:r>
      <w:r w:rsidRPr="00C578E8">
        <w:t>/4</w:t>
      </w:r>
      <w:r w:rsidRPr="00C578E8">
        <w:rPr>
          <w:rFonts w:hint="cs"/>
          <w:rtl/>
        </w:rPr>
        <w:t xml:space="preserve">، </w:t>
      </w:r>
      <w:r>
        <w:rPr>
          <w:rFonts w:hint="cs"/>
          <w:rtl/>
        </w:rPr>
        <w:t xml:space="preserve">نصا آخر بعنوان </w:t>
      </w:r>
      <w:r w:rsidRPr="00C578E8">
        <w:rPr>
          <w:rFonts w:hint="cs"/>
          <w:rtl/>
        </w:rPr>
        <w:t>"</w:t>
      </w:r>
      <w:r>
        <w:rPr>
          <w:rFonts w:hint="cs"/>
          <w:rtl/>
        </w:rPr>
        <w:t xml:space="preserve">حماية </w:t>
      </w:r>
      <w:r w:rsidR="00A518B5">
        <w:rPr>
          <w:rFonts w:hint="cs"/>
          <w:rtl/>
        </w:rPr>
        <w:t>أشكال التعبير الثقافي التقليدي</w:t>
      </w:r>
      <w:r>
        <w:rPr>
          <w:rFonts w:hint="cs"/>
          <w:rtl/>
        </w:rPr>
        <w:t xml:space="preserve">: مشروع مواد </w:t>
      </w:r>
      <w:r>
        <w:rPr>
          <w:rtl/>
        </w:rPr>
        <w:t>–</w:t>
      </w:r>
      <w:r>
        <w:rPr>
          <w:rFonts w:hint="cs"/>
          <w:rtl/>
        </w:rPr>
        <w:t xml:space="preserve"> النسخة المعدّلة</w:t>
      </w:r>
      <w:r w:rsidRPr="00C578E8">
        <w:rPr>
          <w:rFonts w:hint="cs"/>
          <w:rtl/>
        </w:rPr>
        <w:t xml:space="preserve"> </w:t>
      </w:r>
      <w:r>
        <w:rPr>
          <w:rFonts w:hint="cs"/>
          <w:rtl/>
        </w:rPr>
        <w:t>الثانية (</w:t>
      </w:r>
      <w:r>
        <w:t>Rev.2</w:t>
      </w:r>
      <w:r>
        <w:rPr>
          <w:rFonts w:hint="cs"/>
          <w:rtl/>
        </w:rPr>
        <w:t xml:space="preserve">)". </w:t>
      </w:r>
      <w:r w:rsidRPr="00C578E8">
        <w:rPr>
          <w:rFonts w:hint="cs"/>
          <w:rtl/>
        </w:rPr>
        <w:t xml:space="preserve">وقرّرت </w:t>
      </w:r>
      <w:r>
        <w:rPr>
          <w:rFonts w:hint="cs"/>
          <w:rtl/>
        </w:rPr>
        <w:t xml:space="preserve">اللجنة </w:t>
      </w:r>
      <w:r w:rsidRPr="00C578E8">
        <w:rPr>
          <w:rFonts w:hint="cs"/>
          <w:rtl/>
        </w:rPr>
        <w:t>إحالة ذلك النص، بالصيغة التي ورد بها في</w:t>
      </w:r>
      <w:r w:rsidR="00672EC1">
        <w:rPr>
          <w:rFonts w:hint="eastAsia"/>
          <w:rtl/>
        </w:rPr>
        <w:t> </w:t>
      </w:r>
      <w:r w:rsidRPr="00C578E8">
        <w:rPr>
          <w:rFonts w:hint="cs"/>
          <w:rtl/>
        </w:rPr>
        <w:t xml:space="preserve">اختتام </w:t>
      </w:r>
      <w:r>
        <w:rPr>
          <w:rFonts w:hint="cs"/>
          <w:rtl/>
        </w:rPr>
        <w:t>النظر في هذا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البند من جدول الأعمال في </w:t>
      </w:r>
      <w:r w:rsidR="00A518B5">
        <w:rPr>
          <w:rFonts w:hint="cs"/>
          <w:rtl/>
        </w:rPr>
        <w:t>3</w:t>
      </w:r>
      <w:r w:rsidRPr="00C578E8">
        <w:rPr>
          <w:rFonts w:hint="eastAsia"/>
          <w:rtl/>
        </w:rPr>
        <w:t> </w:t>
      </w:r>
      <w:r w:rsidR="00A518B5">
        <w:rPr>
          <w:rFonts w:hint="cs"/>
          <w:rtl/>
        </w:rPr>
        <w:t>مارس</w:t>
      </w:r>
      <w:r w:rsidRPr="00C578E8">
        <w:rPr>
          <w:rFonts w:hint="eastAsia"/>
          <w:rtl/>
        </w:rPr>
        <w:t> </w:t>
      </w:r>
      <w:r w:rsidR="00A518B5">
        <w:rPr>
          <w:rFonts w:hint="cs"/>
          <w:rtl/>
        </w:rPr>
        <w:t>2017</w:t>
      </w:r>
      <w:r w:rsidRPr="00C578E8">
        <w:rPr>
          <w:rFonts w:hint="cs"/>
          <w:rtl/>
        </w:rPr>
        <w:t xml:space="preserve">، إلى دورتها </w:t>
      </w:r>
      <w:r>
        <w:rPr>
          <w:rFonts w:hint="cs"/>
          <w:rtl/>
        </w:rPr>
        <w:t>الرابعة</w:t>
      </w:r>
      <w:r w:rsidRPr="00C578E8">
        <w:rPr>
          <w:rFonts w:hint="cs"/>
          <w:rtl/>
        </w:rPr>
        <w:t xml:space="preserve"> والثلاثين طبقا لولايتها للثنائية</w:t>
      </w:r>
      <w:r w:rsidRPr="00C578E8">
        <w:rPr>
          <w:rFonts w:hint="eastAsia"/>
          <w:rtl/>
        </w:rPr>
        <w:t> </w:t>
      </w:r>
      <w:r w:rsidRPr="00C578E8">
        <w:rPr>
          <w:rFonts w:hint="cs"/>
          <w:rtl/>
        </w:rPr>
        <w:t>2016-2017 وبرنامج عملها لعام</w:t>
      </w:r>
      <w:r w:rsidRPr="00C578E8">
        <w:rPr>
          <w:rFonts w:hint="eastAsia"/>
          <w:rtl/>
        </w:rPr>
        <w:t> </w:t>
      </w:r>
      <w:r w:rsidRPr="00C578E8">
        <w:rPr>
          <w:rFonts w:hint="cs"/>
          <w:rtl/>
        </w:rPr>
        <w:t>2017، كما جاء في الوثيقة</w:t>
      </w:r>
      <w:r w:rsidRPr="00C578E8">
        <w:rPr>
          <w:rFonts w:hint="eastAsia"/>
          <w:rtl/>
        </w:rPr>
        <w:t> </w:t>
      </w:r>
      <w:r w:rsidRPr="00C578E8">
        <w:t>WO/GA/47/19</w:t>
      </w:r>
      <w:r w:rsidRPr="00C578E8">
        <w:rPr>
          <w:rFonts w:hint="cs"/>
          <w:rtl/>
        </w:rPr>
        <w:t>.</w:t>
      </w:r>
    </w:p>
    <w:p w:rsidR="00A518B5" w:rsidRDefault="00A276F2" w:rsidP="00A276F2">
      <w:pPr>
        <w:pStyle w:val="NormalParaAR"/>
        <w:rPr>
          <w:rtl/>
        </w:rPr>
      </w:pPr>
      <w:r w:rsidRPr="00A276F2">
        <w:rPr>
          <w:rtl/>
        </w:rPr>
        <w:t>وقرّرت اللجنة أيضا أن تحيل إلى دورتها القادمة "قائمة إرشادية بالقضايا العالقة التي ينبغي معالجتها/حلّها في الدورة القادمة"، ترد نسخة منها في المرفق.</w:t>
      </w:r>
    </w:p>
    <w:p w:rsidR="00223AB8" w:rsidRDefault="00223AB8" w:rsidP="00A276F2">
      <w:pPr>
        <w:pStyle w:val="NormalParaAR"/>
        <w:rPr>
          <w:rtl/>
        </w:rPr>
      </w:pPr>
      <w:r>
        <w:rPr>
          <w:rFonts w:hint="cs"/>
          <w:rtl/>
        </w:rPr>
        <w:t>وأحاطت اللجنة علما بالوثائق</w:t>
      </w:r>
      <w:r>
        <w:rPr>
          <w:rFonts w:hint="eastAsia"/>
          <w:rtl/>
        </w:rPr>
        <w:t> </w:t>
      </w:r>
      <w:r w:rsidRPr="00EA76BB">
        <w:t>WIPO/GRTKF/IC/</w:t>
      </w:r>
      <w:r w:rsidR="00A276F2">
        <w:t>33</w:t>
      </w:r>
      <w:r w:rsidRPr="00EA76BB">
        <w:t>/5</w:t>
      </w:r>
      <w:r>
        <w:rPr>
          <w:rFonts w:hint="cs"/>
          <w:rtl/>
        </w:rPr>
        <w:t xml:space="preserve"> و</w:t>
      </w:r>
      <w:r w:rsidRPr="00EA76BB">
        <w:t>WIPO/GRTKF/IC/</w:t>
      </w:r>
      <w:r w:rsidR="00A276F2">
        <w:t>33</w:t>
      </w:r>
      <w:r w:rsidRPr="00EA76BB">
        <w:t>/6</w:t>
      </w:r>
      <w:r>
        <w:rPr>
          <w:rFonts w:hint="cs"/>
          <w:rtl/>
        </w:rPr>
        <w:t xml:space="preserve"> و</w:t>
      </w:r>
      <w:r w:rsidRPr="002F6C34">
        <w:t>WIPO/GRTKF/IC/</w:t>
      </w:r>
      <w:r w:rsidR="00A276F2">
        <w:t>33</w:t>
      </w:r>
      <w:r w:rsidRPr="002F6C34">
        <w:t>/INF/7</w:t>
      </w:r>
      <w:r>
        <w:rPr>
          <w:rFonts w:hint="cs"/>
          <w:rtl/>
        </w:rPr>
        <w:t xml:space="preserve"> و</w:t>
      </w:r>
      <w:r w:rsidRPr="002F6C34">
        <w:t>WIPO/GRTKF/IC/</w:t>
      </w:r>
      <w:r w:rsidR="00A276F2">
        <w:t>33</w:t>
      </w:r>
      <w:r w:rsidRPr="002F6C34">
        <w:t>/INF/8</w:t>
      </w:r>
      <w:r w:rsidR="00A276F2">
        <w:rPr>
          <w:rFonts w:hint="cs"/>
          <w:rtl/>
        </w:rPr>
        <w:t xml:space="preserve"> و</w:t>
      </w:r>
      <w:r w:rsidR="00A276F2" w:rsidRPr="002F6C34">
        <w:t>WIPO/GRTKF/IC/</w:t>
      </w:r>
      <w:r w:rsidR="00A276F2">
        <w:t>33</w:t>
      </w:r>
      <w:r w:rsidR="00A276F2" w:rsidRPr="002F6C34">
        <w:t>/INF/</w:t>
      </w:r>
      <w:r w:rsidR="00A276F2">
        <w:t>9</w:t>
      </w:r>
      <w:r>
        <w:rPr>
          <w:rFonts w:hint="cs"/>
          <w:rtl/>
        </w:rPr>
        <w:t>، وأجرت مناقشات بشأنها.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7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Pr="00FC177D" w:rsidRDefault="00223AB8" w:rsidP="00223AB8">
      <w:pPr>
        <w:pStyle w:val="NormalParaAR"/>
        <w:keepNext/>
        <w:rPr>
          <w:sz w:val="40"/>
          <w:szCs w:val="40"/>
          <w:rtl/>
        </w:rPr>
      </w:pPr>
      <w:r w:rsidRPr="00FC177D">
        <w:rPr>
          <w:sz w:val="40"/>
          <w:szCs w:val="40"/>
          <w:rtl/>
        </w:rPr>
        <w:t>أية مسائل أخرى</w:t>
      </w:r>
    </w:p>
    <w:p w:rsidR="00223AB8" w:rsidRDefault="00223AB8" w:rsidP="00223AB8">
      <w:pPr>
        <w:pStyle w:val="NormalParaAR"/>
        <w:rPr>
          <w:rtl/>
        </w:rPr>
      </w:pPr>
      <w:r w:rsidRPr="00EE7D85">
        <w:rPr>
          <w:rFonts w:hint="cs"/>
          <w:rtl/>
        </w:rPr>
        <w:t>لم تُجر أية مناقشات في إطار هذا البند.</w:t>
      </w:r>
    </w:p>
    <w:p w:rsidR="00223AB8" w:rsidRPr="008D6BC6" w:rsidRDefault="00223AB8" w:rsidP="00223AB8">
      <w:pPr>
        <w:pStyle w:val="NormalParaAR"/>
        <w:keepNext/>
        <w:rPr>
          <w:sz w:val="40"/>
          <w:szCs w:val="40"/>
          <w:rtl/>
        </w:rPr>
      </w:pPr>
      <w:r w:rsidRPr="008D6BC6">
        <w:rPr>
          <w:rFonts w:hint="cs"/>
          <w:sz w:val="40"/>
          <w:szCs w:val="40"/>
          <w:rtl/>
        </w:rPr>
        <w:t xml:space="preserve">قرار بشأن البند </w:t>
      </w:r>
      <w:r>
        <w:rPr>
          <w:rFonts w:hint="cs"/>
          <w:sz w:val="40"/>
          <w:szCs w:val="40"/>
          <w:rtl/>
        </w:rPr>
        <w:t>8</w:t>
      </w:r>
      <w:r w:rsidRPr="008D6BC6">
        <w:rPr>
          <w:rFonts w:hint="cs"/>
          <w:sz w:val="40"/>
          <w:szCs w:val="40"/>
          <w:rtl/>
        </w:rPr>
        <w:t xml:space="preserve"> من جدول الأعمال</w:t>
      </w:r>
      <w:r>
        <w:rPr>
          <w:rFonts w:hint="cs"/>
          <w:sz w:val="40"/>
          <w:szCs w:val="40"/>
          <w:rtl/>
        </w:rPr>
        <w:t>:</w:t>
      </w:r>
    </w:p>
    <w:p w:rsidR="00223AB8" w:rsidRDefault="00223AB8" w:rsidP="00223AB8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223AB8" w:rsidRPr="003A2EC2" w:rsidRDefault="00223AB8" w:rsidP="00476841">
      <w:pPr>
        <w:pStyle w:val="NormalParaAR"/>
        <w:spacing w:after="480"/>
        <w:rPr>
          <w:rtl/>
        </w:rPr>
      </w:pPr>
      <w:r w:rsidRPr="003A2EC2">
        <w:rPr>
          <w:rtl/>
        </w:rPr>
        <w:t>اعتمدت اللجنة قراراتها بشأن البنود</w:t>
      </w:r>
      <w:r w:rsidRPr="003A2EC2">
        <w:rPr>
          <w:rFonts w:hint="cs"/>
          <w:rtl/>
        </w:rPr>
        <w:t> </w:t>
      </w:r>
      <w:r w:rsidRPr="003A2EC2">
        <w:rPr>
          <w:rtl/>
        </w:rPr>
        <w:t xml:space="preserve">2 و3 و4 و5 و6 من جدول الأعمال في </w:t>
      </w:r>
      <w:r w:rsidR="00476841">
        <w:rPr>
          <w:rFonts w:hint="cs"/>
          <w:rtl/>
        </w:rPr>
        <w:t>3</w:t>
      </w:r>
      <w:r w:rsidRPr="003A2EC2">
        <w:rPr>
          <w:rFonts w:hint="cs"/>
          <w:rtl/>
        </w:rPr>
        <w:t> </w:t>
      </w:r>
      <w:r w:rsidR="00476841">
        <w:rPr>
          <w:rFonts w:hint="cs"/>
          <w:rtl/>
        </w:rPr>
        <w:t>مارس</w:t>
      </w:r>
      <w:r w:rsidRPr="003A2EC2">
        <w:rPr>
          <w:rFonts w:hint="cs"/>
          <w:rtl/>
        </w:rPr>
        <w:t> </w:t>
      </w:r>
      <w:r w:rsidR="00476841">
        <w:rPr>
          <w:rFonts w:hint="cs"/>
          <w:rtl/>
        </w:rPr>
        <w:t>2017</w:t>
      </w:r>
      <w:r w:rsidRPr="003A2EC2">
        <w:rPr>
          <w:rtl/>
        </w:rPr>
        <w:t>. واتفقت على إعداد مشروع تقرير كتابي يحتوي على نصوص هذه القرارات المتفق عليها وجميع المداخلات التي أد</w:t>
      </w:r>
      <w:r>
        <w:rPr>
          <w:rtl/>
        </w:rPr>
        <w:t xml:space="preserve">لي بها أمام اللجنة، وتعميمه </w:t>
      </w:r>
      <w:r>
        <w:rPr>
          <w:rFonts w:hint="cs"/>
          <w:rtl/>
        </w:rPr>
        <w:t xml:space="preserve">في أجل أقصاه </w:t>
      </w:r>
      <w:r w:rsidR="00476841">
        <w:rPr>
          <w:rFonts w:hint="cs"/>
          <w:rtl/>
        </w:rPr>
        <w:t>21</w:t>
      </w:r>
      <w:r>
        <w:rPr>
          <w:rFonts w:hint="eastAsia"/>
          <w:rtl/>
        </w:rPr>
        <w:t> </w:t>
      </w:r>
      <w:r w:rsidR="00476841">
        <w:rPr>
          <w:rFonts w:hint="cs"/>
          <w:rtl/>
        </w:rPr>
        <w:t>أبريل</w:t>
      </w:r>
      <w:r w:rsidRPr="003A2EC2">
        <w:rPr>
          <w:rFonts w:hint="cs"/>
          <w:rtl/>
        </w:rPr>
        <w:t> </w:t>
      </w:r>
      <w:r>
        <w:rPr>
          <w:rFonts w:hint="cs"/>
          <w:rtl/>
        </w:rPr>
        <w:t>2017</w:t>
      </w:r>
      <w:r w:rsidRPr="003A2EC2">
        <w:rPr>
          <w:rtl/>
        </w:rPr>
        <w:t xml:space="preserve">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Pr="003A2EC2">
        <w:rPr>
          <w:rFonts w:hint="cs"/>
          <w:rtl/>
        </w:rPr>
        <w:t>المشاركين</w:t>
      </w:r>
      <w:r w:rsidRPr="003A2EC2">
        <w:rPr>
          <w:rtl/>
        </w:rPr>
        <w:t xml:space="preserve"> </w:t>
      </w:r>
      <w:r w:rsidRPr="003A2EC2">
        <w:rPr>
          <w:rFonts w:hint="cs"/>
          <w:rtl/>
        </w:rPr>
        <w:t xml:space="preserve">في </w:t>
      </w:r>
      <w:r w:rsidRPr="003A2EC2">
        <w:rPr>
          <w:rtl/>
        </w:rPr>
        <w:t xml:space="preserve">اللجنة لاحقا لاعتمادها في الدورة </w:t>
      </w:r>
      <w:r w:rsidRPr="003A2EC2">
        <w:rPr>
          <w:rFonts w:hint="cs"/>
          <w:rtl/>
        </w:rPr>
        <w:t>القادمة</w:t>
      </w:r>
      <w:r w:rsidRPr="003A2EC2">
        <w:rPr>
          <w:rtl/>
        </w:rPr>
        <w:t xml:space="preserve"> للجنة.</w:t>
      </w:r>
    </w:p>
    <w:p w:rsidR="00E97C06" w:rsidRDefault="00014BF3" w:rsidP="00E97C06">
      <w:pPr>
        <w:pStyle w:val="EndofDocumentAR"/>
        <w:rPr>
          <w:rtl/>
        </w:rPr>
        <w:sectPr w:rsidR="00E97C06" w:rsidSect="00E50D23">
          <w:headerReference w:type="default" r:id="rId9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>
        <w:rPr>
          <w:rFonts w:hint="cs"/>
          <w:rtl/>
        </w:rPr>
        <w:t>[</w:t>
      </w:r>
      <w:r w:rsidR="00E97C06">
        <w:rPr>
          <w:rFonts w:hint="cs"/>
          <w:rtl/>
        </w:rPr>
        <w:t>يلي ذلك المرفق</w:t>
      </w:r>
      <w:r>
        <w:rPr>
          <w:rFonts w:hint="cs"/>
          <w:rtl/>
        </w:rPr>
        <w:t>]</w:t>
      </w:r>
    </w:p>
    <w:p w:rsidR="00E97C06" w:rsidRPr="00CF5567" w:rsidRDefault="00E97C06" w:rsidP="00E97C06">
      <w:pPr>
        <w:pStyle w:val="NormalParaAR"/>
        <w:jc w:val="center"/>
        <w:rPr>
          <w:b/>
          <w:bCs/>
          <w:rtl/>
        </w:rPr>
      </w:pPr>
      <w:r w:rsidRPr="00CF5567">
        <w:rPr>
          <w:rFonts w:hint="cs"/>
          <w:b/>
          <w:bCs/>
          <w:rtl/>
        </w:rPr>
        <w:t xml:space="preserve">الدورة </w:t>
      </w:r>
      <w:r>
        <w:rPr>
          <w:rFonts w:hint="cs"/>
          <w:b/>
          <w:bCs/>
          <w:rtl/>
        </w:rPr>
        <w:t>الثالثة</w:t>
      </w:r>
      <w:r w:rsidRPr="00CF556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والثلاثون للجنة المعارف التقليدية</w:t>
      </w:r>
    </w:p>
    <w:p w:rsidR="00E97C06" w:rsidRPr="00CF5567" w:rsidRDefault="00E97C06" w:rsidP="00E97C06">
      <w:pPr>
        <w:pStyle w:val="NormalParaAR"/>
        <w:jc w:val="center"/>
        <w:rPr>
          <w:b/>
          <w:bCs/>
          <w:rtl/>
        </w:rPr>
      </w:pPr>
      <w:r w:rsidRPr="00CF5567">
        <w:rPr>
          <w:rFonts w:hint="cs"/>
          <w:b/>
          <w:bCs/>
          <w:rtl/>
        </w:rPr>
        <w:t>قائمة إرشادية بالقضايا العالقة التي ينبغي معالجتها/حلّها في الدورة القادمة</w:t>
      </w:r>
    </w:p>
    <w:p w:rsidR="00E97C06" w:rsidRPr="00344E7F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أهداف السياسة العامة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استخدام مصطلحات "التملك غير المشروع" و/أو "[سوء الاستخدام]/[التملك غير القانوني]".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والاعتراف بالحقوق التي اكتسبها الغير.</w:t>
      </w:r>
    </w:p>
    <w:p w:rsidR="00E97C06" w:rsidRPr="00A671C5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الموضوع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إدراج معايير الأهلية وتحديد الموضع الذي تُدرج فيه.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والإشارة </w:t>
      </w:r>
      <w:r w:rsidRPr="00DD5F2E">
        <w:rPr>
          <w:rFonts w:hint="cs"/>
          <w:rtl/>
        </w:rPr>
        <w:t>إلى مدة زمنية لا بد أن تكون أشكال التعبير الثقافي التقليدي قد استُخدمت فيها لتكون قابلة للحماية</w:t>
      </w:r>
      <w:r>
        <w:rPr>
          <w:rFonts w:hint="cs"/>
          <w:rtl/>
        </w:rPr>
        <w:t>.</w:t>
      </w:r>
    </w:p>
    <w:p w:rsidR="00E97C06" w:rsidRPr="00A671C5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نطاق الحماية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النُهج "القائمة على الحقوق" و/أو "القائمة على التدابير".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وما إذا كان يمكن اتباع "نهج متعدد المستويات"، وإذا أمكن اتباعه، تحديد طريقة صياغته.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والحقوق الاقتصادية و/أو المعنوية، والحقوق الأخرى.</w:t>
      </w:r>
    </w:p>
    <w:p w:rsidR="00E97C06" w:rsidRPr="00A671C5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المستفيدون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إدراج مستفيدين بخلاف الشعوب الأصلية والجماعات المحلية.</w:t>
      </w:r>
    </w:p>
    <w:p w:rsidR="00E97C06" w:rsidRPr="008B7F92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Pr="008B7F92">
        <w:rPr>
          <w:rFonts w:hint="cs"/>
          <w:b/>
          <w:bCs/>
          <w:rtl/>
        </w:rPr>
        <w:t>.</w:t>
      </w:r>
      <w:r w:rsidRPr="008B7F92">
        <w:rPr>
          <w:b/>
          <w:bCs/>
          <w:rtl/>
        </w:rPr>
        <w:tab/>
      </w:r>
      <w:r w:rsidRPr="008B7F92">
        <w:rPr>
          <w:rFonts w:hint="cs"/>
          <w:b/>
          <w:bCs/>
          <w:rtl/>
        </w:rPr>
        <w:t>استخدام بعض المصطلحات والمفاهيم ومعانيها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الإشارات إلى "الحماية" وأشكال التعبير الثقافي التقليدي "المحمية" والعلاقة بمعايير الأهلية / نطاق الحماية.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والإشارة إلى "صون" أشكال التعبير الثقافي التقليدي.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تشير إلى طبيعة الضرر التي يجوز التماس الحماية ضدّها، مثل "التملك غير المشروع".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تصف أو تخص جودة أشكال التعبير الثقافي التقليدي أو مدى انتشارها، مثل "الملك العام" أو</w:t>
      </w:r>
      <w:r>
        <w:rPr>
          <w:rFonts w:hint="eastAsia"/>
          <w:rtl/>
        </w:rPr>
        <w:t> </w:t>
      </w:r>
      <w:r>
        <w:rPr>
          <w:rFonts w:hint="cs"/>
          <w:rtl/>
        </w:rPr>
        <w:t>"المتاحة للجمهور" أو "السرية" أو "المقدسة".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تخص المستفيدين، مثل "الشعوب الأصلية".</w:t>
      </w:r>
    </w:p>
    <w:p w:rsidR="00E97C06" w:rsidRPr="00A671C5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>
        <w:rPr>
          <w:rFonts w:hint="cs"/>
          <w:b/>
          <w:bCs/>
          <w:rtl/>
        </w:rPr>
        <w:t>إدارة الحقوق/المصالح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دور وطبيعة "الإدارة أو الإدارات المختصة"</w:t>
      </w:r>
      <w:r w:rsidRPr="00573E6D">
        <w:rPr>
          <w:rFonts w:hint="cs"/>
          <w:rtl/>
        </w:rPr>
        <w:t>.</w:t>
      </w:r>
    </w:p>
    <w:p w:rsidR="00E97C06" w:rsidRDefault="00E97C06" w:rsidP="00E97C06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E97C06" w:rsidRPr="00A671C5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7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333DAF">
        <w:rPr>
          <w:rFonts w:hint="cs"/>
          <w:b/>
          <w:bCs/>
          <w:rtl/>
        </w:rPr>
        <w:t>الاستثناءات والتقييدات</w:t>
      </w:r>
    </w:p>
    <w:p w:rsidR="00E97C06" w:rsidRDefault="00E97C06" w:rsidP="00E97C06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تحديد الاستثناءات والتقييدات على الصعيد الوطني، أو توفير مجموعة من الاستثناءات العامة و/أو المحدّدة.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Pr="00CA0C71">
        <w:rPr>
          <w:rFonts w:hint="cs"/>
          <w:b/>
          <w:bCs/>
          <w:rtl/>
        </w:rPr>
        <w:t>.</w:t>
      </w:r>
      <w:r w:rsidRPr="00CA0C71">
        <w:rPr>
          <w:b/>
          <w:bCs/>
          <w:rtl/>
        </w:rPr>
        <w:tab/>
      </w:r>
      <w:r>
        <w:rPr>
          <w:rFonts w:hint="cs"/>
          <w:b/>
          <w:bCs/>
          <w:rtl/>
        </w:rPr>
        <w:t>العلاقة بالملك العام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9.</w:t>
      </w:r>
      <w:r>
        <w:rPr>
          <w:b/>
          <w:bCs/>
          <w:rtl/>
        </w:rPr>
        <w:tab/>
      </w:r>
      <w:r w:rsidRPr="00CA0C71">
        <w:rPr>
          <w:b/>
          <w:bCs/>
          <w:rtl/>
        </w:rPr>
        <w:t>العقوبات</w:t>
      </w:r>
      <w:r w:rsidRPr="00CA0C71">
        <w:rPr>
          <w:b/>
          <w:bCs/>
        </w:rPr>
        <w:t xml:space="preserve"> </w:t>
      </w:r>
      <w:proofErr w:type="spellStart"/>
      <w:r w:rsidRPr="00CA0C71">
        <w:rPr>
          <w:rFonts w:hint="cs"/>
          <w:b/>
          <w:bCs/>
          <w:rtl/>
        </w:rPr>
        <w:t>والجزاءات</w:t>
      </w:r>
      <w:proofErr w:type="spellEnd"/>
      <w:r w:rsidRPr="00CA0C71">
        <w:rPr>
          <w:b/>
          <w:bCs/>
          <w:rtl/>
        </w:rPr>
        <w:t xml:space="preserve"> وممارسة</w:t>
      </w:r>
      <w:r>
        <w:rPr>
          <w:rFonts w:hint="cs"/>
          <w:b/>
          <w:bCs/>
          <w:rtl/>
        </w:rPr>
        <w:t xml:space="preserve"> الحقوق/المصالح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10.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مدة الحماية/الصون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11.</w:t>
      </w:r>
      <w:r>
        <w:rPr>
          <w:b/>
          <w:bCs/>
          <w:rtl/>
        </w:rPr>
        <w:tab/>
      </w:r>
      <w:r w:rsidRPr="0066060A">
        <w:rPr>
          <w:b/>
          <w:bCs/>
          <w:rtl/>
        </w:rPr>
        <w:t>الشروط الشكلية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12.</w:t>
      </w:r>
      <w:r>
        <w:rPr>
          <w:b/>
          <w:bCs/>
          <w:rtl/>
        </w:rPr>
        <w:tab/>
      </w:r>
      <w:r w:rsidRPr="0066060A">
        <w:rPr>
          <w:b/>
          <w:bCs/>
          <w:rtl/>
        </w:rPr>
        <w:t>التدابير الانتقالية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13.</w:t>
      </w:r>
      <w:r>
        <w:rPr>
          <w:b/>
          <w:bCs/>
          <w:rtl/>
        </w:rPr>
        <w:tab/>
      </w:r>
      <w:r w:rsidRPr="00E709E3">
        <w:rPr>
          <w:b/>
          <w:bCs/>
          <w:rtl/>
        </w:rPr>
        <w:t>العلاقة بالاتفاقات الدولية</w:t>
      </w:r>
      <w:r w:rsidRPr="00E709E3">
        <w:rPr>
          <w:rFonts w:hint="cs"/>
          <w:b/>
          <w:bCs/>
          <w:rtl/>
        </w:rPr>
        <w:t xml:space="preserve"> الأخرى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14.</w:t>
      </w:r>
      <w:r>
        <w:rPr>
          <w:b/>
          <w:bCs/>
          <w:rtl/>
        </w:rPr>
        <w:tab/>
      </w:r>
      <w:r w:rsidRPr="00CA0C71">
        <w:rPr>
          <w:b/>
          <w:bCs/>
          <w:rtl/>
        </w:rPr>
        <w:t>المعاملة الوطنية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15.</w:t>
      </w:r>
      <w:r>
        <w:rPr>
          <w:b/>
          <w:bCs/>
          <w:rtl/>
        </w:rPr>
        <w:tab/>
      </w:r>
      <w:r w:rsidRPr="0093695D">
        <w:rPr>
          <w:b/>
          <w:bCs/>
          <w:rtl/>
        </w:rPr>
        <w:t>التعاون عبر الحدود</w:t>
      </w:r>
    </w:p>
    <w:p w:rsidR="00E97C06" w:rsidRDefault="00E97C06" w:rsidP="00E97C06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16.</w:t>
      </w:r>
      <w:r>
        <w:rPr>
          <w:b/>
          <w:bCs/>
          <w:rtl/>
        </w:rPr>
        <w:tab/>
      </w:r>
      <w:r w:rsidRPr="0093695D">
        <w:rPr>
          <w:rFonts w:hint="cs"/>
          <w:b/>
          <w:bCs/>
          <w:rtl/>
        </w:rPr>
        <w:t>تكوين الكفاءات وإذكاء الوعي</w:t>
      </w:r>
    </w:p>
    <w:p w:rsidR="00E97C06" w:rsidRDefault="00E97C06" w:rsidP="00E97C06">
      <w:pPr>
        <w:pStyle w:val="NormalParaAR"/>
        <w:spacing w:after="480"/>
        <w:ind w:left="567"/>
        <w:rPr>
          <w:b/>
          <w:bCs/>
          <w:rtl/>
        </w:rPr>
      </w:pPr>
      <w:r>
        <w:rPr>
          <w:rFonts w:hint="cs"/>
          <w:b/>
          <w:bCs/>
          <w:rtl/>
        </w:rPr>
        <w:t>17</w:t>
      </w:r>
      <w:r w:rsidRPr="00344E7F">
        <w:rPr>
          <w:rFonts w:hint="cs"/>
          <w:b/>
          <w:bCs/>
          <w:rtl/>
        </w:rPr>
        <w:t>.</w:t>
      </w:r>
      <w:r w:rsidRPr="00344E7F">
        <w:rPr>
          <w:b/>
          <w:bCs/>
          <w:rtl/>
        </w:rPr>
        <w:tab/>
      </w:r>
      <w:r w:rsidRPr="00014BF3">
        <w:rPr>
          <w:b/>
          <w:bCs/>
          <w:rtl/>
        </w:rPr>
        <w:t>المبادئ / الديباجة/ مقدمة</w:t>
      </w:r>
    </w:p>
    <w:p w:rsidR="00E97C06" w:rsidRPr="007F38D1" w:rsidRDefault="00E97C06" w:rsidP="00E97C06">
      <w:pPr>
        <w:pStyle w:val="EndofDocumentAR"/>
      </w:pPr>
      <w:r>
        <w:rPr>
          <w:rFonts w:hint="cs"/>
          <w:rtl/>
        </w:rPr>
        <w:t>[نهاية المرفق والوثيقة]</w:t>
      </w:r>
      <w:bookmarkStart w:id="2" w:name="_GoBack"/>
      <w:bookmarkEnd w:id="2"/>
    </w:p>
    <w:sectPr w:rsidR="00E97C06" w:rsidRPr="007F38D1" w:rsidSect="00E50D23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B8" w:rsidRDefault="00223AB8">
      <w:r>
        <w:separator/>
      </w:r>
    </w:p>
  </w:endnote>
  <w:endnote w:type="continuationSeparator" w:id="0">
    <w:p w:rsidR="00223AB8" w:rsidRDefault="0022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B8" w:rsidRDefault="00223AB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23AB8" w:rsidRDefault="00223AB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23" w:rsidRDefault="00033F15" w:rsidP="00D61541">
    <w:r>
      <w:fldChar w:fldCharType="begin"/>
    </w:r>
    <w:r>
      <w:instrText xml:space="preserve"> PAGE  \* MERGEFORMAT </w:instrText>
    </w:r>
    <w:r>
      <w:fldChar w:fldCharType="separate"/>
    </w:r>
    <w:r w:rsidR="00E9402E">
      <w:rPr>
        <w:noProof/>
      </w:rPr>
      <w:t>3</w:t>
    </w:r>
    <w:r>
      <w:fldChar w:fldCharType="end"/>
    </w:r>
  </w:p>
  <w:p w:rsidR="00E50D23" w:rsidRDefault="00E9402E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D23" w:rsidRDefault="00033F15" w:rsidP="00D61541">
    <w:pPr>
      <w:rPr>
        <w:rtl/>
      </w:rPr>
    </w:pPr>
    <w:r>
      <w:t>Annex</w:t>
    </w:r>
  </w:p>
  <w:p w:rsidR="00E50D23" w:rsidRDefault="00033F15" w:rsidP="00D61541">
    <w:r>
      <w:fldChar w:fldCharType="begin"/>
    </w:r>
    <w:r>
      <w:instrText xml:space="preserve"> PAGE  \* MERGEFORMAT </w:instrText>
    </w:r>
    <w:r>
      <w:fldChar w:fldCharType="separate"/>
    </w:r>
    <w:r w:rsidR="00E9402E">
      <w:rPr>
        <w:noProof/>
      </w:rPr>
      <w:t>2</w:t>
    </w:r>
    <w:r>
      <w:fldChar w:fldCharType="end"/>
    </w:r>
  </w:p>
  <w:p w:rsidR="00E50D23" w:rsidRDefault="00E9402E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67" w:rsidRDefault="00033F15" w:rsidP="00CF5567">
    <w:pPr>
      <w:pStyle w:val="Header"/>
    </w:pPr>
    <w:r>
      <w:t>ANNEX</w:t>
    </w:r>
  </w:p>
  <w:p w:rsidR="00CF5567" w:rsidRPr="00CF5567" w:rsidRDefault="00033F15" w:rsidP="00CF5567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CF5567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B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4BF3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3F15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CD2"/>
    <w:rsid w:val="000E16EB"/>
    <w:rsid w:val="000E221F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970E2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310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3AB8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1EC"/>
    <w:rsid w:val="002F4CE2"/>
    <w:rsid w:val="002F5F6A"/>
    <w:rsid w:val="002F60A4"/>
    <w:rsid w:val="002F6B0C"/>
    <w:rsid w:val="002F6DB7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3DAF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54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413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6841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3C6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6DD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576"/>
    <w:rsid w:val="00534AF0"/>
    <w:rsid w:val="00535060"/>
    <w:rsid w:val="00535738"/>
    <w:rsid w:val="00535FB6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5E1"/>
    <w:rsid w:val="005728C8"/>
    <w:rsid w:val="005733AD"/>
    <w:rsid w:val="0057381A"/>
    <w:rsid w:val="00573ABD"/>
    <w:rsid w:val="00573E6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472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60A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2EC1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A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9E0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1CA1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4C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38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B7F92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95D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13E4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211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6F2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8B5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135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1B02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06F6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2744"/>
    <w:rsid w:val="00DD47D5"/>
    <w:rsid w:val="00DD5F2E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9E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069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02E"/>
    <w:rsid w:val="00E94468"/>
    <w:rsid w:val="00E94A0E"/>
    <w:rsid w:val="00E96226"/>
    <w:rsid w:val="00E96DDE"/>
    <w:rsid w:val="00E97C06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3ED3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86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0E89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014BF3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014BF3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customStyle="1" w:styleId="HeaderChar">
    <w:name w:val="Header Char"/>
    <w:basedOn w:val="DefaultParagraphFont"/>
    <w:link w:val="Header"/>
    <w:uiPriority w:val="99"/>
    <w:rsid w:val="00014BF3"/>
    <w:rPr>
      <w:rFonts w:ascii="Arial" w:hAnsi="Arial" w:cs="Arial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014BF3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5</TotalTime>
  <Pages>5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WIPO/GRTKF/IC/33/-- (Arabic)</vt:lpstr>
    </vt:vector>
  </TitlesOfParts>
  <Company>World Intellectual Property Organization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WIPO/GRTKF/IC/33/-- (Arabic)</dc:title>
  <dc:creator>MERZOUK Fawzi</dc:creator>
  <cp:lastModifiedBy> </cp:lastModifiedBy>
  <cp:revision>6</cp:revision>
  <cp:lastPrinted>2017-03-06T17:43:00Z</cp:lastPrinted>
  <dcterms:created xsi:type="dcterms:W3CDTF">2017-03-06T17:38:00Z</dcterms:created>
  <dcterms:modified xsi:type="dcterms:W3CDTF">2017-03-06T17:43:00Z</dcterms:modified>
</cp:coreProperties>
</file>