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3F2770">
            <w:pPr>
              <w:pStyle w:val="DocumentCodeAR"/>
              <w:bidi/>
              <w:rPr>
                <w:rtl/>
              </w:rPr>
            </w:pPr>
            <w:r>
              <w:t>WIPO/GRTKF/IC/</w:t>
            </w:r>
            <w:r w:rsidR="00F55FB5">
              <w:t>3</w:t>
            </w:r>
            <w:r w:rsidR="006A5810">
              <w:t>3</w:t>
            </w:r>
            <w:r w:rsidR="0015593C">
              <w:t>/</w:t>
            </w:r>
            <w:r w:rsidR="003F2770">
              <w:t>6</w:t>
            </w:r>
          </w:p>
        </w:tc>
      </w:tr>
      <w:tr w:rsidR="001667B6" w:rsidTr="00BF164F">
        <w:tc>
          <w:tcPr>
            <w:tcW w:w="9571" w:type="dxa"/>
            <w:gridSpan w:val="3"/>
          </w:tcPr>
          <w:p w:rsidR="001667B6" w:rsidRPr="00B6101C" w:rsidRDefault="00B6101C" w:rsidP="003F2770">
            <w:pPr>
              <w:pStyle w:val="DocumentLanguageAR"/>
              <w:bidi/>
              <w:rPr>
                <w:rtl/>
              </w:rPr>
            </w:pPr>
            <w:r w:rsidRPr="00B6101C">
              <w:rPr>
                <w:rFonts w:hint="cs"/>
                <w:rtl/>
              </w:rPr>
              <w:t xml:space="preserve">الأصل: </w:t>
            </w:r>
            <w:r w:rsidR="003F2770">
              <w:rPr>
                <w:rFonts w:hint="cs"/>
                <w:rtl/>
              </w:rPr>
              <w:t>بالإنكليزية</w:t>
            </w:r>
          </w:p>
        </w:tc>
      </w:tr>
      <w:tr w:rsidR="001667B6" w:rsidTr="00BF164F">
        <w:tc>
          <w:tcPr>
            <w:tcW w:w="9571" w:type="dxa"/>
            <w:gridSpan w:val="3"/>
          </w:tcPr>
          <w:p w:rsidR="001667B6" w:rsidRPr="00B6101C" w:rsidRDefault="00B6101C" w:rsidP="003F2770">
            <w:pPr>
              <w:pStyle w:val="DocumentDateAR"/>
              <w:bidi/>
              <w:rPr>
                <w:rtl/>
              </w:rPr>
            </w:pPr>
            <w:r w:rsidRPr="00B6101C">
              <w:rPr>
                <w:rFonts w:hint="cs"/>
                <w:rtl/>
              </w:rPr>
              <w:t xml:space="preserve">التاريخ: </w:t>
            </w:r>
            <w:r w:rsidR="003F2770">
              <w:rPr>
                <w:rFonts w:hint="cs"/>
                <w:rtl/>
              </w:rPr>
              <w:t>20 فبراير</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55FB5">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F55FB5">
        <w:rPr>
          <w:rFonts w:ascii="Cambria Math" w:hAnsi="Cambria Math" w:hint="cs"/>
          <w:rtl/>
        </w:rPr>
        <w:t>الثالثة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F55FB5">
      <w:pPr>
        <w:pStyle w:val="MeetingDatesAR"/>
        <w:bidi/>
        <w:rPr>
          <w:rtl/>
        </w:rPr>
      </w:pPr>
      <w:r w:rsidRPr="0015593C">
        <w:rPr>
          <w:rtl/>
        </w:rPr>
        <w:t xml:space="preserve">جنيف، من </w:t>
      </w:r>
      <w:r w:rsidR="00F55FB5">
        <w:rPr>
          <w:rFonts w:hint="cs"/>
          <w:rtl/>
        </w:rPr>
        <w:t>27</w:t>
      </w:r>
      <w:r w:rsidRPr="0015593C">
        <w:rPr>
          <w:rtl/>
        </w:rPr>
        <w:t xml:space="preserve"> </w:t>
      </w:r>
      <w:r w:rsidR="00F55FB5">
        <w:rPr>
          <w:rFonts w:hint="cs"/>
          <w:rtl/>
        </w:rPr>
        <w:t xml:space="preserve">فبراير </w:t>
      </w:r>
      <w:r w:rsidRPr="0015593C">
        <w:rPr>
          <w:rtl/>
        </w:rPr>
        <w:t xml:space="preserve">إلى </w:t>
      </w:r>
      <w:r w:rsidR="00F55FB5">
        <w:rPr>
          <w:rFonts w:hint="cs"/>
          <w:rtl/>
        </w:rPr>
        <w:t>3</w:t>
      </w:r>
      <w:r w:rsidRPr="0015593C">
        <w:rPr>
          <w:rtl/>
        </w:rPr>
        <w:t xml:space="preserve"> </w:t>
      </w:r>
      <w:r w:rsidR="00F55FB5">
        <w:rPr>
          <w:rFonts w:hint="cs"/>
          <w:rtl/>
        </w:rPr>
        <w:t xml:space="preserve">مارس </w:t>
      </w:r>
      <w:r w:rsidRPr="0015593C">
        <w:rPr>
          <w:rtl/>
        </w:rPr>
        <w:t>201</w:t>
      </w:r>
      <w:r w:rsidR="00F55FB5">
        <w:rPr>
          <w:rFonts w:hint="cs"/>
          <w:rtl/>
        </w:rPr>
        <w:t>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3F2770" w:rsidRPr="00D61541" w:rsidRDefault="003F2770" w:rsidP="003F2770">
      <w:pPr>
        <w:pStyle w:val="DocumentTitleAR"/>
        <w:bidi/>
        <w:rPr>
          <w:rtl/>
        </w:rPr>
      </w:pPr>
      <w:r>
        <w:rPr>
          <w:rFonts w:hint="cs"/>
          <w:rtl/>
        </w:rPr>
        <w:t>اقتراح الاتحاد الأوروبي لإعداد دراسة</w:t>
      </w:r>
    </w:p>
    <w:p w:rsidR="003F2770" w:rsidRPr="00D61541" w:rsidRDefault="003F2770" w:rsidP="003F2770">
      <w:pPr>
        <w:pStyle w:val="PreparedbyAR"/>
        <w:bidi/>
        <w:rPr>
          <w:rtl/>
        </w:rPr>
      </w:pPr>
      <w:r>
        <w:rPr>
          <w:rFonts w:hint="cs"/>
          <w:rtl/>
        </w:rPr>
        <w:t>وثيقة قدمتها البعثة الدائمة للاتحاد الأوروبي في جنيف، باسم الاتحاد الأوروبي والدول الأعضاء فيه</w:t>
      </w:r>
    </w:p>
    <w:p w:rsidR="003F2770" w:rsidRDefault="003F2770" w:rsidP="003F2770">
      <w:pPr>
        <w:pStyle w:val="Heading2"/>
        <w:rPr>
          <w:rtl/>
        </w:rPr>
      </w:pPr>
      <w:r>
        <w:rPr>
          <w:rFonts w:hint="cs"/>
          <w:rtl/>
        </w:rPr>
        <w:t>مقدمة</w:t>
      </w:r>
    </w:p>
    <w:p w:rsidR="003F2770" w:rsidRDefault="003F2770" w:rsidP="003F2770">
      <w:pPr>
        <w:pStyle w:val="NumberedParaAR"/>
      </w:pPr>
      <w:r w:rsidRPr="003D793D">
        <w:rPr>
          <w:rtl/>
        </w:rPr>
        <w:t xml:space="preserve">في </w:t>
      </w:r>
      <w:r>
        <w:rPr>
          <w:rFonts w:hint="cs"/>
          <w:rtl/>
        </w:rPr>
        <w:t>20 فبراير 2017</w:t>
      </w:r>
      <w:r w:rsidRPr="003D793D">
        <w:rPr>
          <w:rtl/>
        </w:rPr>
        <w:t>، تلقى المكتب الدولي للمنظمة العالمية للملكية الفكرية (</w:t>
      </w:r>
      <w:proofErr w:type="spellStart"/>
      <w:r w:rsidRPr="003D793D">
        <w:rPr>
          <w:rtl/>
        </w:rPr>
        <w:t>الويبو</w:t>
      </w:r>
      <w:proofErr w:type="spellEnd"/>
      <w:r w:rsidRPr="003D793D">
        <w:rPr>
          <w:rtl/>
        </w:rPr>
        <w:t xml:space="preserve">) طلبا من </w:t>
      </w:r>
      <w:r>
        <w:rPr>
          <w:rFonts w:hint="cs"/>
          <w:rtl/>
        </w:rPr>
        <w:t xml:space="preserve">البعثة الدائمة للاتحاد الأوروبي لدى الأمم المتحدة وسائر المنظمات الدولية في جنيف، باسم الاتحاد الأوروبي والدول الأعضاء فيه، </w:t>
      </w:r>
      <w:r w:rsidRPr="003D793D">
        <w:rPr>
          <w:rtl/>
        </w:rPr>
        <w:t xml:space="preserve">التمست فيه أن </w:t>
      </w:r>
      <w:r>
        <w:rPr>
          <w:rFonts w:hint="cs"/>
          <w:rtl/>
        </w:rPr>
        <w:t>ت</w:t>
      </w:r>
      <w:r w:rsidRPr="003D793D">
        <w:rPr>
          <w:rtl/>
        </w:rPr>
        <w:t xml:space="preserve">قدّم </w:t>
      </w:r>
      <w:r>
        <w:rPr>
          <w:rFonts w:hint="cs"/>
          <w:rtl/>
        </w:rPr>
        <w:t>اقتراحاً بعنوان</w:t>
      </w:r>
      <w:r w:rsidRPr="003D793D">
        <w:rPr>
          <w:rtl/>
        </w:rPr>
        <w:t xml:space="preserve"> "</w:t>
      </w:r>
      <w:r>
        <w:rPr>
          <w:rFonts w:hint="cs"/>
          <w:rtl/>
        </w:rPr>
        <w:t xml:space="preserve">اقتراح الاتحاد الأوروبي لإعداد دراسة" إلى </w:t>
      </w:r>
      <w:r w:rsidRPr="003D793D">
        <w:rPr>
          <w:rtl/>
        </w:rPr>
        <w:t xml:space="preserve">الدورة </w:t>
      </w:r>
      <w:r>
        <w:rPr>
          <w:rFonts w:hint="cs"/>
          <w:rtl/>
        </w:rPr>
        <w:t xml:space="preserve">الثالثة </w:t>
      </w:r>
      <w:r w:rsidRPr="003D793D">
        <w:rPr>
          <w:rtl/>
        </w:rPr>
        <w:t>والثلاث</w:t>
      </w:r>
      <w:r>
        <w:rPr>
          <w:rFonts w:hint="cs"/>
          <w:rtl/>
        </w:rPr>
        <w:t>ي</w:t>
      </w:r>
      <w:r w:rsidRPr="003D793D">
        <w:rPr>
          <w:rtl/>
        </w:rPr>
        <w:t xml:space="preserve">ن للجنة الحكومية الدولية المعنية بالملكية الفكرية والموارد الوراثية والمعارف التقليدية والفولكلور (لجنة </w:t>
      </w:r>
      <w:r>
        <w:rPr>
          <w:rFonts w:hint="cs"/>
          <w:rtl/>
        </w:rPr>
        <w:t>المعارف</w:t>
      </w:r>
      <w:r w:rsidRPr="003D793D">
        <w:rPr>
          <w:rtl/>
        </w:rPr>
        <w:t>) كوثيقة عمل.</w:t>
      </w:r>
    </w:p>
    <w:p w:rsidR="003F2770" w:rsidRDefault="003F2770" w:rsidP="003F2770">
      <w:pPr>
        <w:pStyle w:val="NumberedParaAR"/>
      </w:pPr>
      <w:r w:rsidRPr="003D793D">
        <w:rPr>
          <w:rtl/>
        </w:rPr>
        <w:t>وبناء على الطلب المذكور أعلاه</w:t>
      </w:r>
      <w:r>
        <w:rPr>
          <w:rFonts w:hint="cs"/>
          <w:rtl/>
        </w:rPr>
        <w:t>،</w:t>
      </w:r>
      <w:r w:rsidRPr="003D793D">
        <w:rPr>
          <w:rtl/>
        </w:rPr>
        <w:t xml:space="preserve"> يحتوي مرفق هذه الوثيقة على</w:t>
      </w:r>
      <w:r>
        <w:rPr>
          <w:rFonts w:hint="cs"/>
          <w:rtl/>
        </w:rPr>
        <w:t xml:space="preserve"> </w:t>
      </w:r>
      <w:r w:rsidRPr="003D793D">
        <w:rPr>
          <w:rtl/>
        </w:rPr>
        <w:t>الاقتراح المشار إليه</w:t>
      </w:r>
      <w:r>
        <w:rPr>
          <w:rFonts w:hint="cs"/>
          <w:rtl/>
        </w:rPr>
        <w:t>، كما استُلم</w:t>
      </w:r>
      <w:r w:rsidRPr="003D793D">
        <w:rPr>
          <w:rtl/>
        </w:rPr>
        <w:t>.</w:t>
      </w:r>
    </w:p>
    <w:p w:rsidR="003F2770" w:rsidRDefault="003F2770" w:rsidP="003F2770">
      <w:pPr>
        <w:pStyle w:val="DecisionParaAR"/>
        <w:rPr>
          <w:rtl/>
        </w:rPr>
      </w:pPr>
      <w:r w:rsidRPr="003D793D">
        <w:rPr>
          <w:rtl/>
        </w:rPr>
        <w:t>إن اللجنة مدعوة إلى الإحاطة علما بالاقتراح الوارد في مرفق هذه الوثيقة والنظر فيه.</w:t>
      </w:r>
    </w:p>
    <w:p w:rsidR="00CF79DF" w:rsidRDefault="00CF79DF" w:rsidP="007F38D1">
      <w:pPr>
        <w:pStyle w:val="NormalParaAR"/>
        <w:rPr>
          <w:rtl/>
        </w:rPr>
      </w:pPr>
    </w:p>
    <w:p w:rsidR="00CF79DF" w:rsidRDefault="003F2770" w:rsidP="003F2770">
      <w:pPr>
        <w:pStyle w:val="EndofDocumentAR"/>
        <w:rPr>
          <w:rtl/>
          <w:lang w:bidi="ar-EG"/>
        </w:rPr>
      </w:pPr>
      <w:r>
        <w:rPr>
          <w:rFonts w:hint="cs"/>
          <w:rtl/>
        </w:rPr>
        <w:t>[يلي ذلك المرفق]</w:t>
      </w:r>
    </w:p>
    <w:p w:rsidR="004875C2" w:rsidRPr="004875C2" w:rsidRDefault="004875C2" w:rsidP="004875C2">
      <w:pPr>
        <w:pStyle w:val="NormalParaAR"/>
        <w:rPr>
          <w:rtl/>
          <w:lang w:bidi="ar-EG"/>
        </w:rPr>
      </w:pPr>
    </w:p>
    <w:p w:rsidR="003F2770" w:rsidRDefault="003F2770" w:rsidP="007F38D1">
      <w:pPr>
        <w:pStyle w:val="NormalParaAR"/>
        <w:rPr>
          <w:rtl/>
        </w:rPr>
        <w:sectPr w:rsidR="003F2770" w:rsidSect="00EB7752">
          <w:headerReference w:type="default" r:id="rId9"/>
          <w:pgSz w:w="11907" w:h="16840" w:code="9"/>
          <w:pgMar w:top="567" w:right="1418" w:bottom="1418" w:left="1134" w:header="510" w:footer="1021" w:gutter="0"/>
          <w:cols w:space="720"/>
          <w:titlePg/>
          <w:docGrid w:linePitch="299"/>
        </w:sectPr>
      </w:pPr>
    </w:p>
    <w:p w:rsidR="009F513E" w:rsidRDefault="009F513E" w:rsidP="007F38D1">
      <w:pPr>
        <w:pStyle w:val="NormalParaAR"/>
        <w:rPr>
          <w:rtl/>
        </w:rPr>
      </w:pPr>
    </w:p>
    <w:p w:rsidR="003F2770" w:rsidRPr="003F2770" w:rsidRDefault="003F2770" w:rsidP="003F2770">
      <w:pPr>
        <w:pStyle w:val="NormalParaAR"/>
        <w:jc w:val="center"/>
        <w:rPr>
          <w:b/>
          <w:bCs/>
          <w:rtl/>
        </w:rPr>
      </w:pPr>
      <w:r>
        <w:rPr>
          <w:rFonts w:hint="cs"/>
          <w:b/>
          <w:bCs/>
          <w:rtl/>
        </w:rPr>
        <w:t>اقتراح الاتحاد الأوروبي لإعداد دراسة</w:t>
      </w:r>
    </w:p>
    <w:p w:rsidR="003E5324" w:rsidRDefault="003E5324" w:rsidP="007F38D1">
      <w:pPr>
        <w:pStyle w:val="NormalParaAR"/>
        <w:rPr>
          <w:rtl/>
        </w:rPr>
      </w:pPr>
    </w:p>
    <w:p w:rsidR="003F2770" w:rsidRDefault="003F2770" w:rsidP="003F2770">
      <w:pPr>
        <w:pStyle w:val="NormalParaAR"/>
        <w:rPr>
          <w:rtl/>
        </w:rPr>
      </w:pPr>
      <w:r>
        <w:rPr>
          <w:rFonts w:hint="cs"/>
          <w:rtl/>
        </w:rPr>
        <w:t xml:space="preserve">أخذاً بالمنهج القائم على الأدلة المشار إليه في الفقرة (د) من ولاية 2016/2017 للجنة </w:t>
      </w:r>
      <w:proofErr w:type="spellStart"/>
      <w:r>
        <w:rPr>
          <w:rFonts w:hint="cs"/>
          <w:rtl/>
        </w:rPr>
        <w:t>الويبو</w:t>
      </w:r>
      <w:proofErr w:type="spellEnd"/>
      <w:r>
        <w:rPr>
          <w:rFonts w:hint="cs"/>
          <w:rtl/>
        </w:rPr>
        <w:t xml:space="preserve"> الحكومية الدولية المعنية بالملكية الفكرية والموارد الوراثية والمعارف التقليدية والفولكلور (لجنة المعارف)، وإقرارا بالتزام الدول الأعضاء في </w:t>
      </w:r>
      <w:proofErr w:type="spellStart"/>
      <w:r>
        <w:rPr>
          <w:rFonts w:hint="cs"/>
          <w:rtl/>
        </w:rPr>
        <w:t>الويبو</w:t>
      </w:r>
      <w:proofErr w:type="spellEnd"/>
      <w:r>
        <w:rPr>
          <w:rFonts w:hint="cs"/>
          <w:rtl/>
        </w:rPr>
        <w:t xml:space="preserve"> بتوصيات جدول أعمال التنمية، فإن لجنة المعارف تلتمس من الأمانة إعداد دراسة تجميعية للتجارب الوطنية والتشريعات والمبادرات المحلية فيما يتعلق بصون أشكال التعبير الثقافي التقليدي.</w:t>
      </w:r>
    </w:p>
    <w:p w:rsidR="005719AD" w:rsidRDefault="003F2770" w:rsidP="005719AD">
      <w:pPr>
        <w:pStyle w:val="NormalParaAR"/>
        <w:rPr>
          <w:rtl/>
        </w:rPr>
      </w:pPr>
      <w:r>
        <w:rPr>
          <w:rFonts w:hint="cs"/>
          <w:rtl/>
        </w:rPr>
        <w:t>وينبغي أن ت</w:t>
      </w:r>
      <w:r w:rsidR="005719AD">
        <w:rPr>
          <w:rFonts w:hint="cs"/>
          <w:rtl/>
        </w:rPr>
        <w:t xml:space="preserve">ركز الدراسة على التشريعات والمبادرات المعتمدة حديثا فيما يتعلق بأشكال التعبير الثقافي التقليدي عموما في الدول الأعضاء في </w:t>
      </w:r>
      <w:proofErr w:type="spellStart"/>
      <w:r w:rsidR="005719AD">
        <w:rPr>
          <w:rFonts w:hint="cs"/>
          <w:rtl/>
        </w:rPr>
        <w:t>الويبو</w:t>
      </w:r>
      <w:proofErr w:type="spellEnd"/>
      <w:r w:rsidR="005719AD">
        <w:rPr>
          <w:rFonts w:hint="cs"/>
          <w:rtl/>
        </w:rPr>
        <w:t>.</w:t>
      </w:r>
    </w:p>
    <w:p w:rsidR="005719AD" w:rsidRDefault="005719AD" w:rsidP="005021C7">
      <w:pPr>
        <w:pStyle w:val="NormalParaAR"/>
        <w:rPr>
          <w:rtl/>
        </w:rPr>
      </w:pPr>
      <w:r>
        <w:rPr>
          <w:rFonts w:hint="cs"/>
          <w:rtl/>
        </w:rPr>
        <w:t xml:space="preserve">ومن المقترح أن تستند الدراسة، قدر الإمكان، </w:t>
      </w:r>
      <w:r w:rsidR="005021C7">
        <w:rPr>
          <w:rFonts w:hint="cs"/>
          <w:rtl/>
        </w:rPr>
        <w:t>إ</w:t>
      </w:r>
      <w:r>
        <w:rPr>
          <w:rFonts w:hint="cs"/>
          <w:rtl/>
        </w:rPr>
        <w:t xml:space="preserve">لى المواد المتاحة والدراسات التي أعدّتها الأمانة. وينبغي أيضا </w:t>
      </w:r>
      <w:r w:rsidR="005021C7">
        <w:rPr>
          <w:rFonts w:hint="cs"/>
          <w:rtl/>
        </w:rPr>
        <w:t xml:space="preserve">أن </w:t>
      </w:r>
      <w:r>
        <w:rPr>
          <w:rFonts w:hint="cs"/>
          <w:rtl/>
        </w:rPr>
        <w:t xml:space="preserve">يشارك فيها كبير الاقتصاديين في </w:t>
      </w:r>
      <w:proofErr w:type="spellStart"/>
      <w:r>
        <w:rPr>
          <w:rFonts w:hint="cs"/>
          <w:rtl/>
        </w:rPr>
        <w:t>الويبو</w:t>
      </w:r>
      <w:proofErr w:type="spellEnd"/>
      <w:r>
        <w:rPr>
          <w:rFonts w:hint="cs"/>
          <w:rtl/>
        </w:rPr>
        <w:t>.</w:t>
      </w:r>
    </w:p>
    <w:p w:rsidR="005719AD" w:rsidRDefault="005719AD" w:rsidP="005719AD">
      <w:pPr>
        <w:pStyle w:val="NormalParaAR"/>
      </w:pPr>
      <w:r>
        <w:rPr>
          <w:rFonts w:hint="cs"/>
          <w:rtl/>
        </w:rPr>
        <w:t xml:space="preserve">ومن أجل الإسهام في </w:t>
      </w:r>
      <w:r w:rsidR="00215AB2">
        <w:rPr>
          <w:rFonts w:hint="cs"/>
          <w:rtl/>
        </w:rPr>
        <w:t>مناقشات اللجنة، ينبغي للدراسة</w:t>
      </w:r>
      <w:r>
        <w:rPr>
          <w:rFonts w:hint="cs"/>
          <w:rtl/>
        </w:rPr>
        <w:t>:</w:t>
      </w:r>
    </w:p>
    <w:p w:rsidR="00FD6977" w:rsidRDefault="00215AB2" w:rsidP="00215AB2">
      <w:pPr>
        <w:pStyle w:val="NormalParaAR"/>
        <w:numPr>
          <w:ilvl w:val="0"/>
          <w:numId w:val="21"/>
        </w:numPr>
        <w:spacing w:after="0"/>
        <w:ind w:left="851" w:hanging="284"/>
      </w:pPr>
      <w:r>
        <w:rPr>
          <w:rFonts w:hint="cs"/>
          <w:rtl/>
          <w:lang w:bidi="ar-EG"/>
        </w:rPr>
        <w:t>أن تحصر بطريقة موضوعية التشريعات المحلية والأنظمة الخاصة فيما يتعلق بصون أشكال التعبير الثقافي التقليدي وأن تسوق أمثلة ملموسة عن المواضيع المشمولة بها؛</w:t>
      </w:r>
    </w:p>
    <w:p w:rsidR="00215AB2" w:rsidRDefault="00215AB2" w:rsidP="00215AB2">
      <w:pPr>
        <w:pStyle w:val="NormalParaAR"/>
        <w:numPr>
          <w:ilvl w:val="0"/>
          <w:numId w:val="21"/>
        </w:numPr>
        <w:ind w:left="850" w:hanging="284"/>
        <w:rPr>
          <w:rtl/>
        </w:rPr>
      </w:pPr>
      <w:r>
        <w:rPr>
          <w:rFonts w:hint="cs"/>
          <w:rtl/>
        </w:rPr>
        <w:t>أن تراعي تنوّع التدابير التي يمكن اتخاذها.</w:t>
      </w:r>
    </w:p>
    <w:p w:rsidR="005719AD" w:rsidRPr="00215AB2" w:rsidRDefault="00215AB2" w:rsidP="00215AB2">
      <w:pPr>
        <w:pStyle w:val="NormalParaAR"/>
        <w:keepNext/>
        <w:rPr>
          <w:u w:val="single"/>
          <w:lang w:val="fr-CH"/>
        </w:rPr>
      </w:pPr>
      <w:r w:rsidRPr="00215AB2">
        <w:rPr>
          <w:rFonts w:hint="cs"/>
          <w:u w:val="single"/>
          <w:rtl/>
          <w:lang w:val="fr-CH"/>
        </w:rPr>
        <w:t>أنظمة حقوق الملكية الفكرية القائمة</w:t>
      </w:r>
    </w:p>
    <w:p w:rsidR="005719AD" w:rsidRDefault="00215AB2" w:rsidP="00215AB2">
      <w:pPr>
        <w:pStyle w:val="NormalParaAR"/>
        <w:rPr>
          <w:rtl/>
        </w:rPr>
      </w:pPr>
      <w:r>
        <w:rPr>
          <w:rFonts w:hint="cs"/>
          <w:rtl/>
        </w:rPr>
        <w:t xml:space="preserve">وكحدّ أدنى، ينبغي أن تحصر الدراسة تحديدا القوانين واللوائح والتدابير والإجراءات الوطنية بشأن الملكية الفكرية التي لها صلة بصون أشكال التعبير الثقافي التقليدي </w:t>
      </w:r>
      <w:r w:rsidR="00A75F99">
        <w:rPr>
          <w:rFonts w:hint="cs"/>
          <w:rtl/>
        </w:rPr>
        <w:t>على أساس ما يلي:</w:t>
      </w:r>
    </w:p>
    <w:p w:rsidR="00A75F99" w:rsidRDefault="00A75F99" w:rsidP="00A75F99">
      <w:pPr>
        <w:pStyle w:val="NormalParaAR"/>
        <w:numPr>
          <w:ilvl w:val="0"/>
          <w:numId w:val="21"/>
        </w:numPr>
        <w:spacing w:after="0"/>
        <w:ind w:left="851" w:hanging="284"/>
        <w:rPr>
          <w:lang w:bidi="ar-EG"/>
        </w:rPr>
      </w:pPr>
      <w:r>
        <w:rPr>
          <w:rFonts w:hint="cs"/>
          <w:rtl/>
          <w:lang w:bidi="ar-EG"/>
        </w:rPr>
        <w:t xml:space="preserve">هل تُستعمل أنظمة حقوق الملكية الفكرية القائمة </w:t>
      </w:r>
      <w:r>
        <w:rPr>
          <w:rtl/>
          <w:lang w:bidi="ar-EG"/>
        </w:rPr>
        <w:t>–</w:t>
      </w:r>
      <w:r>
        <w:rPr>
          <w:rFonts w:hint="cs"/>
          <w:rtl/>
          <w:lang w:bidi="ar-EG"/>
        </w:rPr>
        <w:t xml:space="preserve"> تشريعات العلامات التجارية والتصاميم وحق المؤلف والأسرار التجارية والمؤشرات الجغرافية </w:t>
      </w:r>
      <w:r>
        <w:rPr>
          <w:rtl/>
          <w:lang w:bidi="ar-EG"/>
        </w:rPr>
        <w:t>–</w:t>
      </w:r>
      <w:r>
        <w:rPr>
          <w:rFonts w:hint="cs"/>
          <w:rtl/>
          <w:lang w:bidi="ar-EG"/>
        </w:rPr>
        <w:t xml:space="preserve"> لصون أشكال التعبير الثقافي التقليدي؟</w:t>
      </w:r>
    </w:p>
    <w:p w:rsidR="00A75F99" w:rsidRDefault="00A75F99" w:rsidP="00A75F99">
      <w:pPr>
        <w:pStyle w:val="NormalParaAR"/>
        <w:numPr>
          <w:ilvl w:val="0"/>
          <w:numId w:val="21"/>
        </w:numPr>
        <w:spacing w:after="0"/>
        <w:ind w:left="851" w:hanging="284"/>
        <w:rPr>
          <w:rtl/>
          <w:lang w:bidi="ar-EG"/>
        </w:rPr>
      </w:pPr>
      <w:r>
        <w:rPr>
          <w:rFonts w:hint="cs"/>
          <w:rtl/>
          <w:lang w:bidi="ar-EG"/>
        </w:rPr>
        <w:t xml:space="preserve">كيف وضعت </w:t>
      </w:r>
      <w:r w:rsidR="004875C2">
        <w:rPr>
          <w:rFonts w:hint="cs"/>
          <w:rtl/>
          <w:lang w:bidi="ar-EG"/>
        </w:rPr>
        <w:t>ال</w:t>
      </w:r>
      <w:r>
        <w:rPr>
          <w:rFonts w:hint="cs"/>
          <w:rtl/>
          <w:lang w:bidi="ar-EG"/>
        </w:rPr>
        <w:t xml:space="preserve">تعاريف </w:t>
      </w:r>
      <w:r w:rsidR="004875C2">
        <w:rPr>
          <w:rFonts w:hint="cs"/>
          <w:rtl/>
          <w:lang w:bidi="ar-EG"/>
        </w:rPr>
        <w:t xml:space="preserve">الرئيسية </w:t>
      </w:r>
      <w:r w:rsidR="004875C2">
        <w:rPr>
          <w:rtl/>
          <w:lang w:bidi="ar-EG"/>
        </w:rPr>
        <w:t>–</w:t>
      </w:r>
      <w:r w:rsidR="004875C2">
        <w:rPr>
          <w:rFonts w:hint="cs"/>
          <w:rtl/>
          <w:lang w:bidi="ar-EG"/>
        </w:rPr>
        <w:t xml:space="preserve"> مثل الموضوع والنطاق والمستفيدون والاستثناءات والمدة؟</w:t>
      </w:r>
    </w:p>
    <w:p w:rsidR="00A75F99" w:rsidRDefault="004875C2" w:rsidP="004875C2">
      <w:pPr>
        <w:pStyle w:val="NormalParaAR"/>
        <w:numPr>
          <w:ilvl w:val="0"/>
          <w:numId w:val="21"/>
        </w:numPr>
        <w:ind w:left="850" w:hanging="284"/>
        <w:rPr>
          <w:rtl/>
        </w:rPr>
      </w:pPr>
      <w:r>
        <w:rPr>
          <w:rFonts w:hint="cs"/>
          <w:rtl/>
          <w:lang w:bidi="ar-EG"/>
        </w:rPr>
        <w:t>هل من أحكام محاكم و/أو ممارسات إدارية متاحة؟</w:t>
      </w:r>
    </w:p>
    <w:p w:rsidR="005719AD" w:rsidRDefault="004875C2" w:rsidP="005719AD">
      <w:pPr>
        <w:pStyle w:val="NormalParaAR"/>
        <w:rPr>
          <w:rtl/>
        </w:rPr>
      </w:pPr>
      <w:r>
        <w:rPr>
          <w:rFonts w:hint="cs"/>
          <w:rtl/>
        </w:rPr>
        <w:t>ومن الأسئلة المفيدة الأخرى:</w:t>
      </w:r>
    </w:p>
    <w:p w:rsidR="004875C2" w:rsidRDefault="004875C2" w:rsidP="00364948">
      <w:pPr>
        <w:pStyle w:val="NormalParaAR"/>
        <w:numPr>
          <w:ilvl w:val="0"/>
          <w:numId w:val="21"/>
        </w:numPr>
        <w:ind w:left="850" w:hanging="284"/>
        <w:rPr>
          <w:rtl/>
          <w:lang w:bidi="ar-EG"/>
        </w:rPr>
      </w:pPr>
      <w:r>
        <w:rPr>
          <w:rFonts w:hint="cs"/>
          <w:rtl/>
          <w:lang w:bidi="ar-EG"/>
        </w:rPr>
        <w:t>كيف يشجَّع استعمال أنظمة حقوق الملكية الفكرية القائمة؟ وهل استهدفت حملات التوعية جميع أصحاب ال</w:t>
      </w:r>
      <w:r w:rsidR="00364948">
        <w:rPr>
          <w:rFonts w:hint="cs"/>
          <w:rtl/>
          <w:lang w:bidi="ar-EG"/>
        </w:rPr>
        <w:t>مصلحة</w:t>
      </w:r>
      <w:r>
        <w:rPr>
          <w:rFonts w:hint="cs"/>
          <w:rtl/>
          <w:lang w:bidi="ar-EG"/>
        </w:rPr>
        <w:t xml:space="preserve"> (بمن فيهم الجماعات الأصلية والمحلية)؟</w:t>
      </w:r>
    </w:p>
    <w:p w:rsidR="00D34083" w:rsidRPr="00D34083" w:rsidRDefault="00D34083">
      <w:pPr>
        <w:rPr>
          <w:rFonts w:ascii="Arabic Typesetting" w:hAnsi="Arabic Typesetting" w:cs="Arabic Typesetting"/>
          <w:sz w:val="36"/>
          <w:szCs w:val="36"/>
          <w:rtl/>
          <w:lang w:val="fr-CH"/>
        </w:rPr>
      </w:pPr>
      <w:r w:rsidRPr="00D34083">
        <w:rPr>
          <w:rtl/>
          <w:lang w:val="fr-CH"/>
        </w:rPr>
        <w:br w:type="page"/>
      </w:r>
    </w:p>
    <w:p w:rsidR="004875C2" w:rsidRPr="004875C2" w:rsidRDefault="004875C2" w:rsidP="004875C2">
      <w:pPr>
        <w:pStyle w:val="NormalParaAR"/>
        <w:keepNext/>
        <w:rPr>
          <w:u w:val="single"/>
          <w:rtl/>
          <w:lang w:val="fr-CH"/>
        </w:rPr>
      </w:pPr>
      <w:r w:rsidRPr="004875C2">
        <w:rPr>
          <w:rFonts w:hint="cs"/>
          <w:u w:val="single"/>
          <w:rtl/>
          <w:lang w:val="fr-CH"/>
        </w:rPr>
        <w:lastRenderedPageBreak/>
        <w:t>أنظمة بديلة (حقوق الملكية الفكرية وغيرها)</w:t>
      </w:r>
    </w:p>
    <w:p w:rsidR="004875C2" w:rsidRDefault="00364948" w:rsidP="00364948">
      <w:pPr>
        <w:pStyle w:val="NormalParaAR"/>
        <w:rPr>
          <w:rtl/>
          <w:lang w:bidi="ar-EG"/>
        </w:rPr>
      </w:pPr>
      <w:r>
        <w:rPr>
          <w:rFonts w:hint="cs"/>
          <w:rtl/>
          <w:lang w:bidi="ar-EG"/>
        </w:rPr>
        <w:t>بالنسبة إلى القوانين والتدابير واللوائح والإجراءات الخاصة، ينبغي للدراسة كحدّ أدنى أن تحصر القوانين واللوائح والتدابير والإجراءات الوطنية بشأن الملكية الفكرية التي لها صلة بصون أشكال التعبير الثقافي التقليدي على أساس ما يلي:</w:t>
      </w:r>
    </w:p>
    <w:p w:rsidR="00364948" w:rsidRDefault="00364948" w:rsidP="00364948">
      <w:pPr>
        <w:pStyle w:val="NormalParaAR"/>
        <w:numPr>
          <w:ilvl w:val="0"/>
          <w:numId w:val="21"/>
        </w:numPr>
        <w:spacing w:after="0"/>
        <w:ind w:left="851" w:hanging="284"/>
        <w:rPr>
          <w:lang w:bidi="ar-EG"/>
        </w:rPr>
      </w:pPr>
      <w:r>
        <w:rPr>
          <w:rFonts w:hint="cs"/>
          <w:rtl/>
          <w:lang w:bidi="ar-EG"/>
        </w:rPr>
        <w:t xml:space="preserve">تحديد الأنظمة الخاصة السارية في الدول الأعضاء في </w:t>
      </w:r>
      <w:proofErr w:type="spellStart"/>
      <w:r>
        <w:rPr>
          <w:rFonts w:hint="cs"/>
          <w:rtl/>
          <w:lang w:bidi="ar-EG"/>
        </w:rPr>
        <w:t>الويبو</w:t>
      </w:r>
      <w:proofErr w:type="spellEnd"/>
      <w:r>
        <w:rPr>
          <w:rFonts w:hint="cs"/>
          <w:rtl/>
          <w:lang w:bidi="ar-EG"/>
        </w:rPr>
        <w:t xml:space="preserve"> فيما يتعلق بصون أشكال التعبير الثقافي التقليدي، مع تقديم ملخص لها؛</w:t>
      </w:r>
    </w:p>
    <w:p w:rsidR="00364948" w:rsidRDefault="00364948" w:rsidP="00364948">
      <w:pPr>
        <w:pStyle w:val="NormalParaAR"/>
        <w:numPr>
          <w:ilvl w:val="0"/>
          <w:numId w:val="21"/>
        </w:numPr>
        <w:spacing w:after="0"/>
        <w:ind w:left="851" w:hanging="284"/>
        <w:rPr>
          <w:lang w:bidi="ar-EG"/>
        </w:rPr>
      </w:pPr>
      <w:r>
        <w:rPr>
          <w:rFonts w:hint="cs"/>
          <w:rtl/>
          <w:lang w:bidi="ar-EG"/>
        </w:rPr>
        <w:t>كيف عُرِّفت أهداف السياسة العامة؟</w:t>
      </w:r>
    </w:p>
    <w:p w:rsidR="00364948" w:rsidRDefault="00364948" w:rsidP="00364948">
      <w:pPr>
        <w:pStyle w:val="NormalParaAR"/>
        <w:numPr>
          <w:ilvl w:val="0"/>
          <w:numId w:val="21"/>
        </w:numPr>
        <w:spacing w:after="0"/>
        <w:ind w:left="851" w:hanging="284"/>
        <w:rPr>
          <w:lang w:bidi="ar-EG"/>
        </w:rPr>
      </w:pPr>
      <w:r>
        <w:rPr>
          <w:rFonts w:hint="cs"/>
          <w:rtl/>
          <w:lang w:bidi="ar-EG"/>
        </w:rPr>
        <w:t>كيف وضعت التعاريف الرئيسية مثل الموضوع ومصطلح "التقليدي" والتملّك غير المشروع والنطاق والمدة والاستثناءات والمستفيدون؟</w:t>
      </w:r>
    </w:p>
    <w:p w:rsidR="00364948" w:rsidRDefault="00364948" w:rsidP="00364948">
      <w:pPr>
        <w:pStyle w:val="NormalParaAR"/>
        <w:numPr>
          <w:ilvl w:val="0"/>
          <w:numId w:val="21"/>
        </w:numPr>
        <w:spacing w:after="0"/>
        <w:ind w:left="851" w:hanging="284"/>
        <w:rPr>
          <w:lang w:bidi="ar-EG"/>
        </w:rPr>
      </w:pPr>
      <w:r>
        <w:rPr>
          <w:rFonts w:hint="cs"/>
          <w:rtl/>
          <w:lang w:bidi="ar-EG"/>
        </w:rPr>
        <w:t>في حال اعتماد منهج متعدّد الطبقات، كيف عُرِّفت مختلف المستويات وكيف يمكن التمييز فيما بينها؟</w:t>
      </w:r>
    </w:p>
    <w:p w:rsidR="00364948" w:rsidRDefault="00364948" w:rsidP="00364948">
      <w:pPr>
        <w:pStyle w:val="NormalParaAR"/>
        <w:numPr>
          <w:ilvl w:val="0"/>
          <w:numId w:val="21"/>
        </w:numPr>
        <w:spacing w:after="0"/>
        <w:ind w:left="851" w:hanging="284"/>
        <w:rPr>
          <w:rtl/>
          <w:lang w:bidi="ar-EG"/>
        </w:rPr>
      </w:pPr>
      <w:r>
        <w:rPr>
          <w:rFonts w:hint="cs"/>
          <w:rtl/>
          <w:lang w:bidi="ar-EG"/>
        </w:rPr>
        <w:t>كيف يُضمن اليقين القانوني لمختلف أصحاب المصلحة؟</w:t>
      </w:r>
    </w:p>
    <w:p w:rsidR="003F2770" w:rsidRDefault="00364948" w:rsidP="00364948">
      <w:pPr>
        <w:pStyle w:val="NormalParaAR"/>
        <w:numPr>
          <w:ilvl w:val="0"/>
          <w:numId w:val="21"/>
        </w:numPr>
        <w:ind w:left="850" w:hanging="284"/>
        <w:rPr>
          <w:rtl/>
          <w:lang w:bidi="ar-EG"/>
        </w:rPr>
      </w:pPr>
      <w:r>
        <w:rPr>
          <w:rFonts w:hint="cs"/>
          <w:rtl/>
          <w:lang w:bidi="ar-EG"/>
        </w:rPr>
        <w:t>هل من أحكام محاكم و/أو ممارسات إدارية متاحة؟</w:t>
      </w:r>
    </w:p>
    <w:p w:rsidR="00364948" w:rsidRDefault="00364948" w:rsidP="00364948">
      <w:pPr>
        <w:pStyle w:val="NormalParaAR"/>
        <w:keepNext/>
        <w:rPr>
          <w:rtl/>
        </w:rPr>
      </w:pPr>
      <w:r>
        <w:rPr>
          <w:rFonts w:hint="cs"/>
          <w:rtl/>
        </w:rPr>
        <w:t>أسئلة مفيدة أخرى:</w:t>
      </w:r>
    </w:p>
    <w:p w:rsidR="00364948" w:rsidRDefault="00364948" w:rsidP="00364948">
      <w:pPr>
        <w:pStyle w:val="NormalParaAR"/>
        <w:numPr>
          <w:ilvl w:val="0"/>
          <w:numId w:val="21"/>
        </w:numPr>
        <w:spacing w:after="0"/>
        <w:ind w:left="851" w:hanging="284"/>
        <w:rPr>
          <w:lang w:bidi="ar-EG"/>
        </w:rPr>
      </w:pPr>
      <w:r>
        <w:rPr>
          <w:rFonts w:hint="cs"/>
          <w:rtl/>
          <w:lang w:bidi="ar-EG"/>
        </w:rPr>
        <w:t>هل كان للصك (للصكوك) فائدة ب</w:t>
      </w:r>
      <w:r w:rsidR="005D3B4E">
        <w:rPr>
          <w:rFonts w:hint="cs"/>
          <w:rtl/>
          <w:lang w:bidi="ar-EG"/>
        </w:rPr>
        <w:t>النسبة إلى أهداف السياسة العامة؟</w:t>
      </w:r>
    </w:p>
    <w:p w:rsidR="00364948" w:rsidRDefault="005D3B4E" w:rsidP="00364948">
      <w:pPr>
        <w:pStyle w:val="NormalParaAR"/>
        <w:numPr>
          <w:ilvl w:val="0"/>
          <w:numId w:val="21"/>
        </w:numPr>
        <w:spacing w:after="0"/>
        <w:ind w:left="851" w:hanging="284"/>
        <w:rPr>
          <w:lang w:bidi="ar-EG"/>
        </w:rPr>
      </w:pPr>
      <w:r>
        <w:rPr>
          <w:rFonts w:hint="cs"/>
          <w:rtl/>
          <w:lang w:bidi="ar-EG"/>
        </w:rPr>
        <w:t xml:space="preserve">ما وقع الصك (الصكوك) اقتصاديا واجتماعيا </w:t>
      </w:r>
      <w:r w:rsidR="005021C7">
        <w:rPr>
          <w:rFonts w:hint="cs"/>
          <w:rtl/>
          <w:lang w:bidi="ar-EG"/>
        </w:rPr>
        <w:t>و</w:t>
      </w:r>
      <w:r>
        <w:rPr>
          <w:rFonts w:hint="cs"/>
          <w:rtl/>
          <w:lang w:bidi="ar-EG"/>
        </w:rPr>
        <w:t>ثقافيا على الجماعات الأصلية والمحلية؟</w:t>
      </w:r>
    </w:p>
    <w:p w:rsidR="00364948" w:rsidRDefault="00D34083" w:rsidP="00D34083">
      <w:pPr>
        <w:pStyle w:val="NormalParaAR"/>
        <w:numPr>
          <w:ilvl w:val="0"/>
          <w:numId w:val="21"/>
        </w:numPr>
        <w:spacing w:after="0"/>
        <w:ind w:left="851" w:hanging="284"/>
        <w:rPr>
          <w:lang w:bidi="ar-EG"/>
        </w:rPr>
      </w:pPr>
      <w:r>
        <w:rPr>
          <w:rFonts w:hint="cs"/>
          <w:rtl/>
          <w:lang w:bidi="ar-EG"/>
        </w:rPr>
        <w:t xml:space="preserve">ما وقع الصك (الصكوك) اقتصاديا واجتماعيا </w:t>
      </w:r>
      <w:r w:rsidR="005021C7">
        <w:rPr>
          <w:rFonts w:hint="cs"/>
          <w:rtl/>
          <w:lang w:bidi="ar-EG"/>
        </w:rPr>
        <w:t>و</w:t>
      </w:r>
      <w:r>
        <w:rPr>
          <w:rFonts w:hint="cs"/>
          <w:rtl/>
          <w:lang w:bidi="ar-EG"/>
        </w:rPr>
        <w:t>ثقافيا على المستخدمين والمنظمات الثقافية والمنظمات غير الربحية مثل المؤسسات التعليمية وعلى المجتمع</w:t>
      </w:r>
      <w:bookmarkStart w:id="2" w:name="_GoBack"/>
      <w:bookmarkEnd w:id="2"/>
      <w:r>
        <w:rPr>
          <w:rFonts w:hint="cs"/>
          <w:rtl/>
          <w:lang w:bidi="ar-EG"/>
        </w:rPr>
        <w:t xml:space="preserve"> عموماً؟</w:t>
      </w:r>
    </w:p>
    <w:p w:rsidR="00364948" w:rsidRDefault="00D34083" w:rsidP="005021C7">
      <w:pPr>
        <w:pStyle w:val="NormalParaAR"/>
        <w:numPr>
          <w:ilvl w:val="0"/>
          <w:numId w:val="21"/>
        </w:numPr>
        <w:spacing w:after="0"/>
        <w:ind w:left="851" w:hanging="284"/>
        <w:rPr>
          <w:lang w:bidi="ar-EG"/>
        </w:rPr>
      </w:pPr>
      <w:r>
        <w:rPr>
          <w:rFonts w:hint="cs"/>
          <w:rtl/>
          <w:lang w:bidi="ar-EG"/>
        </w:rPr>
        <w:t>هل من أم</w:t>
      </w:r>
      <w:r w:rsidR="005021C7">
        <w:rPr>
          <w:rFonts w:hint="cs"/>
          <w:rtl/>
          <w:lang w:bidi="ar-EG"/>
        </w:rPr>
        <w:t>ث</w:t>
      </w:r>
      <w:r>
        <w:rPr>
          <w:rFonts w:hint="cs"/>
          <w:rtl/>
          <w:lang w:bidi="ar-EG"/>
        </w:rPr>
        <w:t>لة على كيفية تطبيق المنهج الثلاثي المستويات؟</w:t>
      </w:r>
    </w:p>
    <w:p w:rsidR="00364948" w:rsidRDefault="00D34083" w:rsidP="00364948">
      <w:pPr>
        <w:pStyle w:val="NormalParaAR"/>
        <w:numPr>
          <w:ilvl w:val="0"/>
          <w:numId w:val="21"/>
        </w:numPr>
        <w:spacing w:after="0"/>
        <w:ind w:left="851" w:hanging="284"/>
        <w:rPr>
          <w:rtl/>
          <w:lang w:bidi="ar-EG"/>
        </w:rPr>
      </w:pPr>
      <w:r>
        <w:rPr>
          <w:rFonts w:hint="cs"/>
          <w:rtl/>
          <w:lang w:bidi="ar-EG"/>
        </w:rPr>
        <w:t>هل من تفاعل بين أنظمة حقوق الملكية الفكرية والأنظمة الخاصة بأشكال التعبير الثقافي التقليدي؟</w:t>
      </w:r>
    </w:p>
    <w:p w:rsidR="00364948" w:rsidRDefault="00D34083" w:rsidP="00364948">
      <w:pPr>
        <w:pStyle w:val="NormalParaAR"/>
        <w:numPr>
          <w:ilvl w:val="0"/>
          <w:numId w:val="21"/>
        </w:numPr>
        <w:ind w:left="850" w:hanging="284"/>
        <w:rPr>
          <w:rtl/>
          <w:lang w:bidi="ar-EG"/>
        </w:rPr>
      </w:pPr>
      <w:r>
        <w:rPr>
          <w:rFonts w:hint="cs"/>
          <w:rtl/>
          <w:lang w:bidi="ar-EG"/>
        </w:rPr>
        <w:t>كيف يصان الملك العام؟</w:t>
      </w:r>
    </w:p>
    <w:p w:rsidR="00364948" w:rsidRDefault="00364948" w:rsidP="007F38D1">
      <w:pPr>
        <w:pStyle w:val="NormalParaAR"/>
        <w:rPr>
          <w:rtl/>
        </w:rPr>
      </w:pPr>
    </w:p>
    <w:p w:rsidR="003F2770" w:rsidRDefault="00D34083" w:rsidP="00D34083">
      <w:pPr>
        <w:pStyle w:val="EndofDocumentAR"/>
      </w:pPr>
      <w:r>
        <w:rPr>
          <w:rFonts w:hint="cs"/>
          <w:rtl/>
        </w:rPr>
        <w:t>[نهاية المرفق والوثيقة]</w:t>
      </w:r>
    </w:p>
    <w:p w:rsidR="00DF7400" w:rsidRPr="007F38D1" w:rsidRDefault="00DF7400" w:rsidP="007F38D1">
      <w:pPr>
        <w:pStyle w:val="NormalParaAR"/>
      </w:pPr>
    </w:p>
    <w:sectPr w:rsidR="00DF7400" w:rsidRPr="007F38D1"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770" w:rsidRDefault="003F2770">
      <w:r>
        <w:separator/>
      </w:r>
    </w:p>
  </w:endnote>
  <w:endnote w:type="continuationSeparator" w:id="0">
    <w:p w:rsidR="003F2770" w:rsidRDefault="003F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770" w:rsidRDefault="003F2770" w:rsidP="009622BF">
      <w:pPr>
        <w:bidi/>
      </w:pPr>
      <w:bookmarkStart w:id="0" w:name="OLE_LINK1"/>
      <w:bookmarkStart w:id="1" w:name="OLE_LINK2"/>
      <w:r>
        <w:separator/>
      </w:r>
      <w:bookmarkEnd w:id="0"/>
      <w:bookmarkEnd w:id="1"/>
    </w:p>
  </w:footnote>
  <w:footnote w:type="continuationSeparator" w:id="0">
    <w:p w:rsidR="003F2770" w:rsidRDefault="003F277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3F2770">
    <w:r w:rsidRPr="0015593C">
      <w:t>WIPO/GRTKF/IC/</w:t>
    </w:r>
    <w:r w:rsidR="003E5324">
      <w:t>3</w:t>
    </w:r>
    <w:r w:rsidR="00F55FB5">
      <w:t>3</w:t>
    </w:r>
    <w:r w:rsidRPr="0015593C">
      <w:t>/--</w:t>
    </w:r>
  </w:p>
  <w:p w:rsidR="002F77FC" w:rsidRDefault="002F77FC" w:rsidP="003F2770">
    <w:r>
      <w:fldChar w:fldCharType="begin"/>
    </w:r>
    <w:r>
      <w:instrText xml:space="preserve"> PAGE  \* MERGEFORMAT </w:instrText>
    </w:r>
    <w:r>
      <w:fldChar w:fldCharType="separate"/>
    </w:r>
    <w:r w:rsidR="00097827">
      <w:rPr>
        <w:noProof/>
      </w:rPr>
      <w:t>3</w:t>
    </w:r>
    <w:r>
      <w:fldChar w:fldCharType="end"/>
    </w:r>
  </w:p>
  <w:p w:rsidR="002F77FC" w:rsidRDefault="002F77FC" w:rsidP="003F27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C2" w:rsidRDefault="004875C2" w:rsidP="004875C2">
    <w:r w:rsidRPr="0015593C">
      <w:t>WIPO/GRTKF/IC/</w:t>
    </w:r>
    <w:r>
      <w:t>33</w:t>
    </w:r>
    <w:r w:rsidRPr="0015593C">
      <w:t>/</w:t>
    </w:r>
    <w:r>
      <w:t>6</w:t>
    </w:r>
  </w:p>
  <w:p w:rsidR="004875C2" w:rsidRDefault="004875C2" w:rsidP="004875C2">
    <w:r>
      <w:t>Annex</w:t>
    </w:r>
  </w:p>
  <w:p w:rsidR="004875C2" w:rsidRDefault="004875C2" w:rsidP="004875C2">
    <w:r>
      <w:fldChar w:fldCharType="begin"/>
    </w:r>
    <w:r>
      <w:instrText xml:space="preserve"> PAGE  \* MERGEFORMAT </w:instrText>
    </w:r>
    <w:r>
      <w:fldChar w:fldCharType="separate"/>
    </w:r>
    <w:r w:rsidR="00097827">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70" w:rsidRDefault="003F2770" w:rsidP="003F2770">
    <w:r w:rsidRPr="0015593C">
      <w:t>WIPO/GRTKF/IC/</w:t>
    </w:r>
    <w:r>
      <w:t>33</w:t>
    </w:r>
    <w:r w:rsidRPr="0015593C">
      <w:t>/</w:t>
    </w:r>
    <w:r>
      <w:t>6</w:t>
    </w:r>
  </w:p>
  <w:p w:rsidR="003F2770" w:rsidRDefault="003F2770" w:rsidP="003F2770">
    <w:r>
      <w:t>ANNEX</w:t>
    </w:r>
  </w:p>
  <w:p w:rsidR="003F2770" w:rsidRPr="003F2770" w:rsidRDefault="003F2770" w:rsidP="003F2770">
    <w:pPr>
      <w:pStyle w:val="Header"/>
      <w:rPr>
        <w:rFonts w:ascii="Arabic Typesetting" w:hAnsi="Arabic Typesetting" w:cs="Arabic Typesetting"/>
        <w:sz w:val="36"/>
        <w:szCs w:val="36"/>
        <w:rtl/>
        <w:lang w:bidi="ar-EG"/>
      </w:rPr>
    </w:pPr>
    <w:r w:rsidRPr="003F2770">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1254A3"/>
    <w:multiLevelType w:val="hybridMultilevel"/>
    <w:tmpl w:val="0FA47004"/>
    <w:lvl w:ilvl="0" w:tplc="01B035E8">
      <w:start w:val="1"/>
      <w:numFmt w:val="bullet"/>
      <w:lvlText w:val=""/>
      <w:lvlJc w:val="left"/>
      <w:pPr>
        <w:ind w:left="720" w:hanging="360"/>
      </w:pPr>
      <w:rPr>
        <w:rFonts w:ascii="Symbol" w:hAnsi="Symbol" w:cs="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7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827"/>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AB2"/>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948"/>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2770"/>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5C2"/>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21C7"/>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9AD"/>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B4E"/>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B03"/>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F99"/>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083"/>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977"/>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GRTKF_IC_33_AR.dotx</Template>
  <TotalTime>46</TotalTime>
  <Pages>3</Pages>
  <Words>571</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WIPO/GRTKF/IC/33/-- (Arabic)</vt:lpstr>
    </vt:vector>
  </TitlesOfParts>
  <Company>World Intellectual Property Organization</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 (Arabic)</dc:title>
  <dc:creator>AHMIDOUCH Noureddine</dc:creator>
  <cp:lastModifiedBy>AHMIDOUCH Noureddine</cp:lastModifiedBy>
  <cp:revision>9</cp:revision>
  <cp:lastPrinted>2017-02-22T13:54:00Z</cp:lastPrinted>
  <dcterms:created xsi:type="dcterms:W3CDTF">2017-02-22T08:13:00Z</dcterms:created>
  <dcterms:modified xsi:type="dcterms:W3CDTF">2017-02-22T13:54:00Z</dcterms:modified>
</cp:coreProperties>
</file>