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DF7400">
            <w:pPr>
              <w:pStyle w:val="DocumentCodeAR"/>
              <w:bidi/>
              <w:rPr>
                <w:rtl/>
              </w:rPr>
            </w:pPr>
          </w:p>
        </w:tc>
      </w:tr>
      <w:tr w:rsidR="001667B6" w:rsidTr="00BF164F">
        <w:tc>
          <w:tcPr>
            <w:tcW w:w="9571" w:type="dxa"/>
            <w:gridSpan w:val="3"/>
          </w:tcPr>
          <w:p w:rsidR="001667B6" w:rsidRPr="00B6101C" w:rsidRDefault="00B6101C" w:rsidP="0084700C">
            <w:pPr>
              <w:pStyle w:val="DocumentLanguageAR"/>
              <w:bidi/>
              <w:rPr>
                <w:rtl/>
              </w:rPr>
            </w:pPr>
            <w:r w:rsidRPr="00B6101C">
              <w:rPr>
                <w:rFonts w:hint="cs"/>
                <w:rtl/>
              </w:rPr>
              <w:t xml:space="preserve">الأصل: </w:t>
            </w:r>
            <w:r w:rsidR="0084700C">
              <w:rPr>
                <w:rFonts w:hint="cs"/>
                <w:rtl/>
              </w:rPr>
              <w:t>بالإنكليزية</w:t>
            </w:r>
          </w:p>
        </w:tc>
      </w:tr>
      <w:tr w:rsidR="001667B6" w:rsidTr="00BF164F">
        <w:tc>
          <w:tcPr>
            <w:tcW w:w="9571" w:type="dxa"/>
            <w:gridSpan w:val="3"/>
          </w:tcPr>
          <w:p w:rsidR="001667B6" w:rsidRPr="00B6101C" w:rsidRDefault="00B6101C" w:rsidP="008672BC">
            <w:pPr>
              <w:pStyle w:val="DocumentDateAR"/>
              <w:bidi/>
              <w:rPr>
                <w:rtl/>
              </w:rPr>
            </w:pPr>
            <w:r w:rsidRPr="00B6101C">
              <w:rPr>
                <w:rFonts w:hint="cs"/>
                <w:rtl/>
              </w:rPr>
              <w:t xml:space="preserve">التاريخ: </w:t>
            </w:r>
            <w:r w:rsidR="008672BC">
              <w:rPr>
                <w:rFonts w:hint="cs"/>
                <w:rtl/>
              </w:rPr>
              <w:t>2</w:t>
            </w:r>
            <w:r w:rsidRPr="00B6101C">
              <w:rPr>
                <w:rFonts w:hint="cs"/>
                <w:rtl/>
              </w:rPr>
              <w:t xml:space="preserve"> </w:t>
            </w:r>
            <w:r w:rsidR="008672BC">
              <w:rPr>
                <w:rFonts w:hint="cs"/>
                <w:rtl/>
              </w:rPr>
              <w:t>ديسمبر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0344A">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0344A">
        <w:rPr>
          <w:rFonts w:ascii="Cambria Math" w:hAnsi="Cambria Math" w:hint="cs"/>
          <w:rtl/>
        </w:rPr>
        <w:t>الثانية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8E42D8">
      <w:pPr>
        <w:pStyle w:val="MeetingDatesAR"/>
        <w:bidi/>
        <w:rPr>
          <w:rtl/>
        </w:rPr>
      </w:pPr>
      <w:r w:rsidRPr="0015593C">
        <w:rPr>
          <w:rtl/>
        </w:rPr>
        <w:t xml:space="preserve">جنيف، من </w:t>
      </w:r>
      <w:r w:rsidR="008E42D8">
        <w:rPr>
          <w:rFonts w:hint="cs"/>
          <w:rtl/>
        </w:rPr>
        <w:t>28</w:t>
      </w:r>
      <w:r w:rsidRPr="0015593C">
        <w:rPr>
          <w:rtl/>
        </w:rPr>
        <w:t xml:space="preserve"> </w:t>
      </w:r>
      <w:r w:rsidR="008E42D8">
        <w:rPr>
          <w:rFonts w:hint="cs"/>
          <w:rtl/>
        </w:rPr>
        <w:t xml:space="preserve">نوفمبر </w:t>
      </w:r>
      <w:r w:rsidRPr="0015593C">
        <w:rPr>
          <w:rtl/>
        </w:rPr>
        <w:t xml:space="preserve">إلى </w:t>
      </w:r>
      <w:r w:rsidR="008E42D8">
        <w:rPr>
          <w:rFonts w:hint="cs"/>
          <w:rtl/>
        </w:rPr>
        <w:t>2</w:t>
      </w:r>
      <w:r w:rsidRPr="0015593C">
        <w:rPr>
          <w:rtl/>
        </w:rPr>
        <w:t xml:space="preserve"> </w:t>
      </w:r>
      <w:r w:rsidR="008E42D8">
        <w:rPr>
          <w:rFonts w:hint="cs"/>
          <w:rtl/>
        </w:rPr>
        <w:t>ديسمب</w:t>
      </w:r>
      <w:r w:rsidR="003E5324">
        <w:rPr>
          <w:rFonts w:hint="cs"/>
          <w:rtl/>
        </w:rPr>
        <w:t>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4700C" w:rsidP="0084700C">
      <w:pPr>
        <w:pStyle w:val="DocumentTitleAR"/>
        <w:bidi/>
        <w:rPr>
          <w:rtl/>
        </w:rPr>
      </w:pPr>
      <w:r w:rsidRPr="0084700C">
        <w:rPr>
          <w:rtl/>
        </w:rPr>
        <w:t xml:space="preserve">قرارات الدورة </w:t>
      </w:r>
      <w:r>
        <w:rPr>
          <w:rFonts w:hint="cs"/>
          <w:rtl/>
        </w:rPr>
        <w:t>الثانية</w:t>
      </w:r>
      <w:r w:rsidRPr="0084700C">
        <w:rPr>
          <w:rFonts w:hint="cs"/>
          <w:rtl/>
        </w:rPr>
        <w:t xml:space="preserve"> و</w:t>
      </w:r>
      <w:r w:rsidRPr="0084700C">
        <w:rPr>
          <w:rtl/>
        </w:rPr>
        <w:t>ال</w:t>
      </w:r>
      <w:r w:rsidRPr="0084700C">
        <w:rPr>
          <w:rFonts w:hint="cs"/>
          <w:rtl/>
        </w:rPr>
        <w:t>ثلاثين</w:t>
      </w:r>
      <w:r w:rsidRPr="0084700C">
        <w:rPr>
          <w:rtl/>
        </w:rPr>
        <w:t xml:space="preserve"> للجنة</w:t>
      </w:r>
    </w:p>
    <w:p w:rsidR="00D61541" w:rsidRPr="00D61541" w:rsidRDefault="009A50E0" w:rsidP="0084700C">
      <w:pPr>
        <w:pStyle w:val="PreparedbyAR"/>
        <w:bidi/>
        <w:rPr>
          <w:rtl/>
        </w:rPr>
      </w:pPr>
      <w:r>
        <w:rPr>
          <w:rFonts w:hint="cs"/>
          <w:rtl/>
        </w:rPr>
        <w:t>التي اعتمدتها اللجنة</w:t>
      </w:r>
    </w:p>
    <w:p w:rsidR="0084700C" w:rsidRDefault="0084700C">
      <w:pPr>
        <w:rPr>
          <w:rFonts w:ascii="Arabic Typesetting" w:hAnsi="Arabic Typesetting" w:cs="Arabic Typesetting"/>
          <w:sz w:val="36"/>
          <w:szCs w:val="36"/>
          <w:rtl/>
        </w:rPr>
      </w:pPr>
      <w:r>
        <w:rPr>
          <w:rtl/>
        </w:rPr>
        <w:br w:type="page"/>
      </w:r>
    </w:p>
    <w:p w:rsidR="0084700C" w:rsidRPr="008D6BC6" w:rsidRDefault="0084700C" w:rsidP="0084700C">
      <w:pPr>
        <w:pStyle w:val="NormalParaAR"/>
        <w:keepNext/>
        <w:rPr>
          <w:sz w:val="40"/>
          <w:szCs w:val="40"/>
          <w:rtl/>
        </w:rPr>
      </w:pPr>
      <w:r w:rsidRPr="008D6BC6">
        <w:rPr>
          <w:rFonts w:hint="cs"/>
          <w:sz w:val="40"/>
          <w:szCs w:val="40"/>
          <w:rtl/>
        </w:rPr>
        <w:lastRenderedPageBreak/>
        <w:t xml:space="preserve">قرار بشأن البند </w:t>
      </w:r>
      <w:r>
        <w:rPr>
          <w:rFonts w:hint="cs"/>
          <w:sz w:val="40"/>
          <w:szCs w:val="40"/>
          <w:rtl/>
        </w:rPr>
        <w:t>2</w:t>
      </w:r>
      <w:r w:rsidRPr="008D6BC6">
        <w:rPr>
          <w:rFonts w:hint="cs"/>
          <w:sz w:val="40"/>
          <w:szCs w:val="40"/>
          <w:rtl/>
        </w:rPr>
        <w:t xml:space="preserve"> من جدول الأعمال</w:t>
      </w:r>
      <w:r>
        <w:rPr>
          <w:rFonts w:hint="cs"/>
          <w:sz w:val="40"/>
          <w:szCs w:val="40"/>
          <w:rtl/>
        </w:rPr>
        <w:t>:</w:t>
      </w:r>
    </w:p>
    <w:p w:rsidR="0084700C" w:rsidRPr="008D6BC6" w:rsidRDefault="0084700C" w:rsidP="0084700C">
      <w:pPr>
        <w:pStyle w:val="NormalParaAR"/>
        <w:keepNext/>
        <w:rPr>
          <w:sz w:val="40"/>
          <w:szCs w:val="40"/>
          <w:rtl/>
        </w:rPr>
      </w:pPr>
      <w:r>
        <w:rPr>
          <w:rFonts w:hint="cs"/>
          <w:sz w:val="40"/>
          <w:szCs w:val="40"/>
          <w:rtl/>
        </w:rPr>
        <w:t>اعتماد جدول الأعمال</w:t>
      </w:r>
    </w:p>
    <w:p w:rsidR="0084700C" w:rsidRDefault="0084700C" w:rsidP="00DF093A">
      <w:pPr>
        <w:pStyle w:val="NormalParaAR"/>
        <w:rPr>
          <w:rtl/>
        </w:rPr>
      </w:pPr>
      <w:r w:rsidRPr="00477C91">
        <w:rPr>
          <w:rtl/>
        </w:rPr>
        <w:t>قدم الرئيس مشروع جدول الأعمال المُعمّم في الوثيقة</w:t>
      </w:r>
      <w:r w:rsidRPr="00477C91">
        <w:rPr>
          <w:rFonts w:hint="cs"/>
          <w:rtl/>
        </w:rPr>
        <w:t> </w:t>
      </w:r>
      <w:r w:rsidRPr="00477C91">
        <w:t>WIPO/GRTKF/IC/</w:t>
      </w:r>
      <w:r w:rsidR="00DF093A">
        <w:t>32</w:t>
      </w:r>
      <w:r w:rsidRPr="00477C91">
        <w:t xml:space="preserve">/1 Prov. </w:t>
      </w:r>
      <w:r w:rsidR="00DF093A">
        <w:t>2</w:t>
      </w:r>
      <w:r w:rsidRPr="00477C91">
        <w:t>.</w:t>
      </w:r>
      <w:r w:rsidRPr="00477C91">
        <w:rPr>
          <w:rFonts w:hint="cs"/>
          <w:rtl/>
        </w:rPr>
        <w:t xml:space="preserve"> </w:t>
      </w:r>
      <w:r w:rsidRPr="00477C91">
        <w:rPr>
          <w:rtl/>
        </w:rPr>
        <w:t>كي يُعتمد، وتم اعتماده</w:t>
      </w:r>
      <w:r w:rsidRPr="00477C91">
        <w:rPr>
          <w:rFonts w:hint="cs"/>
          <w:rtl/>
        </w:rPr>
        <w:t>.</w:t>
      </w:r>
    </w:p>
    <w:p w:rsidR="0084700C" w:rsidRPr="008D6BC6" w:rsidRDefault="0084700C" w:rsidP="0084700C">
      <w:pPr>
        <w:pStyle w:val="NormalParaAR"/>
        <w:keepNext/>
        <w:rPr>
          <w:sz w:val="40"/>
          <w:szCs w:val="40"/>
          <w:rtl/>
        </w:rPr>
      </w:pPr>
      <w:r w:rsidRPr="008D6BC6">
        <w:rPr>
          <w:rFonts w:hint="cs"/>
          <w:sz w:val="40"/>
          <w:szCs w:val="40"/>
          <w:rtl/>
        </w:rPr>
        <w:t xml:space="preserve">قرار بشأن البند </w:t>
      </w:r>
      <w:r>
        <w:rPr>
          <w:rFonts w:hint="cs"/>
          <w:sz w:val="40"/>
          <w:szCs w:val="40"/>
          <w:rtl/>
        </w:rPr>
        <w:t>3</w:t>
      </w:r>
      <w:r w:rsidRPr="008D6BC6">
        <w:rPr>
          <w:rFonts w:hint="cs"/>
          <w:sz w:val="40"/>
          <w:szCs w:val="40"/>
          <w:rtl/>
        </w:rPr>
        <w:t xml:space="preserve"> من جدول الأعمال</w:t>
      </w:r>
      <w:r>
        <w:rPr>
          <w:rFonts w:hint="cs"/>
          <w:sz w:val="40"/>
          <w:szCs w:val="40"/>
          <w:rtl/>
        </w:rPr>
        <w:t>:</w:t>
      </w:r>
    </w:p>
    <w:p w:rsidR="0084700C" w:rsidRPr="008D6BC6" w:rsidRDefault="0084700C" w:rsidP="0084700C">
      <w:pPr>
        <w:pStyle w:val="NormalParaAR"/>
        <w:keepNext/>
        <w:rPr>
          <w:sz w:val="40"/>
          <w:szCs w:val="40"/>
          <w:rtl/>
        </w:rPr>
      </w:pPr>
      <w:r>
        <w:rPr>
          <w:rFonts w:hint="cs"/>
          <w:sz w:val="40"/>
          <w:szCs w:val="40"/>
          <w:rtl/>
        </w:rPr>
        <w:t xml:space="preserve">اعتماد تقرير الدورة </w:t>
      </w:r>
      <w:r w:rsidR="00DF093A">
        <w:rPr>
          <w:rFonts w:hint="cs"/>
          <w:sz w:val="40"/>
          <w:szCs w:val="40"/>
          <w:rtl/>
        </w:rPr>
        <w:t>الحادية و</w:t>
      </w:r>
      <w:r>
        <w:rPr>
          <w:rFonts w:hint="cs"/>
          <w:sz w:val="40"/>
          <w:szCs w:val="40"/>
          <w:rtl/>
        </w:rPr>
        <w:t>الثلاثين</w:t>
      </w:r>
    </w:p>
    <w:p w:rsidR="0084700C" w:rsidRDefault="00DF093A" w:rsidP="00DF093A">
      <w:pPr>
        <w:pStyle w:val="NormalParaAR"/>
        <w:rPr>
          <w:rtl/>
        </w:rPr>
      </w:pPr>
      <w:r>
        <w:rPr>
          <w:rtl/>
        </w:rPr>
        <w:t xml:space="preserve">قدم الرئيس مشروع </w:t>
      </w:r>
      <w:r w:rsidR="0084700C" w:rsidRPr="00477C91">
        <w:rPr>
          <w:rtl/>
        </w:rPr>
        <w:t xml:space="preserve">تقرير </w:t>
      </w:r>
      <w:r>
        <w:rPr>
          <w:rFonts w:hint="cs"/>
          <w:rtl/>
        </w:rPr>
        <w:t>ا</w:t>
      </w:r>
      <w:r w:rsidR="0084700C" w:rsidRPr="00477C91">
        <w:rPr>
          <w:rtl/>
        </w:rPr>
        <w:t xml:space="preserve">لدورة </w:t>
      </w:r>
      <w:r>
        <w:rPr>
          <w:rFonts w:hint="cs"/>
          <w:rtl/>
        </w:rPr>
        <w:t xml:space="preserve">الحادية والثلاثين </w:t>
      </w:r>
      <w:r w:rsidR="0084700C" w:rsidRPr="00477C91">
        <w:rPr>
          <w:rtl/>
        </w:rPr>
        <w:t>للجنة (الوثيقة</w:t>
      </w:r>
      <w:r w:rsidR="0084700C" w:rsidRPr="00477C91">
        <w:rPr>
          <w:rFonts w:hint="cs"/>
          <w:rtl/>
        </w:rPr>
        <w:t> </w:t>
      </w:r>
      <w:r w:rsidR="0084700C" w:rsidRPr="00477C91">
        <w:t>WIPO/GRTKF/IC/</w:t>
      </w:r>
      <w:r>
        <w:t>31</w:t>
      </w:r>
      <w:r w:rsidR="0084700C" w:rsidRPr="00477C91">
        <w:t>/</w:t>
      </w:r>
      <w:r w:rsidR="0084700C">
        <w:t>10</w:t>
      </w:r>
      <w:r w:rsidR="0084700C" w:rsidRPr="00477C91">
        <w:t xml:space="preserve"> Prov. 2</w:t>
      </w:r>
      <w:r w:rsidR="0084700C" w:rsidRPr="00477C91">
        <w:rPr>
          <w:rtl/>
        </w:rPr>
        <w:t xml:space="preserve">) </w:t>
      </w:r>
      <w:r w:rsidR="0084700C" w:rsidRPr="008A5011">
        <w:rPr>
          <w:rtl/>
        </w:rPr>
        <w:t>كي يُعتمد</w:t>
      </w:r>
      <w:r w:rsidR="0084700C" w:rsidRPr="00477C91">
        <w:rPr>
          <w:rtl/>
        </w:rPr>
        <w:t>، وتم اعتماده.</w:t>
      </w:r>
    </w:p>
    <w:p w:rsidR="0084700C" w:rsidRPr="008D6BC6" w:rsidRDefault="0084700C" w:rsidP="0084700C">
      <w:pPr>
        <w:pStyle w:val="NormalParaAR"/>
        <w:keepNext/>
        <w:rPr>
          <w:sz w:val="40"/>
          <w:szCs w:val="40"/>
          <w:rtl/>
        </w:rPr>
      </w:pPr>
      <w:r w:rsidRPr="008D6BC6">
        <w:rPr>
          <w:rFonts w:hint="cs"/>
          <w:sz w:val="40"/>
          <w:szCs w:val="40"/>
          <w:rtl/>
        </w:rPr>
        <w:t xml:space="preserve">قرار بشأن البند </w:t>
      </w:r>
      <w:r>
        <w:rPr>
          <w:sz w:val="40"/>
          <w:szCs w:val="40"/>
        </w:rPr>
        <w:t>4</w:t>
      </w:r>
      <w:r w:rsidRPr="008D6BC6">
        <w:rPr>
          <w:rFonts w:hint="cs"/>
          <w:sz w:val="40"/>
          <w:szCs w:val="40"/>
          <w:rtl/>
        </w:rPr>
        <w:t xml:space="preserve"> من جدول الأعمال</w:t>
      </w:r>
      <w:r>
        <w:rPr>
          <w:rFonts w:hint="cs"/>
          <w:sz w:val="40"/>
          <w:szCs w:val="40"/>
          <w:rtl/>
        </w:rPr>
        <w:t>:</w:t>
      </w:r>
    </w:p>
    <w:p w:rsidR="0084700C" w:rsidRPr="008D6BC6" w:rsidRDefault="0084700C" w:rsidP="0084700C">
      <w:pPr>
        <w:pStyle w:val="NormalParaAR"/>
        <w:keepNext/>
        <w:rPr>
          <w:sz w:val="40"/>
          <w:szCs w:val="40"/>
          <w:rtl/>
        </w:rPr>
      </w:pPr>
      <w:r>
        <w:rPr>
          <w:rFonts w:hint="cs"/>
          <w:sz w:val="40"/>
          <w:szCs w:val="40"/>
          <w:rtl/>
        </w:rPr>
        <w:t>اعتماد بعض المنظمات</w:t>
      </w:r>
    </w:p>
    <w:p w:rsidR="0084700C" w:rsidRPr="00CC7A6C" w:rsidRDefault="0084700C" w:rsidP="00A321FA">
      <w:pPr>
        <w:pStyle w:val="NormalParaAR"/>
        <w:rPr>
          <w:rtl/>
        </w:rPr>
      </w:pPr>
      <w:r>
        <w:rPr>
          <w:rFonts w:hint="cs"/>
          <w:rtl/>
        </w:rPr>
        <w:t xml:space="preserve">وافقت اللجنة بالإجماع على اعتماد </w:t>
      </w:r>
      <w:r w:rsidR="00A321FA">
        <w:rPr>
          <w:rFonts w:hint="cs"/>
          <w:rtl/>
        </w:rPr>
        <w:t>ال</w:t>
      </w:r>
      <w:r>
        <w:rPr>
          <w:rFonts w:hint="cs"/>
          <w:rtl/>
        </w:rPr>
        <w:t xml:space="preserve">منظمات </w:t>
      </w:r>
      <w:r w:rsidR="00A321FA">
        <w:rPr>
          <w:rFonts w:hint="cs"/>
          <w:rtl/>
        </w:rPr>
        <w:t xml:space="preserve">الثلاث التي </w:t>
      </w:r>
      <w:r>
        <w:rPr>
          <w:rFonts w:hint="cs"/>
          <w:rtl/>
        </w:rPr>
        <w:t>ترد أسماؤها في مرفق الوثيقة</w:t>
      </w:r>
      <w:r>
        <w:rPr>
          <w:rFonts w:hint="eastAsia"/>
          <w:rtl/>
        </w:rPr>
        <w:t> </w:t>
      </w:r>
      <w:r w:rsidRPr="00B1674E">
        <w:t>WIPO/GRTKF/IC/</w:t>
      </w:r>
      <w:r w:rsidR="009530F3" w:rsidRPr="00B1674E">
        <w:t>32</w:t>
      </w:r>
      <w:r w:rsidRPr="00B1674E">
        <w:t>/2</w:t>
      </w:r>
      <w:r w:rsidRPr="00B1674E">
        <w:rPr>
          <w:rFonts w:hint="cs"/>
          <w:rtl/>
        </w:rPr>
        <w:t xml:space="preserve"> بصفة مراقب مؤقت، وهي كالتالي: </w:t>
      </w:r>
      <w:r w:rsidR="00B1674E" w:rsidRPr="00B1674E">
        <w:rPr>
          <w:rtl/>
        </w:rPr>
        <w:t xml:space="preserve">جمعية الثقافة والعلوم في </w:t>
      </w:r>
      <w:r w:rsidR="00B1674E" w:rsidRPr="00B1674E">
        <w:rPr>
          <w:rFonts w:hint="cs"/>
          <w:rtl/>
        </w:rPr>
        <w:t>خنشلة</w:t>
      </w:r>
      <w:r w:rsidR="00B1674E" w:rsidRPr="00B1674E">
        <w:rPr>
          <w:rtl/>
        </w:rPr>
        <w:t xml:space="preserve"> (</w:t>
      </w:r>
      <w:r w:rsidR="00B1674E" w:rsidRPr="00B1674E">
        <w:t>ACSK</w:t>
      </w:r>
      <w:r w:rsidR="00B1674E" w:rsidRPr="00B1674E">
        <w:rPr>
          <w:rtl/>
        </w:rPr>
        <w:t>)</w:t>
      </w:r>
      <w:r w:rsidRPr="00B1674E">
        <w:rPr>
          <w:rFonts w:hint="cs"/>
          <w:rtl/>
        </w:rPr>
        <w:t xml:space="preserve">؛ </w:t>
      </w:r>
      <w:r w:rsidR="00B1674E">
        <w:rPr>
          <w:rFonts w:hint="cs"/>
          <w:rtl/>
        </w:rPr>
        <w:t>و</w:t>
      </w:r>
      <w:r w:rsidR="00B1674E" w:rsidRPr="00B1674E">
        <w:rPr>
          <w:rtl/>
        </w:rPr>
        <w:t>جمعية النهوض بنساء الشعوب الأصلية في</w:t>
      </w:r>
      <w:r w:rsidR="00B1674E">
        <w:rPr>
          <w:rFonts w:hint="cs"/>
          <w:rtl/>
        </w:rPr>
        <w:t> </w:t>
      </w:r>
      <w:r w:rsidR="00B1674E" w:rsidRPr="00B1674E">
        <w:rPr>
          <w:rtl/>
        </w:rPr>
        <w:t>الكونغو (</w:t>
      </w:r>
      <w:r w:rsidR="00B1674E" w:rsidRPr="00B1674E">
        <w:t>ADFAC</w:t>
      </w:r>
      <w:r w:rsidR="00B1674E" w:rsidRPr="00B1674E">
        <w:rPr>
          <w:rtl/>
        </w:rPr>
        <w:t>)</w:t>
      </w:r>
      <w:r w:rsidR="00B1674E">
        <w:rPr>
          <w:rFonts w:hint="cs"/>
          <w:rtl/>
        </w:rPr>
        <w:t>؛ و</w:t>
      </w:r>
      <w:r w:rsidR="00B1674E" w:rsidRPr="00B1674E">
        <w:rPr>
          <w:rtl/>
        </w:rPr>
        <w:t xml:space="preserve"> الرابطة العالمية للشعوب الأصلية (</w:t>
      </w:r>
      <w:r w:rsidR="00B1674E" w:rsidRPr="00B1674E">
        <w:t>IWA</w:t>
      </w:r>
      <w:r w:rsidR="00B1674E" w:rsidRPr="00B1674E">
        <w:rPr>
          <w:rtl/>
        </w:rPr>
        <w:t>)</w:t>
      </w:r>
      <w:r w:rsidR="00B1674E">
        <w:rPr>
          <w:rFonts w:hint="cs"/>
          <w:rtl/>
        </w:rPr>
        <w:t>.</w:t>
      </w:r>
    </w:p>
    <w:p w:rsidR="00C07EC4" w:rsidRDefault="00C07EC4" w:rsidP="00C07EC4">
      <w:pPr>
        <w:pStyle w:val="NormalParaAR"/>
        <w:keepNext/>
        <w:rPr>
          <w:sz w:val="40"/>
          <w:szCs w:val="40"/>
          <w:rtl/>
        </w:rPr>
      </w:pPr>
      <w:r w:rsidRPr="008D6BC6">
        <w:rPr>
          <w:rFonts w:hint="cs"/>
          <w:sz w:val="40"/>
          <w:szCs w:val="40"/>
          <w:rtl/>
        </w:rPr>
        <w:t xml:space="preserve">قرار بشأن البند </w:t>
      </w:r>
      <w:r>
        <w:rPr>
          <w:rFonts w:hint="cs"/>
          <w:sz w:val="40"/>
          <w:szCs w:val="40"/>
          <w:rtl/>
        </w:rPr>
        <w:t>5</w:t>
      </w:r>
      <w:r w:rsidRPr="008D6BC6">
        <w:rPr>
          <w:rFonts w:hint="cs"/>
          <w:sz w:val="40"/>
          <w:szCs w:val="40"/>
          <w:rtl/>
        </w:rPr>
        <w:t xml:space="preserve"> من جدول الأعمال</w:t>
      </w:r>
      <w:r>
        <w:rPr>
          <w:rFonts w:hint="cs"/>
          <w:sz w:val="40"/>
          <w:szCs w:val="40"/>
          <w:rtl/>
        </w:rPr>
        <w:t>:</w:t>
      </w:r>
    </w:p>
    <w:p w:rsidR="00C07EC4" w:rsidRPr="00C07EC4" w:rsidRDefault="00C07EC4" w:rsidP="00C07EC4">
      <w:pPr>
        <w:pStyle w:val="NormalParaAR"/>
        <w:keepNext/>
        <w:rPr>
          <w:sz w:val="40"/>
          <w:szCs w:val="40"/>
          <w:rtl/>
        </w:rPr>
      </w:pPr>
      <w:r w:rsidRPr="00C07EC4">
        <w:rPr>
          <w:rFonts w:hint="cs"/>
          <w:sz w:val="40"/>
          <w:szCs w:val="40"/>
          <w:rtl/>
        </w:rPr>
        <w:t xml:space="preserve">تقرير عن </w:t>
      </w:r>
      <w:r w:rsidRPr="00C07EC4">
        <w:rPr>
          <w:rFonts w:hint="cs"/>
          <w:i/>
          <w:iCs/>
          <w:sz w:val="40"/>
          <w:szCs w:val="40"/>
          <w:rtl/>
        </w:rPr>
        <w:t xml:space="preserve">ندوة الملكية الفكرية </w:t>
      </w:r>
      <w:r w:rsidRPr="00C07EC4">
        <w:rPr>
          <w:rFonts w:hint="cs"/>
          <w:i/>
          <w:iCs/>
          <w:sz w:val="40"/>
          <w:szCs w:val="40"/>
          <w:rtl/>
          <w:lang w:bidi="ar-EG"/>
        </w:rPr>
        <w:t xml:space="preserve">والمعارف التقليدية </w:t>
      </w:r>
      <w:r w:rsidRPr="00C07EC4">
        <w:rPr>
          <w:rFonts w:hint="cs"/>
          <w:sz w:val="40"/>
          <w:szCs w:val="40"/>
          <w:rtl/>
        </w:rPr>
        <w:t>(24 و25 نوفمبر 2016)</w:t>
      </w:r>
    </w:p>
    <w:p w:rsidR="00C07EC4" w:rsidRDefault="00C07EC4" w:rsidP="009A2034">
      <w:pPr>
        <w:pStyle w:val="NormalParaAR"/>
        <w:rPr>
          <w:rtl/>
        </w:rPr>
      </w:pPr>
      <w:r>
        <w:rPr>
          <w:rFonts w:hint="cs"/>
          <w:rtl/>
        </w:rPr>
        <w:t xml:space="preserve">أحاطت اللجنة علما بالتقارير الشفهية التي قدمها المقرّرون التالية أسماؤهم: السيد رينالد </w:t>
      </w:r>
      <w:proofErr w:type="spellStart"/>
      <w:r>
        <w:rPr>
          <w:rFonts w:hint="cs"/>
          <w:rtl/>
        </w:rPr>
        <w:t>فيار</w:t>
      </w:r>
      <w:proofErr w:type="spellEnd"/>
      <w:r>
        <w:rPr>
          <w:rFonts w:hint="cs"/>
          <w:rtl/>
        </w:rPr>
        <w:t xml:space="preserve">، مستشار، البعثة الدائمة </w:t>
      </w:r>
      <w:r w:rsidR="009A2034">
        <w:rPr>
          <w:rFonts w:hint="cs"/>
          <w:rtl/>
        </w:rPr>
        <w:t>لسويسرا لدى مكتب الأمم المتحدة وسائر المنظمات الدولية في جنيف؛ والسيد فيصل علاق، سكرتير أول، البعثة الدائمة للجمهورية الجزائرية الديمقراطية الشعبية لدى مكتب الأمم المتحدة في جنيف وسائر المنظمات الدولية في سويسرا؛ والسيدة</w:t>
      </w:r>
      <w:r w:rsidR="009A2034">
        <w:rPr>
          <w:rFonts w:hint="eastAsia"/>
          <w:rtl/>
        </w:rPr>
        <w:t> </w:t>
      </w:r>
      <w:r w:rsidR="009A2034">
        <w:rPr>
          <w:rFonts w:hint="cs"/>
          <w:rtl/>
        </w:rPr>
        <w:t xml:space="preserve">أوزانا </w:t>
      </w:r>
      <w:proofErr w:type="spellStart"/>
      <w:r w:rsidR="009A2034">
        <w:rPr>
          <w:rFonts w:hint="cs"/>
          <w:rtl/>
        </w:rPr>
        <w:t>بيراناندا</w:t>
      </w:r>
      <w:proofErr w:type="spellEnd"/>
      <w:r w:rsidR="009A2034">
        <w:rPr>
          <w:rFonts w:hint="cs"/>
          <w:rtl/>
        </w:rPr>
        <w:t xml:space="preserve">، وزيرة ونائبة الممثل الدائم، البعثة الدائمة لتايلند لدى منظمة التجارة العالمية؛ والسيدة ماريا ديل </w:t>
      </w:r>
      <w:proofErr w:type="spellStart"/>
      <w:r w:rsidR="009A2034">
        <w:rPr>
          <w:rFonts w:hint="cs"/>
          <w:rtl/>
        </w:rPr>
        <w:t>بيلار</w:t>
      </w:r>
      <w:proofErr w:type="spellEnd"/>
      <w:r w:rsidR="009A2034">
        <w:rPr>
          <w:rFonts w:hint="cs"/>
          <w:rtl/>
        </w:rPr>
        <w:t xml:space="preserve"> </w:t>
      </w:r>
      <w:proofErr w:type="spellStart"/>
      <w:r w:rsidR="009A2034">
        <w:rPr>
          <w:rFonts w:hint="cs"/>
          <w:rtl/>
        </w:rPr>
        <w:t>إسكوبار</w:t>
      </w:r>
      <w:proofErr w:type="spellEnd"/>
      <w:r w:rsidR="009A2034">
        <w:rPr>
          <w:rFonts w:hint="cs"/>
          <w:rtl/>
        </w:rPr>
        <w:t xml:space="preserve"> </w:t>
      </w:r>
      <w:proofErr w:type="spellStart"/>
      <w:r w:rsidR="009A2034">
        <w:rPr>
          <w:rFonts w:hint="cs"/>
          <w:rtl/>
        </w:rPr>
        <w:t>باوتيستا</w:t>
      </w:r>
      <w:proofErr w:type="spellEnd"/>
      <w:r w:rsidR="009A2034">
        <w:rPr>
          <w:rFonts w:hint="cs"/>
          <w:rtl/>
        </w:rPr>
        <w:t>، مستشارة، البعثة الدائمة للمكسيك لدى مكتب الأمم المتحدة وسائر المنظمات الدولية في جنيف.</w:t>
      </w:r>
    </w:p>
    <w:p w:rsidR="009A2034" w:rsidRPr="00C07EC4" w:rsidRDefault="00912387" w:rsidP="00912387">
      <w:pPr>
        <w:pStyle w:val="NormalParaAR"/>
        <w:rPr>
          <w:rtl/>
        </w:rPr>
      </w:pPr>
      <w:r>
        <w:rPr>
          <w:rFonts w:hint="cs"/>
          <w:rtl/>
        </w:rPr>
        <w:t xml:space="preserve">وأحاطت اللجنة علما كذلك بالوثيقة </w:t>
      </w:r>
      <w:r w:rsidRPr="00912387">
        <w:t>WIPO/GRTKF/IC/32/INF/9</w:t>
      </w:r>
      <w:r>
        <w:rPr>
          <w:rFonts w:hint="cs"/>
          <w:rtl/>
        </w:rPr>
        <w:t>.</w:t>
      </w:r>
    </w:p>
    <w:p w:rsidR="0084700C" w:rsidRPr="00355402" w:rsidRDefault="0084700C" w:rsidP="00C07EC4">
      <w:pPr>
        <w:pStyle w:val="NormalParaAR"/>
        <w:keepNext/>
        <w:rPr>
          <w:sz w:val="40"/>
          <w:szCs w:val="40"/>
          <w:rtl/>
        </w:rPr>
      </w:pPr>
      <w:r w:rsidRPr="00355402">
        <w:rPr>
          <w:rFonts w:hint="cs"/>
          <w:sz w:val="40"/>
          <w:szCs w:val="40"/>
          <w:rtl/>
        </w:rPr>
        <w:t xml:space="preserve">قرار بشأن البند </w:t>
      </w:r>
      <w:r w:rsidR="00C07EC4" w:rsidRPr="00355402">
        <w:rPr>
          <w:rFonts w:hint="cs"/>
          <w:sz w:val="40"/>
          <w:szCs w:val="40"/>
          <w:rtl/>
        </w:rPr>
        <w:t>6</w:t>
      </w:r>
      <w:r w:rsidRPr="00355402">
        <w:rPr>
          <w:rFonts w:hint="cs"/>
          <w:sz w:val="40"/>
          <w:szCs w:val="40"/>
          <w:rtl/>
        </w:rPr>
        <w:t xml:space="preserve"> من جدول الأعمال:</w:t>
      </w:r>
    </w:p>
    <w:p w:rsidR="0084700C" w:rsidRPr="008D6BC6" w:rsidRDefault="0084700C" w:rsidP="0084700C">
      <w:pPr>
        <w:pStyle w:val="NormalParaAR"/>
        <w:keepNext/>
        <w:rPr>
          <w:sz w:val="40"/>
          <w:szCs w:val="40"/>
          <w:rtl/>
        </w:rPr>
      </w:pPr>
      <w:r w:rsidRPr="00355402">
        <w:rPr>
          <w:rFonts w:hint="cs"/>
          <w:sz w:val="40"/>
          <w:szCs w:val="40"/>
          <w:rtl/>
        </w:rPr>
        <w:t>مشاركة الجماعات الأصلية والمحلية</w:t>
      </w:r>
    </w:p>
    <w:p w:rsidR="0084700C" w:rsidRDefault="0084700C" w:rsidP="00355402">
      <w:pPr>
        <w:pStyle w:val="NormalParaAR"/>
        <w:rPr>
          <w:rtl/>
        </w:rPr>
      </w:pPr>
      <w:r>
        <w:rPr>
          <w:rFonts w:hint="cs"/>
          <w:rtl/>
        </w:rPr>
        <w:t xml:space="preserve">أحاطت اللجنة علما بالوثائق </w:t>
      </w:r>
      <w:r w:rsidRPr="005665FB">
        <w:t>WIPO/GRTKF/IC/</w:t>
      </w:r>
      <w:r w:rsidR="00355402">
        <w:t>32</w:t>
      </w:r>
      <w:r w:rsidRPr="005665FB">
        <w:t>/3</w:t>
      </w:r>
      <w:r>
        <w:rPr>
          <w:rFonts w:hint="cs"/>
          <w:rtl/>
        </w:rPr>
        <w:t xml:space="preserve"> و</w:t>
      </w:r>
      <w:r w:rsidRPr="005665FB">
        <w:t>WIPO/GRTKF/IC/</w:t>
      </w:r>
      <w:r w:rsidR="00355402">
        <w:t>32</w:t>
      </w:r>
      <w:r w:rsidRPr="005665FB">
        <w:t>/INF/4</w:t>
      </w:r>
      <w:r>
        <w:rPr>
          <w:rFonts w:hint="cs"/>
          <w:rtl/>
        </w:rPr>
        <w:t xml:space="preserve"> و</w:t>
      </w:r>
      <w:r w:rsidRPr="005665FB">
        <w:t>WIPO/GRTKF/IC/</w:t>
      </w:r>
      <w:r w:rsidR="00355402">
        <w:t>32</w:t>
      </w:r>
      <w:r w:rsidRPr="005665FB">
        <w:t>/INF/6</w:t>
      </w:r>
      <w:r>
        <w:rPr>
          <w:rFonts w:hint="cs"/>
          <w:rtl/>
        </w:rPr>
        <w:t>.</w:t>
      </w:r>
    </w:p>
    <w:p w:rsidR="00D950F0" w:rsidRDefault="0084700C" w:rsidP="0084700C">
      <w:pPr>
        <w:pStyle w:val="NormalParaAR"/>
        <w:rPr>
          <w:rtl/>
        </w:rPr>
      </w:pPr>
      <w:r w:rsidRPr="005F3CEE">
        <w:rPr>
          <w:rtl/>
        </w:rPr>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D950F0" w:rsidRDefault="00D950F0">
      <w:pPr>
        <w:rPr>
          <w:rFonts w:ascii="Arabic Typesetting" w:hAnsi="Arabic Typesetting" w:cs="Arabic Typesetting"/>
          <w:sz w:val="36"/>
          <w:szCs w:val="36"/>
          <w:rtl/>
        </w:rPr>
      </w:pPr>
      <w:r>
        <w:rPr>
          <w:rtl/>
        </w:rPr>
        <w:br w:type="page"/>
      </w:r>
    </w:p>
    <w:p w:rsidR="0084700C" w:rsidRDefault="0084700C" w:rsidP="008B0D74">
      <w:pPr>
        <w:pStyle w:val="NormalParaAR"/>
        <w:rPr>
          <w:rtl/>
        </w:rPr>
      </w:pPr>
      <w:r w:rsidRPr="007B23CC">
        <w:rPr>
          <w:rtl/>
        </w:rPr>
        <w:t xml:space="preserve">واقترح الرئيس انتخاب الأعضاء </w:t>
      </w:r>
      <w:r>
        <w:rPr>
          <w:rFonts w:hint="cs"/>
          <w:rtl/>
        </w:rPr>
        <w:t>الثمانية</w:t>
      </w:r>
      <w:r w:rsidRPr="007B23CC">
        <w:rPr>
          <w:rtl/>
        </w:rPr>
        <w:t xml:space="preserve"> التالية أسماؤهم في المجلس الاستشاري للعمل بصفتهم الشخصية وانتخبتهم اللجنة بالتزكية:</w:t>
      </w:r>
      <w:r>
        <w:rPr>
          <w:rFonts w:hint="cs"/>
          <w:rtl/>
        </w:rPr>
        <w:t xml:space="preserve"> </w:t>
      </w:r>
      <w:r w:rsidR="00A321FA">
        <w:rPr>
          <w:rFonts w:hint="cs"/>
          <w:rtl/>
        </w:rPr>
        <w:t xml:space="preserve">السيد روجي </w:t>
      </w:r>
      <w:proofErr w:type="spellStart"/>
      <w:r w:rsidR="00A321FA">
        <w:rPr>
          <w:rFonts w:hint="cs"/>
          <w:rtl/>
        </w:rPr>
        <w:t>شو</w:t>
      </w:r>
      <w:proofErr w:type="spellEnd"/>
      <w:r w:rsidR="00A321FA">
        <w:rPr>
          <w:rFonts w:hint="cs"/>
          <w:rtl/>
        </w:rPr>
        <w:t xml:space="preserve">، ممثل </w:t>
      </w:r>
      <w:r w:rsidR="00A321FA" w:rsidRPr="00A321FA">
        <w:rPr>
          <w:rtl/>
        </w:rPr>
        <w:t>ا</w:t>
      </w:r>
      <w:r w:rsidR="00D950F0">
        <w:rPr>
          <w:rtl/>
        </w:rPr>
        <w:t xml:space="preserve">للجنة الدولية لهنود </w:t>
      </w:r>
      <w:proofErr w:type="spellStart"/>
      <w:r w:rsidR="00D950F0">
        <w:rPr>
          <w:rtl/>
        </w:rPr>
        <w:t>الأمريكتين</w:t>
      </w:r>
      <w:proofErr w:type="spellEnd"/>
      <w:r w:rsidR="00A321FA">
        <w:rPr>
          <w:rFonts w:hint="cs"/>
          <w:rtl/>
        </w:rPr>
        <w:t>، سويسرا؛ و</w:t>
      </w:r>
      <w:r w:rsidR="00A321FA" w:rsidRPr="00A321FA">
        <w:rPr>
          <w:rtl/>
        </w:rPr>
        <w:t xml:space="preserve">السيد </w:t>
      </w:r>
      <w:proofErr w:type="spellStart"/>
      <w:r w:rsidR="00A321FA" w:rsidRPr="00A321FA">
        <w:rPr>
          <w:rtl/>
        </w:rPr>
        <w:t>رودريغو</w:t>
      </w:r>
      <w:proofErr w:type="spellEnd"/>
      <w:r w:rsidR="00A321FA" w:rsidRPr="00A321FA">
        <w:rPr>
          <w:rtl/>
        </w:rPr>
        <w:t xml:space="preserve"> دي</w:t>
      </w:r>
      <w:r w:rsidR="008B0D74">
        <w:rPr>
          <w:rFonts w:hint="cs"/>
          <w:rtl/>
        </w:rPr>
        <w:t xml:space="preserve"> </w:t>
      </w:r>
      <w:r w:rsidR="00A321FA" w:rsidRPr="00A321FA">
        <w:rPr>
          <w:rtl/>
        </w:rPr>
        <w:t>لا</w:t>
      </w:r>
      <w:r w:rsidR="008B0D74">
        <w:rPr>
          <w:rFonts w:hint="cs"/>
          <w:rtl/>
        </w:rPr>
        <w:t xml:space="preserve"> </w:t>
      </w:r>
      <w:r w:rsidR="00A321FA" w:rsidRPr="00A321FA">
        <w:rPr>
          <w:rtl/>
        </w:rPr>
        <w:t>كروس</w:t>
      </w:r>
      <w:r w:rsidR="008B0D74">
        <w:rPr>
          <w:rFonts w:hint="cs"/>
          <w:rtl/>
        </w:rPr>
        <w:t xml:space="preserve"> </w:t>
      </w:r>
      <w:proofErr w:type="spellStart"/>
      <w:r w:rsidR="00A321FA" w:rsidRPr="00A321FA">
        <w:rPr>
          <w:rtl/>
        </w:rPr>
        <w:t>إي</w:t>
      </w:r>
      <w:r w:rsidR="008B0D74">
        <w:rPr>
          <w:rFonts w:hint="cs"/>
          <w:rtl/>
        </w:rPr>
        <w:t>ن</w:t>
      </w:r>
      <w:r w:rsidR="00A321FA" w:rsidRPr="00A321FA">
        <w:rPr>
          <w:rtl/>
        </w:rPr>
        <w:t>لاغو</w:t>
      </w:r>
      <w:proofErr w:type="spellEnd"/>
      <w:r w:rsidR="00A321FA">
        <w:rPr>
          <w:rFonts w:hint="cs"/>
          <w:rtl/>
        </w:rPr>
        <w:t>، ممثل</w:t>
      </w:r>
      <w:r w:rsidR="00D950F0">
        <w:rPr>
          <w:rFonts w:hint="eastAsia"/>
          <w:rtl/>
        </w:rPr>
        <w:t> </w:t>
      </w:r>
      <w:r w:rsidR="00A321FA">
        <w:rPr>
          <w:rFonts w:hint="cs"/>
          <w:rtl/>
        </w:rPr>
        <w:t>منظمة نداء الأرض، إكوادور؛ و</w:t>
      </w:r>
      <w:r w:rsidR="00A321FA" w:rsidRPr="00A321FA">
        <w:rPr>
          <w:rtl/>
        </w:rPr>
        <w:t xml:space="preserve">السيد </w:t>
      </w:r>
      <w:proofErr w:type="spellStart"/>
      <w:r w:rsidR="00A321FA" w:rsidRPr="00A321FA">
        <w:rPr>
          <w:rtl/>
        </w:rPr>
        <w:t>بارفيز</w:t>
      </w:r>
      <w:proofErr w:type="spellEnd"/>
      <w:r w:rsidR="00A321FA" w:rsidRPr="00A321FA">
        <w:rPr>
          <w:rtl/>
        </w:rPr>
        <w:t xml:space="preserve"> </w:t>
      </w:r>
      <w:proofErr w:type="spellStart"/>
      <w:r w:rsidR="00A321FA" w:rsidRPr="00A321FA">
        <w:rPr>
          <w:rtl/>
        </w:rPr>
        <w:t>إيموموف</w:t>
      </w:r>
      <w:proofErr w:type="spellEnd"/>
      <w:r w:rsidR="00A321FA" w:rsidRPr="00A321FA">
        <w:rPr>
          <w:rtl/>
        </w:rPr>
        <w:t>، سكرتير ثان، البعثة الدائمة لطاجيكستان، جنيف؛</w:t>
      </w:r>
      <w:r w:rsidR="00A321FA">
        <w:rPr>
          <w:rFonts w:hint="cs"/>
          <w:rtl/>
        </w:rPr>
        <w:t xml:space="preserve"> والسيدة</w:t>
      </w:r>
      <w:r w:rsidR="008B0D74">
        <w:rPr>
          <w:rFonts w:hint="eastAsia"/>
          <w:rtl/>
        </w:rPr>
        <w:t> </w:t>
      </w:r>
      <w:r w:rsidR="00A321FA">
        <w:rPr>
          <w:rFonts w:hint="cs"/>
          <w:rtl/>
        </w:rPr>
        <w:t xml:space="preserve">ميلودي لين </w:t>
      </w:r>
      <w:proofErr w:type="spellStart"/>
      <w:r w:rsidR="00A321FA">
        <w:rPr>
          <w:rFonts w:hint="cs"/>
          <w:rtl/>
        </w:rPr>
        <w:t>ماكوي</w:t>
      </w:r>
      <w:proofErr w:type="spellEnd"/>
      <w:r w:rsidR="00A321FA">
        <w:rPr>
          <w:rFonts w:hint="cs"/>
          <w:rtl/>
        </w:rPr>
        <w:t xml:space="preserve">، </w:t>
      </w:r>
      <w:r w:rsidR="00D950F0">
        <w:rPr>
          <w:rFonts w:hint="cs"/>
          <w:rtl/>
        </w:rPr>
        <w:t>ممثلة صندوق حقوق الأمريكيين الأصليين، الولايات المتحدة الأمريكية؛ والسيدة</w:t>
      </w:r>
      <w:r w:rsidR="008B0D74">
        <w:rPr>
          <w:rFonts w:hint="eastAsia"/>
          <w:rtl/>
        </w:rPr>
        <w:t> </w:t>
      </w:r>
      <w:proofErr w:type="spellStart"/>
      <w:r w:rsidR="00D950F0" w:rsidRPr="00D950F0">
        <w:rPr>
          <w:rtl/>
        </w:rPr>
        <w:t>نوستا</w:t>
      </w:r>
      <w:proofErr w:type="spellEnd"/>
      <w:r w:rsidR="008B0D74">
        <w:rPr>
          <w:rFonts w:hint="cs"/>
          <w:rtl/>
        </w:rPr>
        <w:t> </w:t>
      </w:r>
      <w:proofErr w:type="spellStart"/>
      <w:r w:rsidR="00D950F0" w:rsidRPr="00D950F0">
        <w:rPr>
          <w:rtl/>
        </w:rPr>
        <w:t>مالدونادو</w:t>
      </w:r>
      <w:proofErr w:type="spellEnd"/>
      <w:r w:rsidR="00D950F0" w:rsidRPr="00D950F0">
        <w:rPr>
          <w:rtl/>
        </w:rPr>
        <w:t>، سكرتيرة ثالثة، البعثة الدائمة لإكوادور، جنيف</w:t>
      </w:r>
      <w:r w:rsidR="00D950F0">
        <w:rPr>
          <w:rFonts w:hint="cs"/>
          <w:rtl/>
        </w:rPr>
        <w:t xml:space="preserve">؛ والسيد </w:t>
      </w:r>
      <w:r w:rsidR="00D950F0" w:rsidRPr="00D950F0">
        <w:rPr>
          <w:rtl/>
        </w:rPr>
        <w:t xml:space="preserve">كارلو ماريا </w:t>
      </w:r>
      <w:proofErr w:type="spellStart"/>
      <w:r w:rsidR="00D950F0" w:rsidRPr="00D950F0">
        <w:rPr>
          <w:rtl/>
        </w:rPr>
        <w:t>مارينغي</w:t>
      </w:r>
      <w:proofErr w:type="spellEnd"/>
      <w:r w:rsidR="00D950F0" w:rsidRPr="00D950F0">
        <w:rPr>
          <w:rtl/>
        </w:rPr>
        <w:t>، ملحق معني بالملكية الفكرية والتجارة، البعثة الدائمة للكرسي الرسولي، جنيف؛</w:t>
      </w:r>
      <w:r w:rsidR="00D950F0">
        <w:rPr>
          <w:rFonts w:hint="cs"/>
          <w:rtl/>
        </w:rPr>
        <w:t xml:space="preserve"> والسيدة </w:t>
      </w:r>
      <w:proofErr w:type="spellStart"/>
      <w:r w:rsidR="00D950F0">
        <w:rPr>
          <w:rFonts w:hint="cs"/>
          <w:rtl/>
        </w:rPr>
        <w:t>بويبيلو</w:t>
      </w:r>
      <w:proofErr w:type="spellEnd"/>
      <w:r w:rsidR="00D950F0">
        <w:rPr>
          <w:rFonts w:hint="cs"/>
          <w:rtl/>
        </w:rPr>
        <w:t xml:space="preserve"> </w:t>
      </w:r>
      <w:proofErr w:type="spellStart"/>
      <w:r w:rsidR="00D950F0">
        <w:rPr>
          <w:rFonts w:hint="cs"/>
          <w:rtl/>
        </w:rPr>
        <w:t>سيتولي</w:t>
      </w:r>
      <w:proofErr w:type="spellEnd"/>
      <w:r w:rsidR="00D950F0">
        <w:rPr>
          <w:rFonts w:hint="cs"/>
          <w:rtl/>
        </w:rPr>
        <w:t xml:space="preserve">، سكرتيرة أولى (التجارة)، البعثة الدائمة لبوتسوانا، جنيف؛ والسيد </w:t>
      </w:r>
      <w:proofErr w:type="spellStart"/>
      <w:r w:rsidR="00D950F0">
        <w:rPr>
          <w:rFonts w:hint="cs"/>
          <w:rtl/>
        </w:rPr>
        <w:t>أرنيل</w:t>
      </w:r>
      <w:proofErr w:type="spellEnd"/>
      <w:r w:rsidR="00D950F0">
        <w:rPr>
          <w:rFonts w:hint="cs"/>
          <w:rtl/>
        </w:rPr>
        <w:t xml:space="preserve"> </w:t>
      </w:r>
      <w:proofErr w:type="spellStart"/>
      <w:r w:rsidR="00D950F0">
        <w:rPr>
          <w:rFonts w:hint="cs"/>
          <w:rtl/>
        </w:rPr>
        <w:t>تاليزايون</w:t>
      </w:r>
      <w:proofErr w:type="spellEnd"/>
      <w:r w:rsidR="00D950F0">
        <w:rPr>
          <w:rFonts w:hint="cs"/>
          <w:rtl/>
        </w:rPr>
        <w:t>، سكرتير أول وقنصل، البعثة الدائمة للفلبين، جنيف.</w:t>
      </w:r>
    </w:p>
    <w:p w:rsidR="0084700C" w:rsidRDefault="0084700C" w:rsidP="0084700C">
      <w:pPr>
        <w:pStyle w:val="NormalParaAR"/>
        <w:rPr>
          <w:rtl/>
        </w:rPr>
      </w:pPr>
      <w:r w:rsidRPr="0041405C">
        <w:rPr>
          <w:rtl/>
        </w:rPr>
        <w:t>وعي</w:t>
      </w:r>
      <w:r w:rsidRPr="0041405C">
        <w:rPr>
          <w:rFonts w:hint="cs"/>
          <w:rtl/>
        </w:rPr>
        <w:t>ّ</w:t>
      </w:r>
      <w:r w:rsidRPr="0041405C">
        <w:rPr>
          <w:rtl/>
        </w:rPr>
        <w:t xml:space="preserve">ن رئيس اللجنة </w:t>
      </w:r>
      <w:r>
        <w:rPr>
          <w:rFonts w:hint="cs"/>
          <w:rtl/>
        </w:rPr>
        <w:t xml:space="preserve">السفير روبرتو </w:t>
      </w:r>
      <w:proofErr w:type="spellStart"/>
      <w:r>
        <w:rPr>
          <w:rFonts w:hint="cs"/>
          <w:rtl/>
        </w:rPr>
        <w:t>ماتيوس</w:t>
      </w:r>
      <w:proofErr w:type="spellEnd"/>
      <w:r>
        <w:rPr>
          <w:rFonts w:hint="cs"/>
          <w:rtl/>
        </w:rPr>
        <w:t xml:space="preserve"> ميكائيل تيني</w:t>
      </w:r>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84700C" w:rsidRPr="008D6BC6" w:rsidRDefault="0084700C" w:rsidP="00355402">
      <w:pPr>
        <w:pStyle w:val="NormalParaAR"/>
        <w:keepNext/>
        <w:rPr>
          <w:sz w:val="40"/>
          <w:szCs w:val="40"/>
          <w:rtl/>
        </w:rPr>
      </w:pPr>
      <w:r w:rsidRPr="008D6BC6">
        <w:rPr>
          <w:rFonts w:hint="cs"/>
          <w:sz w:val="40"/>
          <w:szCs w:val="40"/>
          <w:rtl/>
        </w:rPr>
        <w:t xml:space="preserve">قرار بشأن البند </w:t>
      </w:r>
      <w:r w:rsidR="00355402">
        <w:rPr>
          <w:rFonts w:hint="cs"/>
          <w:sz w:val="40"/>
          <w:szCs w:val="40"/>
          <w:rtl/>
        </w:rPr>
        <w:t>7</w:t>
      </w:r>
      <w:r w:rsidRPr="008D6BC6">
        <w:rPr>
          <w:rFonts w:hint="cs"/>
          <w:sz w:val="40"/>
          <w:szCs w:val="40"/>
          <w:rtl/>
        </w:rPr>
        <w:t xml:space="preserve"> من جدول الأعمال</w:t>
      </w:r>
      <w:r>
        <w:rPr>
          <w:rFonts w:hint="cs"/>
          <w:sz w:val="40"/>
          <w:szCs w:val="40"/>
          <w:rtl/>
        </w:rPr>
        <w:t>:</w:t>
      </w:r>
    </w:p>
    <w:p w:rsidR="0084700C" w:rsidRPr="008D6BC6" w:rsidRDefault="0084700C" w:rsidP="0084700C">
      <w:pPr>
        <w:pStyle w:val="NormalParaAR"/>
        <w:keepNext/>
        <w:rPr>
          <w:sz w:val="40"/>
          <w:szCs w:val="40"/>
          <w:rtl/>
        </w:rPr>
      </w:pPr>
      <w:r>
        <w:rPr>
          <w:rFonts w:hint="cs"/>
          <w:sz w:val="40"/>
          <w:szCs w:val="40"/>
          <w:rtl/>
        </w:rPr>
        <w:t>المعارف التقليدية</w:t>
      </w:r>
    </w:p>
    <w:p w:rsidR="0084700C" w:rsidRDefault="0084700C" w:rsidP="00630C69">
      <w:pPr>
        <w:pStyle w:val="NormalParaAR"/>
        <w:rPr>
          <w:rtl/>
        </w:rPr>
      </w:pPr>
      <w:r w:rsidRPr="00C578E8">
        <w:rPr>
          <w:rFonts w:hint="cs"/>
          <w:rtl/>
        </w:rPr>
        <w:t>أعدّت اللجنة، استنادا إلى الوثيقة</w:t>
      </w:r>
      <w:r w:rsidRPr="00C578E8">
        <w:rPr>
          <w:rFonts w:hint="eastAsia"/>
          <w:rtl/>
        </w:rPr>
        <w:t> </w:t>
      </w:r>
      <w:r w:rsidRPr="00C578E8">
        <w:t>WIPO/GRTKF/IC/</w:t>
      </w:r>
      <w:r w:rsidR="00630C69">
        <w:t>32</w:t>
      </w:r>
      <w:r w:rsidRPr="00C578E8">
        <w:t>/4</w:t>
      </w:r>
      <w:r w:rsidRPr="00C578E8">
        <w:rPr>
          <w:rFonts w:hint="cs"/>
          <w:rtl/>
        </w:rPr>
        <w:t xml:space="preserve">، </w:t>
      </w:r>
      <w:r>
        <w:rPr>
          <w:rFonts w:hint="cs"/>
          <w:rtl/>
        </w:rPr>
        <w:t xml:space="preserve">نصا آخر بعنوان </w:t>
      </w:r>
      <w:r w:rsidRPr="00C578E8">
        <w:rPr>
          <w:rFonts w:hint="cs"/>
          <w:rtl/>
        </w:rPr>
        <w:t>"</w:t>
      </w:r>
      <w:r>
        <w:rPr>
          <w:rFonts w:hint="cs"/>
          <w:rtl/>
        </w:rPr>
        <w:t xml:space="preserve">حماية المعارف التقليدية: مشروع مواد </w:t>
      </w:r>
      <w:r>
        <w:rPr>
          <w:rtl/>
        </w:rPr>
        <w:t>–</w:t>
      </w:r>
      <w:r>
        <w:rPr>
          <w:rFonts w:hint="cs"/>
          <w:rtl/>
        </w:rPr>
        <w:t xml:space="preserve"> النسخة المعدّلة</w:t>
      </w:r>
      <w:r w:rsidRPr="00C578E8">
        <w:rPr>
          <w:rFonts w:hint="cs"/>
          <w:rtl/>
        </w:rPr>
        <w:t xml:space="preserve"> </w:t>
      </w:r>
      <w:r>
        <w:rPr>
          <w:rFonts w:hint="cs"/>
          <w:rtl/>
        </w:rPr>
        <w:t>الثانية (</w:t>
      </w:r>
      <w:r>
        <w:t>Rev.2</w:t>
      </w:r>
      <w:r>
        <w:rPr>
          <w:rFonts w:hint="cs"/>
          <w:rtl/>
        </w:rPr>
        <w:t xml:space="preserve">)". </w:t>
      </w:r>
      <w:r w:rsidRPr="00C578E8">
        <w:rPr>
          <w:rFonts w:hint="cs"/>
          <w:rtl/>
        </w:rPr>
        <w:t xml:space="preserve">وقرّرت </w:t>
      </w:r>
      <w:r>
        <w:rPr>
          <w:rFonts w:hint="cs"/>
          <w:rtl/>
        </w:rPr>
        <w:t xml:space="preserve">اللجنة </w:t>
      </w:r>
      <w:r w:rsidRPr="00C578E8">
        <w:rPr>
          <w:rFonts w:hint="cs"/>
          <w:rtl/>
        </w:rPr>
        <w:t xml:space="preserve">إحالة ذلك النص، بالصيغة التي ورد بها في اختتام </w:t>
      </w:r>
      <w:r>
        <w:rPr>
          <w:rFonts w:hint="cs"/>
          <w:rtl/>
        </w:rPr>
        <w:t>النظر في هذا</w:t>
      </w:r>
      <w:r>
        <w:rPr>
          <w:rFonts w:hint="eastAsia"/>
          <w:rtl/>
        </w:rPr>
        <w:t> </w:t>
      </w:r>
      <w:r>
        <w:rPr>
          <w:rFonts w:hint="cs"/>
          <w:rtl/>
        </w:rPr>
        <w:t xml:space="preserve">البند من جدول الأعمال في </w:t>
      </w:r>
      <w:r w:rsidR="00630C69">
        <w:rPr>
          <w:rFonts w:hint="cs"/>
          <w:rtl/>
        </w:rPr>
        <w:t>2</w:t>
      </w:r>
      <w:r w:rsidRPr="00C578E8">
        <w:rPr>
          <w:rFonts w:hint="eastAsia"/>
          <w:rtl/>
        </w:rPr>
        <w:t> </w:t>
      </w:r>
      <w:r w:rsidR="00630C69">
        <w:rPr>
          <w:rFonts w:hint="cs"/>
          <w:rtl/>
        </w:rPr>
        <w:t>ديسمبر</w:t>
      </w:r>
      <w:r w:rsidRPr="00C578E8">
        <w:rPr>
          <w:rFonts w:hint="eastAsia"/>
          <w:rtl/>
        </w:rPr>
        <w:t> </w:t>
      </w:r>
      <w:r w:rsidRPr="00C578E8">
        <w:rPr>
          <w:rFonts w:hint="cs"/>
          <w:rtl/>
        </w:rPr>
        <w:t xml:space="preserve">2016، إلى دورتها </w:t>
      </w:r>
      <w:r w:rsidR="00630C69">
        <w:rPr>
          <w:rFonts w:hint="cs"/>
          <w:rtl/>
        </w:rPr>
        <w:t>الرابعة</w:t>
      </w:r>
      <w:r w:rsidRPr="00C578E8">
        <w:rPr>
          <w:rFonts w:hint="cs"/>
          <w:rtl/>
        </w:rPr>
        <w:t xml:space="preserve"> والثلاثين طبقا لولايتها للثنائية</w:t>
      </w:r>
      <w:r w:rsidRPr="00C578E8">
        <w:rPr>
          <w:rFonts w:hint="eastAsia"/>
          <w:rtl/>
        </w:rPr>
        <w:t> </w:t>
      </w:r>
      <w:r w:rsidRPr="00C578E8">
        <w:rPr>
          <w:rFonts w:hint="cs"/>
          <w:rtl/>
        </w:rPr>
        <w:t>2016-2017 وبرنامج عملها لعام</w:t>
      </w:r>
      <w:r w:rsidRPr="00C578E8">
        <w:rPr>
          <w:rFonts w:hint="eastAsia"/>
          <w:rtl/>
        </w:rPr>
        <w:t> </w:t>
      </w:r>
      <w:r w:rsidRPr="00C578E8">
        <w:rPr>
          <w:rFonts w:hint="cs"/>
          <w:rtl/>
        </w:rPr>
        <w:t>2017، كما جاء في الوثيقة</w:t>
      </w:r>
      <w:r w:rsidRPr="00C578E8">
        <w:rPr>
          <w:rFonts w:hint="eastAsia"/>
          <w:rtl/>
        </w:rPr>
        <w:t> </w:t>
      </w:r>
      <w:r w:rsidRPr="00C578E8">
        <w:t>WO/GA/47/19</w:t>
      </w:r>
      <w:r w:rsidRPr="00C578E8">
        <w:rPr>
          <w:rFonts w:hint="cs"/>
          <w:rtl/>
        </w:rPr>
        <w:t>.</w:t>
      </w:r>
    </w:p>
    <w:p w:rsidR="0084700C" w:rsidRDefault="0084700C" w:rsidP="008C28BC">
      <w:pPr>
        <w:pStyle w:val="NormalParaAR"/>
        <w:rPr>
          <w:rtl/>
        </w:rPr>
      </w:pPr>
      <w:r>
        <w:rPr>
          <w:rFonts w:hint="cs"/>
          <w:rtl/>
        </w:rPr>
        <w:t>وأحاطت اللجنة علما بالوثائق</w:t>
      </w:r>
      <w:r>
        <w:rPr>
          <w:rFonts w:hint="eastAsia"/>
          <w:rtl/>
        </w:rPr>
        <w:t> </w:t>
      </w:r>
      <w:r w:rsidRPr="00EA76BB">
        <w:t>WIPO/GRTKF/IC/</w:t>
      </w:r>
      <w:r w:rsidR="00630C69">
        <w:t>32</w:t>
      </w:r>
      <w:r w:rsidRPr="00EA76BB">
        <w:t>/5</w:t>
      </w:r>
      <w:r>
        <w:rPr>
          <w:rFonts w:hint="cs"/>
          <w:rtl/>
        </w:rPr>
        <w:t xml:space="preserve"> و</w:t>
      </w:r>
      <w:r w:rsidRPr="00EA76BB">
        <w:t>WIPO/GRTKF/IC/</w:t>
      </w:r>
      <w:r w:rsidR="00630C69">
        <w:t>32</w:t>
      </w:r>
      <w:r w:rsidRPr="00EA76BB">
        <w:t>/6</w:t>
      </w:r>
      <w:r>
        <w:rPr>
          <w:rFonts w:hint="cs"/>
          <w:rtl/>
        </w:rPr>
        <w:t xml:space="preserve"> و</w:t>
      </w:r>
      <w:r w:rsidRPr="002F6C34">
        <w:t>WIPO/GRTKF/IC/</w:t>
      </w:r>
      <w:r w:rsidR="00630C69">
        <w:t>32</w:t>
      </w:r>
      <w:r w:rsidRPr="002F6C34">
        <w:t>/7</w:t>
      </w:r>
      <w:r>
        <w:rPr>
          <w:rFonts w:hint="cs"/>
          <w:rtl/>
        </w:rPr>
        <w:t>و</w:t>
      </w:r>
      <w:r w:rsidRPr="000B441B">
        <w:t>WIPO/GRTKF/IC/</w:t>
      </w:r>
      <w:r w:rsidR="00630C69">
        <w:t>32</w:t>
      </w:r>
      <w:r w:rsidRPr="000B441B">
        <w:t>/8</w:t>
      </w:r>
      <w:r>
        <w:rPr>
          <w:rFonts w:hint="cs"/>
          <w:rtl/>
        </w:rPr>
        <w:t xml:space="preserve"> و</w:t>
      </w:r>
      <w:r w:rsidRPr="002F6C34">
        <w:t>WIPO/GRTKF/IC/</w:t>
      </w:r>
      <w:r w:rsidR="00630C69">
        <w:t>32</w:t>
      </w:r>
      <w:r w:rsidRPr="002F6C34">
        <w:t>/9</w:t>
      </w:r>
      <w:r w:rsidR="008C28BC">
        <w:rPr>
          <w:rFonts w:hint="cs"/>
          <w:rtl/>
        </w:rPr>
        <w:t xml:space="preserve"> و</w:t>
      </w:r>
      <w:r w:rsidR="008C28BC" w:rsidRPr="002F6C34">
        <w:t>WIPO/GRTKF/IC/</w:t>
      </w:r>
      <w:r w:rsidR="008C28BC">
        <w:t>32</w:t>
      </w:r>
      <w:r w:rsidR="008C28BC" w:rsidRPr="002F6C34">
        <w:t>/</w:t>
      </w:r>
      <w:r w:rsidR="008C28BC">
        <w:t>10</w:t>
      </w:r>
      <w:r w:rsidR="008C28BC">
        <w:rPr>
          <w:rFonts w:hint="cs"/>
          <w:rtl/>
        </w:rPr>
        <w:t xml:space="preserve"> </w:t>
      </w:r>
      <w:r>
        <w:rPr>
          <w:rFonts w:hint="cs"/>
          <w:rtl/>
        </w:rPr>
        <w:t>و</w:t>
      </w:r>
      <w:r w:rsidRPr="002F6C34">
        <w:t>WIPO/GRTKF/IC/</w:t>
      </w:r>
      <w:r w:rsidR="00630C69">
        <w:t>32</w:t>
      </w:r>
      <w:r w:rsidRPr="002F6C34">
        <w:t>/INF/7</w:t>
      </w:r>
      <w:r>
        <w:rPr>
          <w:rFonts w:hint="cs"/>
          <w:rtl/>
        </w:rPr>
        <w:t xml:space="preserve"> و</w:t>
      </w:r>
      <w:r w:rsidRPr="002F6C34">
        <w:t>WIPO/GRTKF/IC/</w:t>
      </w:r>
      <w:r w:rsidR="00630C69">
        <w:t>32</w:t>
      </w:r>
      <w:r w:rsidRPr="002F6C34">
        <w:t>/INF/8</w:t>
      </w:r>
      <w:r>
        <w:rPr>
          <w:rFonts w:hint="cs"/>
          <w:rtl/>
        </w:rPr>
        <w:t>، وأجرت مناقشات بشأنها.</w:t>
      </w:r>
    </w:p>
    <w:p w:rsidR="0084700C" w:rsidRPr="008D6BC6" w:rsidRDefault="0084700C" w:rsidP="0084700C">
      <w:pPr>
        <w:pStyle w:val="NormalParaAR"/>
        <w:keepNext/>
        <w:rPr>
          <w:sz w:val="40"/>
          <w:szCs w:val="40"/>
          <w:rtl/>
        </w:rPr>
      </w:pPr>
      <w:r w:rsidRPr="008D6BC6">
        <w:rPr>
          <w:rFonts w:hint="cs"/>
          <w:sz w:val="40"/>
          <w:szCs w:val="40"/>
          <w:rtl/>
        </w:rPr>
        <w:t xml:space="preserve">قرار بشأن البند </w:t>
      </w:r>
      <w:r>
        <w:rPr>
          <w:rFonts w:hint="cs"/>
          <w:sz w:val="40"/>
          <w:szCs w:val="40"/>
          <w:rtl/>
        </w:rPr>
        <w:t>8</w:t>
      </w:r>
      <w:r w:rsidRPr="008D6BC6">
        <w:rPr>
          <w:rFonts w:hint="cs"/>
          <w:sz w:val="40"/>
          <w:szCs w:val="40"/>
          <w:rtl/>
        </w:rPr>
        <w:t xml:space="preserve"> من جدول الأعمال</w:t>
      </w:r>
      <w:r>
        <w:rPr>
          <w:rFonts w:hint="cs"/>
          <w:sz w:val="40"/>
          <w:szCs w:val="40"/>
          <w:rtl/>
        </w:rPr>
        <w:t>:</w:t>
      </w:r>
    </w:p>
    <w:p w:rsidR="0084700C" w:rsidRPr="00FC177D" w:rsidRDefault="0084700C" w:rsidP="0084700C">
      <w:pPr>
        <w:pStyle w:val="NormalParaAR"/>
        <w:keepNext/>
        <w:rPr>
          <w:sz w:val="40"/>
          <w:szCs w:val="40"/>
          <w:rtl/>
        </w:rPr>
      </w:pPr>
      <w:r w:rsidRPr="00FC177D">
        <w:rPr>
          <w:sz w:val="40"/>
          <w:szCs w:val="40"/>
          <w:rtl/>
        </w:rPr>
        <w:t>أية مسائل أخرى</w:t>
      </w:r>
    </w:p>
    <w:p w:rsidR="0084700C" w:rsidRDefault="0084700C" w:rsidP="0084700C">
      <w:pPr>
        <w:pStyle w:val="NormalParaAR"/>
        <w:rPr>
          <w:rtl/>
        </w:rPr>
      </w:pPr>
      <w:r w:rsidRPr="00EE7D85">
        <w:rPr>
          <w:rFonts w:hint="cs"/>
          <w:rtl/>
        </w:rPr>
        <w:t>لم تُجر أية مناقشات في إطار هذا البند.</w:t>
      </w:r>
    </w:p>
    <w:p w:rsidR="0084700C" w:rsidRPr="008D6BC6" w:rsidRDefault="0084700C" w:rsidP="0084700C">
      <w:pPr>
        <w:pStyle w:val="NormalParaAR"/>
        <w:keepNext/>
        <w:rPr>
          <w:sz w:val="40"/>
          <w:szCs w:val="40"/>
          <w:rtl/>
        </w:rPr>
      </w:pPr>
      <w:r w:rsidRPr="008D6BC6">
        <w:rPr>
          <w:rFonts w:hint="cs"/>
          <w:sz w:val="40"/>
          <w:szCs w:val="40"/>
          <w:rtl/>
        </w:rPr>
        <w:t xml:space="preserve">قرار بشأن البند </w:t>
      </w:r>
      <w:r>
        <w:rPr>
          <w:rFonts w:hint="cs"/>
          <w:sz w:val="40"/>
          <w:szCs w:val="40"/>
          <w:rtl/>
        </w:rPr>
        <w:t>9</w:t>
      </w:r>
      <w:r w:rsidRPr="008D6BC6">
        <w:rPr>
          <w:rFonts w:hint="cs"/>
          <w:sz w:val="40"/>
          <w:szCs w:val="40"/>
          <w:rtl/>
        </w:rPr>
        <w:t xml:space="preserve"> من جدول الأعمال</w:t>
      </w:r>
      <w:r>
        <w:rPr>
          <w:rFonts w:hint="cs"/>
          <w:sz w:val="40"/>
          <w:szCs w:val="40"/>
          <w:rtl/>
        </w:rPr>
        <w:t>:</w:t>
      </w:r>
    </w:p>
    <w:p w:rsidR="0084700C" w:rsidRDefault="0084700C" w:rsidP="0084700C">
      <w:pPr>
        <w:pStyle w:val="NormalParaAR"/>
        <w:keepNext/>
        <w:rPr>
          <w:sz w:val="40"/>
          <w:szCs w:val="40"/>
          <w:rtl/>
        </w:rPr>
      </w:pPr>
      <w:r>
        <w:rPr>
          <w:rFonts w:hint="cs"/>
          <w:sz w:val="40"/>
          <w:szCs w:val="40"/>
          <w:rtl/>
        </w:rPr>
        <w:t>اختتام الدورة</w:t>
      </w:r>
    </w:p>
    <w:p w:rsidR="0084700C" w:rsidRPr="003A2EC2" w:rsidRDefault="0084700C" w:rsidP="00BF6B64">
      <w:pPr>
        <w:pStyle w:val="NormalParaAR"/>
        <w:spacing w:after="480"/>
        <w:rPr>
          <w:rtl/>
        </w:rPr>
      </w:pPr>
      <w:r w:rsidRPr="003A2EC2">
        <w:rPr>
          <w:rtl/>
        </w:rPr>
        <w:t>اعتمدت اللجنة قراراتها بشأن البنود</w:t>
      </w:r>
      <w:r w:rsidRPr="003A2EC2">
        <w:rPr>
          <w:rFonts w:hint="cs"/>
          <w:rtl/>
        </w:rPr>
        <w:t> </w:t>
      </w:r>
      <w:r w:rsidRPr="003A2EC2">
        <w:rPr>
          <w:rtl/>
        </w:rPr>
        <w:t xml:space="preserve">2 و3 و4 و5 و6 و7 من جدول الأعمال في </w:t>
      </w:r>
      <w:r w:rsidR="00BF6B64">
        <w:rPr>
          <w:rFonts w:hint="cs"/>
          <w:rtl/>
        </w:rPr>
        <w:t>2</w:t>
      </w:r>
      <w:r w:rsidRPr="003A2EC2">
        <w:rPr>
          <w:rFonts w:hint="cs"/>
          <w:rtl/>
        </w:rPr>
        <w:t> </w:t>
      </w:r>
      <w:r w:rsidR="00BF6B64">
        <w:rPr>
          <w:rFonts w:hint="cs"/>
          <w:rtl/>
        </w:rPr>
        <w:t>ديسمبر</w:t>
      </w:r>
      <w:r w:rsidRPr="003A2EC2">
        <w:rPr>
          <w:rFonts w:hint="cs"/>
          <w:rtl/>
        </w:rPr>
        <w:t> </w:t>
      </w:r>
      <w:r>
        <w:rPr>
          <w:rFonts w:hint="cs"/>
          <w:rtl/>
        </w:rPr>
        <w:t>2016</w:t>
      </w:r>
      <w:r w:rsidRPr="003A2EC2">
        <w:rPr>
          <w:rtl/>
        </w:rPr>
        <w:t>. واتفقت على إعداد مشروع تقرير كتابي يحتوي على نصوص هذه القرارات المتفق عليها وجميع المداخلات التي أد</w:t>
      </w:r>
      <w:r>
        <w:rPr>
          <w:rtl/>
        </w:rPr>
        <w:t xml:space="preserve">لي بها أمام اللجنة، وتعميمه </w:t>
      </w:r>
      <w:r>
        <w:rPr>
          <w:rFonts w:hint="cs"/>
          <w:rtl/>
        </w:rPr>
        <w:t xml:space="preserve">في أجل أقصاه </w:t>
      </w:r>
      <w:r w:rsidR="00BF6B64">
        <w:rPr>
          <w:rFonts w:hint="cs"/>
          <w:rtl/>
        </w:rPr>
        <w:t>27</w:t>
      </w:r>
      <w:r>
        <w:rPr>
          <w:rFonts w:hint="eastAsia"/>
          <w:rtl/>
        </w:rPr>
        <w:t> </w:t>
      </w:r>
      <w:r w:rsidR="00BF6B64">
        <w:rPr>
          <w:rFonts w:hint="cs"/>
          <w:rtl/>
        </w:rPr>
        <w:t>يناير</w:t>
      </w:r>
      <w:r w:rsidRPr="003A2EC2">
        <w:rPr>
          <w:rFonts w:hint="cs"/>
          <w:rtl/>
        </w:rPr>
        <w:t> </w:t>
      </w:r>
      <w:r w:rsidR="00BF6B64">
        <w:rPr>
          <w:rFonts w:hint="cs"/>
          <w:rtl/>
        </w:rPr>
        <w:t>2017</w:t>
      </w:r>
      <w:r w:rsidRPr="003A2EC2">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sidRPr="003A2EC2">
        <w:rPr>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Pr="003A2EC2">
        <w:rPr>
          <w:rtl/>
        </w:rPr>
        <w:t xml:space="preserve"> للجنة.</w:t>
      </w:r>
    </w:p>
    <w:p w:rsidR="00DF7400" w:rsidRPr="0084700C" w:rsidRDefault="0084700C" w:rsidP="008C28BC">
      <w:pPr>
        <w:pStyle w:val="EndofDocumentAR"/>
      </w:pPr>
      <w:r w:rsidRPr="008C28BC">
        <w:rPr>
          <w:rFonts w:hint="cs"/>
          <w:rtl/>
        </w:rPr>
        <w:t>[</w:t>
      </w:r>
      <w:r w:rsidR="00F12B8F" w:rsidRPr="008C28BC">
        <w:rPr>
          <w:rFonts w:hint="cs"/>
          <w:rtl/>
        </w:rPr>
        <w:t>نهاية الوثيقة</w:t>
      </w:r>
      <w:r w:rsidRPr="008C28BC">
        <w:rPr>
          <w:rFonts w:hint="cs"/>
          <w:rtl/>
        </w:rPr>
        <w:t>]</w:t>
      </w:r>
    </w:p>
    <w:sectPr w:rsidR="00DF7400" w:rsidRPr="0084700C"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0C" w:rsidRDefault="0084700C">
      <w:r>
        <w:separator/>
      </w:r>
    </w:p>
  </w:endnote>
  <w:endnote w:type="continuationSeparator" w:id="0">
    <w:p w:rsidR="0084700C" w:rsidRDefault="008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0C" w:rsidRDefault="0084700C" w:rsidP="009622BF">
      <w:pPr>
        <w:bidi/>
      </w:pPr>
      <w:bookmarkStart w:id="0" w:name="OLE_LINK1"/>
      <w:bookmarkStart w:id="1" w:name="OLE_LINK2"/>
      <w:r>
        <w:separator/>
      </w:r>
      <w:bookmarkEnd w:id="0"/>
      <w:bookmarkEnd w:id="1"/>
    </w:p>
  </w:footnote>
  <w:footnote w:type="continuationSeparator" w:id="0">
    <w:p w:rsidR="0084700C" w:rsidRDefault="0084700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AD485D">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0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26C"/>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9E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052"/>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40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C21"/>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446"/>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C6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0B0"/>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00C"/>
    <w:rsid w:val="00847622"/>
    <w:rsid w:val="008505B8"/>
    <w:rsid w:val="00851005"/>
    <w:rsid w:val="00851ADD"/>
    <w:rsid w:val="00855CA6"/>
    <w:rsid w:val="00860323"/>
    <w:rsid w:val="00860F4F"/>
    <w:rsid w:val="008610B9"/>
    <w:rsid w:val="00862656"/>
    <w:rsid w:val="00863013"/>
    <w:rsid w:val="00863F67"/>
    <w:rsid w:val="0086483A"/>
    <w:rsid w:val="008672BC"/>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D74"/>
    <w:rsid w:val="008B170D"/>
    <w:rsid w:val="008B4941"/>
    <w:rsid w:val="008B4984"/>
    <w:rsid w:val="008B4F60"/>
    <w:rsid w:val="008B559A"/>
    <w:rsid w:val="008B598F"/>
    <w:rsid w:val="008B66A5"/>
    <w:rsid w:val="008B7F4A"/>
    <w:rsid w:val="008C0D2E"/>
    <w:rsid w:val="008C1056"/>
    <w:rsid w:val="008C2729"/>
    <w:rsid w:val="008C28BC"/>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38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0F3"/>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034"/>
    <w:rsid w:val="009A27C7"/>
    <w:rsid w:val="009A2961"/>
    <w:rsid w:val="009A344A"/>
    <w:rsid w:val="009A41C7"/>
    <w:rsid w:val="009A4F5A"/>
    <w:rsid w:val="009A50E0"/>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1F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85D"/>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74E"/>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B64"/>
    <w:rsid w:val="00C01804"/>
    <w:rsid w:val="00C026BC"/>
    <w:rsid w:val="00C02AD4"/>
    <w:rsid w:val="00C03869"/>
    <w:rsid w:val="00C07988"/>
    <w:rsid w:val="00C07C5E"/>
    <w:rsid w:val="00C07EC4"/>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2B9"/>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0F0"/>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093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B8F"/>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84700C"/>
    <w:rPr>
      <w:rFonts w:ascii="Tahoma" w:hAnsi="Tahoma" w:cs="Tahoma"/>
      <w:sz w:val="16"/>
      <w:szCs w:val="16"/>
    </w:rPr>
  </w:style>
  <w:style w:type="character" w:customStyle="1" w:styleId="BalloonTextChar">
    <w:name w:val="Balloon Text Char"/>
    <w:basedOn w:val="DefaultParagraphFont"/>
    <w:link w:val="BalloonText"/>
    <w:rsid w:val="0084700C"/>
    <w:rPr>
      <w:rFonts w:ascii="Tahoma" w:hAnsi="Tahoma" w:cs="Tahoma"/>
      <w:sz w:val="16"/>
      <w:szCs w:val="16"/>
    </w:rPr>
  </w:style>
  <w:style w:type="character" w:customStyle="1" w:styleId="FootnoteTextChar">
    <w:name w:val="Footnote Text Char"/>
    <w:basedOn w:val="DefaultParagraphFont"/>
    <w:link w:val="FootnoteText"/>
    <w:semiHidden/>
    <w:rsid w:val="0084700C"/>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84700C"/>
    <w:rPr>
      <w:rFonts w:ascii="Tahoma" w:hAnsi="Tahoma" w:cs="Tahoma"/>
      <w:sz w:val="16"/>
      <w:szCs w:val="16"/>
    </w:rPr>
  </w:style>
  <w:style w:type="character" w:customStyle="1" w:styleId="BalloonTextChar">
    <w:name w:val="Balloon Text Char"/>
    <w:basedOn w:val="DefaultParagraphFont"/>
    <w:link w:val="BalloonText"/>
    <w:rsid w:val="0084700C"/>
    <w:rPr>
      <w:rFonts w:ascii="Tahoma" w:hAnsi="Tahoma" w:cs="Tahoma"/>
      <w:sz w:val="16"/>
      <w:szCs w:val="16"/>
    </w:rPr>
  </w:style>
  <w:style w:type="character" w:customStyle="1" w:styleId="FootnoteTextChar">
    <w:name w:val="Footnote Text Char"/>
    <w:basedOn w:val="DefaultParagraphFont"/>
    <w:link w:val="FootnoteText"/>
    <w:semiHidden/>
    <w:rsid w:val="0084700C"/>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GRTKF_IC_32_AR.dotx</Template>
  <TotalTime>232</TotalTime>
  <Pages>3</Pages>
  <Words>586</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WIPO/GRTKF/IC/32/-- (Arabic)</vt:lpstr>
    </vt:vector>
  </TitlesOfParts>
  <Company>World Intellectual Property Organization</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 (Arabic)</dc:title>
  <dc:creator>MERZOUK Fawzi</dc:creator>
  <cp:lastModifiedBy> </cp:lastModifiedBy>
  <cp:revision>19</cp:revision>
  <cp:lastPrinted>2016-12-05T09:14:00Z</cp:lastPrinted>
  <dcterms:created xsi:type="dcterms:W3CDTF">2016-11-28T10:27:00Z</dcterms:created>
  <dcterms:modified xsi:type="dcterms:W3CDTF">2016-12-05T09:14:00Z</dcterms:modified>
</cp:coreProperties>
</file>