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063CAD">
              <w:t>9</w:t>
            </w:r>
            <w:r w:rsidR="006A0025">
              <w:t>/INF/8</w:t>
            </w:r>
          </w:p>
        </w:tc>
      </w:tr>
      <w:tr w:rsidR="001667B6" w:rsidTr="00BF164F">
        <w:tc>
          <w:tcPr>
            <w:tcW w:w="9571" w:type="dxa"/>
            <w:gridSpan w:val="3"/>
          </w:tcPr>
          <w:p w:rsidR="001667B6" w:rsidRPr="00B6101C" w:rsidRDefault="00B6101C" w:rsidP="006A0025">
            <w:pPr>
              <w:pStyle w:val="DocumentLanguageAR"/>
              <w:bidi/>
              <w:rPr>
                <w:rtl/>
              </w:rPr>
            </w:pPr>
            <w:r w:rsidRPr="00B6101C">
              <w:rPr>
                <w:rFonts w:hint="cs"/>
                <w:rtl/>
              </w:rPr>
              <w:t xml:space="preserve">الأصل: </w:t>
            </w:r>
            <w:r w:rsidR="006A0025">
              <w:rPr>
                <w:rFonts w:hint="cs"/>
                <w:rtl/>
              </w:rPr>
              <w:t>بالإنكليزية</w:t>
            </w:r>
          </w:p>
        </w:tc>
      </w:tr>
      <w:tr w:rsidR="001667B6" w:rsidTr="00BF164F">
        <w:tc>
          <w:tcPr>
            <w:tcW w:w="9571" w:type="dxa"/>
            <w:gridSpan w:val="3"/>
          </w:tcPr>
          <w:p w:rsidR="001667B6" w:rsidRPr="00B6101C" w:rsidRDefault="00B6101C" w:rsidP="006A0025">
            <w:pPr>
              <w:pStyle w:val="DocumentDateAR"/>
              <w:bidi/>
              <w:rPr>
                <w:rtl/>
              </w:rPr>
            </w:pPr>
            <w:r w:rsidRPr="00B6101C">
              <w:rPr>
                <w:rFonts w:hint="cs"/>
                <w:rtl/>
              </w:rPr>
              <w:t xml:space="preserve">التاريخ: </w:t>
            </w:r>
            <w:r w:rsidR="006A0025">
              <w:rPr>
                <w:rFonts w:hint="cs"/>
                <w:rtl/>
              </w:rPr>
              <w:t>14</w:t>
            </w:r>
            <w:r w:rsidRPr="00B6101C">
              <w:rPr>
                <w:rFonts w:hint="cs"/>
                <w:rtl/>
              </w:rPr>
              <w:t xml:space="preserve"> </w:t>
            </w:r>
            <w:r w:rsidR="006A0025">
              <w:rPr>
                <w:rFonts w:hint="cs"/>
                <w:rtl/>
              </w:rPr>
              <w:t>يناير</w:t>
            </w:r>
            <w:r w:rsidRPr="00B6101C">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A0025" w:rsidP="00FB7EC9">
      <w:pPr>
        <w:pStyle w:val="DocumentTitleAR"/>
        <w:bidi/>
        <w:rPr>
          <w:rtl/>
        </w:rPr>
      </w:pPr>
      <w:r w:rsidRPr="006A0025">
        <w:rPr>
          <w:rtl/>
        </w:rPr>
        <w:t>تقرير عن تنفيذ أنشطة الفئة جيم ("خيارات حول الشروط المتفق عليها بشأن التقاسم المنصف والعادل للمنافع")</w:t>
      </w:r>
    </w:p>
    <w:p w:rsidR="00D61541" w:rsidRPr="00D61541" w:rsidRDefault="006A002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20758" w:rsidRPr="00640107" w:rsidRDefault="00D20758" w:rsidP="00D20758">
      <w:pPr>
        <w:pStyle w:val="NumberedParaAR"/>
      </w:pPr>
      <w:r w:rsidRPr="00640107">
        <w:rPr>
          <w:rFonts w:hint="cs"/>
          <w:rtl/>
        </w:rPr>
        <w:t>طلبت</w:t>
      </w:r>
      <w:r w:rsidRPr="00640107">
        <w:rPr>
          <w:rtl/>
        </w:rPr>
        <w:t xml:space="preserve"> اللجنة الحكومية الدولية المعنية بالملكية الفكرية والموارد الوراثية والمعارف التقليدية والفولكلور ("اللجنة")، في دورتها التاسعة عشرة </w:t>
      </w:r>
      <w:r w:rsidRPr="00640107">
        <w:rPr>
          <w:rFonts w:hint="cs"/>
          <w:rtl/>
        </w:rPr>
        <w:t>المعقودة</w:t>
      </w:r>
      <w:r w:rsidRPr="00640107">
        <w:rPr>
          <w:rtl/>
        </w:rPr>
        <w:t xml:space="preserve"> </w:t>
      </w:r>
      <w:r w:rsidRPr="00640107">
        <w:rPr>
          <w:rFonts w:hint="cs"/>
          <w:rtl/>
        </w:rPr>
        <w:t xml:space="preserve">في الفترة </w:t>
      </w:r>
      <w:r w:rsidRPr="00640107">
        <w:rPr>
          <w:rtl/>
        </w:rPr>
        <w:t>من 18 إلى 22 يوليو 2011، وبالإشارة إلى الوثيقة</w:t>
      </w:r>
      <w:r w:rsidRPr="00640107">
        <w:rPr>
          <w:rFonts w:hint="cs"/>
          <w:rtl/>
        </w:rPr>
        <w:t> </w:t>
      </w:r>
      <w:r w:rsidRPr="00640107">
        <w:t>WIPO/GRTKF/IC/19/7</w:t>
      </w:r>
      <w:r w:rsidRPr="00640107">
        <w:rPr>
          <w:rtl/>
        </w:rPr>
        <w:t xml:space="preserve"> ("خيارات العمل في المستقبل بشأن الملكية الفكرية والموارد الوراثية")، </w:t>
      </w:r>
      <w:r w:rsidRPr="00640107">
        <w:rPr>
          <w:rFonts w:hint="cs"/>
          <w:rtl/>
        </w:rPr>
        <w:t>"إلى</w:t>
      </w:r>
      <w:r w:rsidRPr="00640107">
        <w:rPr>
          <w:rtl/>
        </w:rPr>
        <w:t xml:space="preserve"> الأمانة إ</w:t>
      </w:r>
      <w:r w:rsidRPr="00640107">
        <w:rPr>
          <w:rFonts w:hint="cs"/>
          <w:rtl/>
        </w:rPr>
        <w:t>نجاز</w:t>
      </w:r>
      <w:r w:rsidRPr="00640107">
        <w:rPr>
          <w:rtl/>
        </w:rPr>
        <w:t xml:space="preserve"> الأنشطة المشار إليها في </w:t>
      </w:r>
      <w:r w:rsidRPr="00640107">
        <w:rPr>
          <w:rFonts w:hint="cs"/>
          <w:rtl/>
        </w:rPr>
        <w:t>الفئة</w:t>
      </w:r>
      <w:r w:rsidRPr="00640107">
        <w:rPr>
          <w:rtl/>
        </w:rPr>
        <w:t xml:space="preserve"> ج</w:t>
      </w:r>
      <w:r w:rsidRPr="00640107">
        <w:rPr>
          <w:rFonts w:hint="cs"/>
          <w:rtl/>
        </w:rPr>
        <w:t>يم</w:t>
      </w:r>
      <w:r w:rsidRPr="00640107">
        <w:rPr>
          <w:rtl/>
        </w:rPr>
        <w:t xml:space="preserve"> ("خيارات </w:t>
      </w:r>
      <w:r w:rsidRPr="00640107">
        <w:rPr>
          <w:rFonts w:hint="cs"/>
          <w:rtl/>
        </w:rPr>
        <w:t>حول</w:t>
      </w:r>
      <w:r w:rsidRPr="00640107">
        <w:rPr>
          <w:rtl/>
        </w:rPr>
        <w:t xml:space="preserve"> الشروط المتفق عليها </w:t>
      </w:r>
      <w:r w:rsidRPr="00640107">
        <w:rPr>
          <w:rFonts w:hint="cs"/>
          <w:rtl/>
        </w:rPr>
        <w:t>بشأن ال</w:t>
      </w:r>
      <w:r w:rsidRPr="00640107">
        <w:rPr>
          <w:rtl/>
        </w:rPr>
        <w:t xml:space="preserve">تقاسم </w:t>
      </w:r>
      <w:r w:rsidRPr="00640107">
        <w:rPr>
          <w:rFonts w:hint="cs"/>
          <w:rtl/>
        </w:rPr>
        <w:t>المنصف</w:t>
      </w:r>
      <w:r w:rsidRPr="00640107">
        <w:rPr>
          <w:rtl/>
        </w:rPr>
        <w:t xml:space="preserve"> وال</w:t>
      </w:r>
      <w:r w:rsidRPr="00640107">
        <w:rPr>
          <w:rFonts w:hint="cs"/>
          <w:rtl/>
        </w:rPr>
        <w:t>عادل</w:t>
      </w:r>
      <w:r w:rsidRPr="00640107">
        <w:rPr>
          <w:rtl/>
        </w:rPr>
        <w:t xml:space="preserve"> للمنافع")، وتحديثها ب</w:t>
      </w:r>
      <w:r w:rsidRPr="00640107">
        <w:rPr>
          <w:rFonts w:hint="cs"/>
          <w:rtl/>
        </w:rPr>
        <w:t xml:space="preserve">انتظام حسب الاقتضاء، </w:t>
      </w:r>
      <w:r w:rsidRPr="00640107">
        <w:rPr>
          <w:rtl/>
        </w:rPr>
        <w:t>وتزويد اللجنة بمعلومات بشأنها في كل دورة."</w:t>
      </w:r>
      <w:r w:rsidRPr="00640107">
        <w:rPr>
          <w:rStyle w:val="FootnoteReference"/>
          <w:rtl/>
        </w:rPr>
        <w:footnoteReference w:id="1"/>
      </w:r>
    </w:p>
    <w:p w:rsidR="00D20758" w:rsidRPr="00640107" w:rsidRDefault="00D20758" w:rsidP="00FD0D00">
      <w:pPr>
        <w:pStyle w:val="NumberedParaAR"/>
      </w:pPr>
      <w:r w:rsidRPr="00640107">
        <w:rPr>
          <w:rFonts w:hint="cs"/>
          <w:rtl/>
        </w:rPr>
        <w:t>وأُعد ذلك التقرير لأغراض الدورة العشرين للجنة، التي عُقدت في الفترة من 14 إلى 22 فبراير 2012. وأوردت الوثيقة</w:t>
      </w:r>
      <w:r w:rsidRPr="00640107">
        <w:rPr>
          <w:rFonts w:hint="eastAsia"/>
          <w:rtl/>
        </w:rPr>
        <w:t> </w:t>
      </w:r>
      <w:r w:rsidRPr="00640107">
        <w:t>WIPO/GRTKF/IC/20/INF/14</w:t>
      </w:r>
      <w:r w:rsidRPr="00640107">
        <w:rPr>
          <w:rFonts w:hint="cs"/>
          <w:rtl/>
        </w:rPr>
        <w:t xml:space="preserve"> معلومات أساسية عن كل من الخيارات المندرجة في الفئة جيم ووصفت الأنشطة التي اضطلعت بها الأمانة حتى انعقاد تلك الدورة. وأُعد بعد ذلك تقرير عن تنفيذ أنشطة الفئة الجيم منذ الدورة العشرين</w:t>
      </w:r>
      <w:r w:rsidRPr="00640107">
        <w:rPr>
          <w:rFonts w:hint="eastAsia"/>
          <w:rtl/>
        </w:rPr>
        <w:t> </w:t>
      </w:r>
      <w:r w:rsidRPr="00640107">
        <w:rPr>
          <w:rFonts w:hint="cs"/>
          <w:rtl/>
        </w:rPr>
        <w:t xml:space="preserve">للجنة لأغراض الدورة الثالثة والعشرين </w:t>
      </w:r>
      <w:r w:rsidR="00FD0D00">
        <w:rPr>
          <w:rFonts w:hint="cs"/>
          <w:rtl/>
        </w:rPr>
        <w:t>للجنة المعقودة</w:t>
      </w:r>
      <w:r w:rsidRPr="00640107">
        <w:rPr>
          <w:rFonts w:hint="cs"/>
          <w:rtl/>
        </w:rPr>
        <w:t xml:space="preserve"> في الفترة من 4 إلى 8</w:t>
      </w:r>
      <w:r w:rsidR="00FD0D00">
        <w:rPr>
          <w:rFonts w:hint="eastAsia"/>
          <w:rtl/>
        </w:rPr>
        <w:t> </w:t>
      </w:r>
      <w:r w:rsidRPr="00640107">
        <w:rPr>
          <w:rFonts w:hint="cs"/>
          <w:rtl/>
        </w:rPr>
        <w:t>فبراير</w:t>
      </w:r>
      <w:r w:rsidR="00FD0D00">
        <w:rPr>
          <w:rFonts w:hint="eastAsia"/>
          <w:rtl/>
        </w:rPr>
        <w:t> </w:t>
      </w:r>
      <w:r w:rsidR="00FD0D00">
        <w:rPr>
          <w:rFonts w:hint="cs"/>
          <w:rtl/>
        </w:rPr>
        <w:t>2013 (</w:t>
      </w:r>
      <w:r w:rsidRPr="00640107">
        <w:rPr>
          <w:rFonts w:hint="cs"/>
          <w:rtl/>
        </w:rPr>
        <w:t>الوثيقة</w:t>
      </w:r>
      <w:r w:rsidRPr="00640107">
        <w:rPr>
          <w:rFonts w:hint="eastAsia"/>
          <w:rtl/>
        </w:rPr>
        <w:t> </w:t>
      </w:r>
      <w:r w:rsidRPr="00640107">
        <w:t>WIPO/GRTKF/IC/23/INF/7 REV.</w:t>
      </w:r>
      <w:r w:rsidR="00FD0D00">
        <w:rPr>
          <w:rFonts w:hint="cs"/>
          <w:rtl/>
        </w:rPr>
        <w:t>) ولأغراض الدورة السادسة والعشرين للجنة المعقودة في الفترة من 3</w:t>
      </w:r>
      <w:r w:rsidR="00FD0D00">
        <w:rPr>
          <w:rFonts w:hint="eastAsia"/>
          <w:rtl/>
        </w:rPr>
        <w:t> </w:t>
      </w:r>
      <w:r w:rsidR="00FD0D00">
        <w:rPr>
          <w:rFonts w:hint="cs"/>
          <w:rtl/>
        </w:rPr>
        <w:t>إلى 7</w:t>
      </w:r>
      <w:r w:rsidR="00FD0D00">
        <w:rPr>
          <w:rFonts w:hint="eastAsia"/>
          <w:rtl/>
        </w:rPr>
        <w:t> </w:t>
      </w:r>
      <w:r w:rsidR="00FD0D00">
        <w:rPr>
          <w:rFonts w:hint="cs"/>
          <w:rtl/>
        </w:rPr>
        <w:t>فبراير</w:t>
      </w:r>
      <w:r w:rsidR="00FD0D00">
        <w:rPr>
          <w:rFonts w:hint="eastAsia"/>
          <w:rtl/>
        </w:rPr>
        <w:t> </w:t>
      </w:r>
      <w:r w:rsidR="00FD0D00">
        <w:rPr>
          <w:rFonts w:hint="cs"/>
          <w:rtl/>
        </w:rPr>
        <w:t xml:space="preserve">2014 (الوثيقة </w:t>
      </w:r>
      <w:r w:rsidR="00FD0D00" w:rsidRPr="00FD0D00">
        <w:t>WIPO/GRTKF/IC/26/INF/7</w:t>
      </w:r>
      <w:r w:rsidR="00FD0D00">
        <w:rPr>
          <w:rFonts w:hint="cs"/>
          <w:rtl/>
        </w:rPr>
        <w:t>)</w:t>
      </w:r>
      <w:r w:rsidRPr="00640107">
        <w:rPr>
          <w:rFonts w:hint="cs"/>
          <w:rtl/>
        </w:rPr>
        <w:t>.</w:t>
      </w:r>
    </w:p>
    <w:p w:rsidR="00D20758" w:rsidRPr="00640107" w:rsidRDefault="00D20758" w:rsidP="00D20758">
      <w:pPr>
        <w:pStyle w:val="NumberedParaAR"/>
        <w:keepNext/>
      </w:pPr>
      <w:r w:rsidRPr="00640107">
        <w:rPr>
          <w:rFonts w:hint="cs"/>
          <w:rtl/>
        </w:rPr>
        <w:lastRenderedPageBreak/>
        <w:t>والجدير بالذكر أن الخيارات المندرجة في الفئة جيم هي كما يلي:</w:t>
      </w:r>
    </w:p>
    <w:p w:rsidR="00D20758" w:rsidRPr="00640107" w:rsidRDefault="00D20758" w:rsidP="00D20758">
      <w:pPr>
        <w:pStyle w:val="NormalParaAR"/>
        <w:keepNext/>
        <w:rPr>
          <w:i/>
          <w:iCs/>
          <w:rtl/>
        </w:rPr>
      </w:pPr>
      <w:r w:rsidRPr="00640107">
        <w:rPr>
          <w:rFonts w:hint="cs"/>
          <w:i/>
          <w:iCs/>
          <w:rtl/>
        </w:rPr>
        <w:t>جيم 1</w:t>
      </w:r>
      <w:r w:rsidRPr="00640107">
        <w:rPr>
          <w:i/>
          <w:iCs/>
          <w:rtl/>
        </w:rPr>
        <w:tab/>
      </w:r>
      <w:r w:rsidRPr="00640107">
        <w:rPr>
          <w:rFonts w:hint="cs"/>
          <w:i/>
          <w:iCs/>
          <w:rtl/>
        </w:rPr>
        <w:t xml:space="preserve"> </w:t>
      </w:r>
      <w:r w:rsidRPr="00640107">
        <w:rPr>
          <w:i/>
          <w:iCs/>
          <w:rtl/>
        </w:rPr>
        <w:t>قاعدة بيانات شبكية بشأن أحكام الملكية الفكرية في الشروط المتفق عليها بشأن النفاذ وتقاسم المنافع</w:t>
      </w:r>
    </w:p>
    <w:p w:rsidR="00D20758" w:rsidRPr="00640107" w:rsidRDefault="00D20758" w:rsidP="00D20758">
      <w:pPr>
        <w:pStyle w:val="NormalParaAR"/>
        <w:ind w:left="567"/>
        <w:rPr>
          <w:i/>
          <w:iCs/>
          <w:rtl/>
        </w:rPr>
      </w:pPr>
      <w:r w:rsidRPr="00640107">
        <w:rPr>
          <w:i/>
          <w:iCs/>
          <w:rtl/>
        </w:rPr>
        <w:t xml:space="preserve">النظر في خيارات لتوسيع استخدام قاعدة البيانات الشبكية بشأن أحكام الملكية الفكرية وتوسيع نطاقها وتوافرها في إطار شروط متفق عليها للنفاذ والتقاسم المنصف للمنافع. ويمكن أن ينشر مضمون قاعدة البيانات الشبكية بأشكال إضافية أيسر </w:t>
      </w:r>
      <w:proofErr w:type="spellStart"/>
      <w:r w:rsidRPr="00640107">
        <w:rPr>
          <w:i/>
          <w:iCs/>
          <w:rtl/>
        </w:rPr>
        <w:t>منالا</w:t>
      </w:r>
      <w:proofErr w:type="spellEnd"/>
      <w:r w:rsidRPr="00640107">
        <w:rPr>
          <w:i/>
          <w:iCs/>
          <w:rtl/>
        </w:rPr>
        <w:t xml:space="preserve"> على أقراص مدمجة مثلا بما يسمح توافرها على نطاق أوسع وتيسير استخدامها من قبل جميع أصحاب المصالح المعنيين.</w:t>
      </w:r>
    </w:p>
    <w:p w:rsidR="00D20758" w:rsidRPr="00640107" w:rsidRDefault="00D20758" w:rsidP="00D20758">
      <w:pPr>
        <w:pStyle w:val="NormalParaAR"/>
        <w:keepNext/>
        <w:rPr>
          <w:i/>
          <w:iCs/>
          <w:rtl/>
        </w:rPr>
      </w:pPr>
      <w:r w:rsidRPr="00640107">
        <w:rPr>
          <w:i/>
          <w:iCs/>
          <w:rtl/>
        </w:rPr>
        <w:t>ج</w:t>
      </w:r>
      <w:r w:rsidRPr="00640107">
        <w:rPr>
          <w:rFonts w:hint="cs"/>
          <w:i/>
          <w:iCs/>
          <w:rtl/>
        </w:rPr>
        <w:t xml:space="preserve">يم </w:t>
      </w:r>
      <w:r w:rsidRPr="00640107">
        <w:rPr>
          <w:i/>
          <w:iCs/>
          <w:rtl/>
        </w:rPr>
        <w:t>2</w:t>
      </w:r>
      <w:r w:rsidRPr="00640107">
        <w:rPr>
          <w:i/>
          <w:iCs/>
          <w:rtl/>
        </w:rPr>
        <w:tab/>
        <w:t>مشروع مبادئ توجيهية للممارسات التعاقدية</w:t>
      </w:r>
    </w:p>
    <w:p w:rsidR="00D20758" w:rsidRPr="00640107" w:rsidRDefault="00D20758" w:rsidP="00FD0D00">
      <w:pPr>
        <w:pStyle w:val="NormalParaAR"/>
        <w:ind w:left="567"/>
        <w:rPr>
          <w:i/>
          <w:iCs/>
          <w:rtl/>
        </w:rPr>
      </w:pPr>
      <w:r w:rsidRPr="00640107">
        <w:rPr>
          <w:i/>
          <w:iCs/>
          <w:rtl/>
        </w:rPr>
        <w:t xml:space="preserve">النظر في خيارات لمشاورات أصحاب المصالح حول مشروع المبادئ التوجيهية ومواصلة تطويرها بشأن الممارسات التعاقدية الواردة في مرفق الوثيقة </w:t>
      </w:r>
      <w:r w:rsidRPr="00640107">
        <w:rPr>
          <w:i/>
          <w:iCs/>
        </w:rPr>
        <w:t>WIPO/GRTKF/IC/7/9</w:t>
      </w:r>
      <w:r w:rsidRPr="00640107">
        <w:rPr>
          <w:i/>
          <w:iCs/>
          <w:rtl/>
        </w:rPr>
        <w:t xml:space="preserve"> وصيغتها المحد</w:t>
      </w:r>
      <w:r w:rsidRPr="00640107">
        <w:rPr>
          <w:rFonts w:hint="cs"/>
          <w:i/>
          <w:iCs/>
          <w:rtl/>
        </w:rPr>
        <w:t>ّ</w:t>
      </w:r>
      <w:r w:rsidRPr="00640107">
        <w:rPr>
          <w:i/>
          <w:iCs/>
          <w:rtl/>
        </w:rPr>
        <w:t>ثة في الوثيقة</w:t>
      </w:r>
      <w:r w:rsidR="00FD0D00">
        <w:rPr>
          <w:rFonts w:hint="cs"/>
          <w:i/>
          <w:iCs/>
          <w:rtl/>
        </w:rPr>
        <w:t> </w:t>
      </w:r>
      <w:r w:rsidRPr="00640107">
        <w:rPr>
          <w:i/>
          <w:iCs/>
        </w:rPr>
        <w:t>WIPO/GRTKF/IC/17/INF/12</w:t>
      </w:r>
      <w:r w:rsidRPr="00640107">
        <w:rPr>
          <w:i/>
          <w:iCs/>
          <w:rtl/>
        </w:rPr>
        <w:t>، بالاستناد إلى المعلومات الإضافية المتاحة والمدرجة في قاعدة البيانات</w:t>
      </w:r>
      <w:r w:rsidRPr="00640107">
        <w:rPr>
          <w:rFonts w:hint="cs"/>
          <w:i/>
          <w:iCs/>
          <w:rtl/>
        </w:rPr>
        <w:t> </w:t>
      </w:r>
      <w:r w:rsidRPr="00640107">
        <w:rPr>
          <w:i/>
          <w:iCs/>
          <w:rtl/>
        </w:rPr>
        <w:t>الشبكية.</w:t>
      </w:r>
    </w:p>
    <w:p w:rsidR="00D20758" w:rsidRPr="00640107" w:rsidRDefault="00D20758" w:rsidP="00D20758">
      <w:pPr>
        <w:pStyle w:val="NormalParaAR"/>
        <w:keepNext/>
        <w:rPr>
          <w:i/>
          <w:iCs/>
          <w:rtl/>
        </w:rPr>
      </w:pPr>
      <w:r w:rsidRPr="00640107">
        <w:rPr>
          <w:i/>
          <w:iCs/>
          <w:rtl/>
        </w:rPr>
        <w:t>ج</w:t>
      </w:r>
      <w:r w:rsidRPr="00640107">
        <w:rPr>
          <w:rFonts w:hint="cs"/>
          <w:i/>
          <w:iCs/>
          <w:rtl/>
        </w:rPr>
        <w:t xml:space="preserve">يم </w:t>
      </w:r>
      <w:r w:rsidRPr="00640107">
        <w:rPr>
          <w:i/>
          <w:iCs/>
          <w:rtl/>
        </w:rPr>
        <w:t>3</w:t>
      </w:r>
      <w:r w:rsidRPr="00640107">
        <w:rPr>
          <w:i/>
          <w:iCs/>
          <w:rtl/>
        </w:rPr>
        <w:tab/>
        <w:t>دراسة حول ممارسات الترخيص في مجال الموارد الوراثية</w:t>
      </w:r>
    </w:p>
    <w:p w:rsidR="00D20758" w:rsidRPr="00640107" w:rsidRDefault="00D20758" w:rsidP="00D20758">
      <w:pPr>
        <w:pStyle w:val="NormalParaAR"/>
        <w:keepNext/>
        <w:ind w:left="567"/>
        <w:rPr>
          <w:i/>
          <w:iCs/>
          <w:rtl/>
        </w:rPr>
      </w:pPr>
      <w:r w:rsidRPr="00640107">
        <w:rPr>
          <w:i/>
          <w:iCs/>
          <w:rtl/>
        </w:rPr>
        <w:t>جمع المعلومات، ربّما في شكل دراسات إفرادية، تصف ممارسات الترخيص في مجال الموارد الوراثية التي توسّع نطاق مفاهيم الابتكار التوزيعي أو مفتوح المصدر من مجال حق المؤلف، بالاستفادة من تجارب مثل الترخيص العام للجمهور وغير ذلك من التجارب المماثلة في مجال حق المؤلف</w:t>
      </w:r>
      <w:r w:rsidRPr="00640107">
        <w:rPr>
          <w:rFonts w:hint="cs"/>
          <w:i/>
          <w:iCs/>
          <w:rtl/>
        </w:rPr>
        <w:t>.</w:t>
      </w:r>
    </w:p>
    <w:p w:rsidR="00A73D77" w:rsidRDefault="00115243" w:rsidP="00DC3FA5">
      <w:pPr>
        <w:pStyle w:val="NumberedParaAR"/>
        <w:rPr>
          <w:rFonts w:hint="cs"/>
        </w:rPr>
      </w:pPr>
      <w:r>
        <w:rPr>
          <w:rFonts w:hint="cs"/>
          <w:rtl/>
        </w:rPr>
        <w:t>و</w:t>
      </w:r>
      <w:r>
        <w:rPr>
          <w:rFonts w:hint="cs"/>
          <w:rtl/>
        </w:rPr>
        <w:t>فيما يخص الخيارين جيم 1 وجيم 2 أعلاه</w:t>
      </w:r>
      <w:r>
        <w:rPr>
          <w:rFonts w:hint="cs"/>
          <w:rtl/>
        </w:rPr>
        <w:t xml:space="preserve">، </w:t>
      </w:r>
      <w:r w:rsidR="00A73D77">
        <w:rPr>
          <w:rFonts w:hint="cs"/>
          <w:rtl/>
        </w:rPr>
        <w:t xml:space="preserve">يجدر </w:t>
      </w:r>
      <w:r>
        <w:rPr>
          <w:rFonts w:hint="cs"/>
          <w:rtl/>
        </w:rPr>
        <w:t>التذكير ب</w:t>
      </w:r>
      <w:r w:rsidR="00A73D77">
        <w:rPr>
          <w:rFonts w:hint="cs"/>
          <w:rtl/>
        </w:rPr>
        <w:t>أنه أتيحت قاعدة بيانات شبكية ب</w:t>
      </w:r>
      <w:r w:rsidR="00A73D77">
        <w:rPr>
          <w:rtl/>
        </w:rPr>
        <w:t xml:space="preserve">شأن </w:t>
      </w:r>
      <w:r>
        <w:rPr>
          <w:rFonts w:hint="cs"/>
          <w:rtl/>
        </w:rPr>
        <w:t>ال</w:t>
      </w:r>
      <w:r w:rsidR="00A73D77">
        <w:rPr>
          <w:rtl/>
        </w:rPr>
        <w:t xml:space="preserve">اتفاقات </w:t>
      </w:r>
      <w:r>
        <w:rPr>
          <w:rFonts w:hint="cs"/>
          <w:rtl/>
        </w:rPr>
        <w:t xml:space="preserve">الفعلية والنموذجية </w:t>
      </w:r>
      <w:r>
        <w:rPr>
          <w:rFonts w:hint="cs"/>
          <w:rtl/>
        </w:rPr>
        <w:t>ل</w:t>
      </w:r>
      <w:r w:rsidR="00A73D77">
        <w:rPr>
          <w:rtl/>
        </w:rPr>
        <w:t>لنفاذ و</w:t>
      </w:r>
      <w:r w:rsidR="00A73D77">
        <w:rPr>
          <w:rFonts w:hint="cs"/>
          <w:rtl/>
        </w:rPr>
        <w:t xml:space="preserve">تقاسم </w:t>
      </w:r>
      <w:r w:rsidR="00A73D77" w:rsidRPr="00A73D77">
        <w:rPr>
          <w:rtl/>
        </w:rPr>
        <w:t xml:space="preserve">المنافع </w:t>
      </w:r>
      <w:r w:rsidR="00A73D77">
        <w:rPr>
          <w:rFonts w:hint="cs"/>
          <w:rtl/>
        </w:rPr>
        <w:t>فيما يتعلق</w:t>
      </w:r>
      <w:r w:rsidR="00A73D77" w:rsidRPr="00A73D77">
        <w:rPr>
          <w:rtl/>
        </w:rPr>
        <w:t xml:space="preserve"> بالتنوع البيولوجي</w:t>
      </w:r>
      <w:r w:rsidR="00A73D77">
        <w:rPr>
          <w:rFonts w:hint="cs"/>
          <w:rtl/>
        </w:rPr>
        <w:t xml:space="preserve"> والمعلومات ذات الصلة، مع تركيز خاص على جوانب الملكية الفكرية لتلك الاتفاقات، على موقع الو</w:t>
      </w:r>
      <w:r>
        <w:rPr>
          <w:rFonts w:hint="cs"/>
          <w:rtl/>
        </w:rPr>
        <w:t>يبو الإلكتروني منذ عام 2002، وبأنه استُحدث مشروع مبادئ توجيهية للممارسات التعاقدية في الفترة بين عامي 2002 و2010، وبأن تلك المبادئ التوجيهية أتيحت في عام 2013 بنسق أيسر، ولو أنها بقيت في نسق مشروع، تحت تسمية "</w:t>
      </w:r>
      <w:r w:rsidRPr="00115243">
        <w:rPr>
          <w:rtl/>
        </w:rPr>
        <w:t>مشروع مبادئ توجيهية في مجال الملكية الفكرية من أجل النفاذ إلى الموارد الوراثية والتقاسم العادل للمنافع الناجمة عن استخدامها</w:t>
      </w:r>
      <w:r>
        <w:rPr>
          <w:rFonts w:hint="cs"/>
          <w:rtl/>
        </w:rPr>
        <w:t>". وتعكف الأمانة، في إطار أنشطة تكوين الكفاءات والأنشطة الإعلامية التي تضطلع بها، على استعراض مشروع المبادئ التوجيهية الحالي بغرض تحديثه و</w:t>
      </w:r>
      <w:r w:rsidR="00F95458">
        <w:rPr>
          <w:rFonts w:hint="cs"/>
          <w:rtl/>
        </w:rPr>
        <w:t xml:space="preserve">تنقيحه، وإتاحة تلك المبادئ التوجيهية بنسق أيسر من حيث الاستخدام. وستظلّ الصيغة المحدّثة مصدرا محايدا للمعلومات العملية المتاحة لمن يبرمون اتفاقات للنفاذ وتقاسم المنافع، دون أن تكون إلزامية بأي شكل من الأشكال. وبالموازاة مع ذلك، ستُحدَّث قاعدة البيانات، </w:t>
      </w:r>
      <w:r w:rsidR="00DC33FB">
        <w:rPr>
          <w:rFonts w:hint="cs"/>
          <w:rtl/>
        </w:rPr>
        <w:t>حيثما أمكن</w:t>
      </w:r>
      <w:r w:rsidR="00F95458">
        <w:rPr>
          <w:rFonts w:hint="cs"/>
          <w:rtl/>
        </w:rPr>
        <w:t xml:space="preserve">، </w:t>
      </w:r>
      <w:r w:rsidR="00E04D70">
        <w:rPr>
          <w:rFonts w:hint="cs"/>
          <w:rtl/>
        </w:rPr>
        <w:t>ويُ</w:t>
      </w:r>
      <w:r w:rsidR="00DC33FB">
        <w:rPr>
          <w:rFonts w:hint="cs"/>
          <w:rtl/>
        </w:rPr>
        <w:t xml:space="preserve">قام </w:t>
      </w:r>
      <w:r w:rsidR="00E04D70">
        <w:rPr>
          <w:rFonts w:hint="cs"/>
          <w:rtl/>
        </w:rPr>
        <w:t>ال</w:t>
      </w:r>
      <w:r w:rsidR="00DC33FB">
        <w:rPr>
          <w:rFonts w:hint="cs"/>
          <w:rtl/>
        </w:rPr>
        <w:t xml:space="preserve">مزيد من </w:t>
      </w:r>
      <w:r w:rsidR="00DC3FA5">
        <w:rPr>
          <w:rFonts w:hint="cs"/>
          <w:rtl/>
        </w:rPr>
        <w:t>الروابط</w:t>
      </w:r>
      <w:bookmarkStart w:id="2" w:name="_GoBack"/>
      <w:bookmarkEnd w:id="2"/>
      <w:r w:rsidR="00DC33FB">
        <w:rPr>
          <w:rFonts w:hint="cs"/>
          <w:rtl/>
        </w:rPr>
        <w:t xml:space="preserve"> المباشرة بينها وبين مشروع المبادئ التوجيهية المُحدَّث.</w:t>
      </w:r>
    </w:p>
    <w:p w:rsidR="00D20758" w:rsidRDefault="00DC33FB" w:rsidP="00DC33FB">
      <w:pPr>
        <w:pStyle w:val="DecisionParaAR"/>
      </w:pPr>
      <w:r w:rsidRPr="004322D0">
        <w:rPr>
          <w:rFonts w:hint="cs"/>
          <w:rtl/>
        </w:rPr>
        <w:t xml:space="preserve"> </w:t>
      </w:r>
      <w:r w:rsidR="00D20758">
        <w:rPr>
          <w:rFonts w:hint="cs"/>
          <w:rtl/>
        </w:rPr>
        <w:t xml:space="preserve">إن اللجنة مدعوة إلى </w:t>
      </w:r>
      <w:r>
        <w:rPr>
          <w:rFonts w:hint="cs"/>
          <w:rtl/>
        </w:rPr>
        <w:t>الإحاطة علما بمضمون هذه الوثيقة وتقديم ما ترغب في تقديمه من إرشادات وتعليقات.</w:t>
      </w:r>
    </w:p>
    <w:p w:rsidR="00D20758" w:rsidRPr="004322D0" w:rsidRDefault="00D20758" w:rsidP="00D20758">
      <w:pPr>
        <w:pStyle w:val="EndofDocumentAR"/>
      </w:pPr>
      <w:r>
        <w:rPr>
          <w:rFonts w:hint="cs"/>
          <w:rtl/>
        </w:rPr>
        <w:t>[نهاية الوثيقة]</w:t>
      </w:r>
    </w:p>
    <w:sectPr w:rsidR="00D20758" w:rsidRPr="004322D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58" w:rsidRDefault="00D20758">
      <w:r>
        <w:separator/>
      </w:r>
    </w:p>
  </w:endnote>
  <w:endnote w:type="continuationSeparator" w:id="0">
    <w:p w:rsidR="00D20758" w:rsidRDefault="00D2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58" w:rsidRDefault="00D20758" w:rsidP="009622BF">
      <w:pPr>
        <w:bidi/>
      </w:pPr>
      <w:bookmarkStart w:id="0" w:name="OLE_LINK1"/>
      <w:bookmarkStart w:id="1" w:name="OLE_LINK2"/>
      <w:r>
        <w:separator/>
      </w:r>
      <w:bookmarkEnd w:id="0"/>
      <w:bookmarkEnd w:id="1"/>
    </w:p>
  </w:footnote>
  <w:footnote w:type="continuationSeparator" w:id="0">
    <w:p w:rsidR="00D20758" w:rsidRDefault="00D20758" w:rsidP="009622BF">
      <w:pPr>
        <w:bidi/>
      </w:pPr>
      <w:r>
        <w:separator/>
      </w:r>
    </w:p>
  </w:footnote>
  <w:footnote w:id="1">
    <w:p w:rsidR="00D20758" w:rsidRPr="00EE74EE" w:rsidRDefault="00D20758" w:rsidP="00D20758">
      <w:pPr>
        <w:pStyle w:val="FootnoteText"/>
      </w:pPr>
      <w:r>
        <w:rPr>
          <w:rStyle w:val="FootnoteReference"/>
        </w:rPr>
        <w:footnoteRef/>
      </w:r>
      <w:r>
        <w:rPr>
          <w:rFonts w:hint="cs"/>
          <w:rtl/>
        </w:rPr>
        <w:t xml:space="preserve"> تقرير الدورة التاسعة عشرة للجنة (</w:t>
      </w:r>
      <w:r w:rsidRPr="00EE74EE">
        <w:t>WIPO/GRTKF/IC/19/12</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063CAD">
    <w:r>
      <w:t>WIPO/GRTKF/IC</w:t>
    </w:r>
    <w:r w:rsidR="002F77FC">
      <w:t>/</w:t>
    </w:r>
    <w:r w:rsidR="00063CAD">
      <w:t>29</w:t>
    </w:r>
    <w:r w:rsidR="00FD0D00">
      <w:t>/INF/8</w:t>
    </w:r>
  </w:p>
  <w:p w:rsidR="002F77FC" w:rsidRDefault="002F77FC" w:rsidP="00D61541">
    <w:r>
      <w:fldChar w:fldCharType="begin"/>
    </w:r>
    <w:r>
      <w:instrText xml:space="preserve"> PAGE  \* MERGEFORMAT </w:instrText>
    </w:r>
    <w:r>
      <w:fldChar w:fldCharType="separate"/>
    </w:r>
    <w:r w:rsidR="00964C04">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5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43"/>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15B"/>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2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C0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D77"/>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758"/>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3FB"/>
    <w:rsid w:val="00DC3FA5"/>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D70"/>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458"/>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D00"/>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207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2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EAE9-5CCE-44CC-8729-1FEF3D04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126</TotalTime>
  <Pages>2</Pages>
  <Words>570</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WIPO/GRTKF/IC/29/INF 8 (Arabic)</vt:lpstr>
    </vt:vector>
  </TitlesOfParts>
  <Company>World Intellectual Property Organization</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 8 (Arabic)</dc:title>
  <dc:creator>وثيقة من إعداد الأمانة</dc:creator>
  <cp:lastModifiedBy>MERZOUK Fawzi</cp:lastModifiedBy>
  <cp:revision>13</cp:revision>
  <cp:lastPrinted>2016-01-19T16:17:00Z</cp:lastPrinted>
  <dcterms:created xsi:type="dcterms:W3CDTF">2016-01-19T14:02:00Z</dcterms:created>
  <dcterms:modified xsi:type="dcterms:W3CDTF">2016-01-19T16:17:00Z</dcterms:modified>
</cp:coreProperties>
</file>