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772E46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C222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C222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C222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C222F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 w:rsidR="008C222F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B42A9E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42A9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42A9E">
        <w:rPr>
          <w:rFonts w:ascii="Cambria Math" w:hAnsi="Cambria Math" w:hint="cs"/>
          <w:rtl/>
        </w:rPr>
        <w:t>السادسة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B42A9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42A9E">
        <w:rPr>
          <w:rFonts w:hint="cs"/>
          <w:rtl/>
        </w:rPr>
        <w:t>3</w:t>
      </w:r>
      <w:r w:rsidR="00100F97">
        <w:rPr>
          <w:rFonts w:hint="cs"/>
          <w:rtl/>
        </w:rPr>
        <w:t xml:space="preserve"> إلى </w:t>
      </w:r>
      <w:r w:rsidR="00B42A9E">
        <w:rPr>
          <w:rFonts w:hint="cs"/>
          <w:rtl/>
        </w:rPr>
        <w:t>7</w:t>
      </w:r>
      <w:r w:rsidR="00783D11">
        <w:rPr>
          <w:rFonts w:hint="cs"/>
          <w:rtl/>
        </w:rPr>
        <w:t xml:space="preserve"> </w:t>
      </w:r>
      <w:r w:rsidR="00B42A9E">
        <w:rPr>
          <w:rFonts w:hint="cs"/>
          <w:rtl/>
        </w:rPr>
        <w:t>فبراير</w:t>
      </w:r>
      <w:r w:rsidR="00AE2328">
        <w:rPr>
          <w:rFonts w:hint="cs"/>
          <w:rtl/>
        </w:rPr>
        <w:t xml:space="preserve"> </w:t>
      </w:r>
      <w:r w:rsidR="00B42A9E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C222F" w:rsidP="008C222F">
      <w:pPr>
        <w:pStyle w:val="DocumentTitleAR"/>
        <w:bidi/>
        <w:rPr>
          <w:rtl/>
        </w:rPr>
      </w:pPr>
      <w:r w:rsidRPr="008C222F">
        <w:rPr>
          <w:rtl/>
        </w:rPr>
        <w:t xml:space="preserve">قرارات الدورة </w:t>
      </w:r>
      <w:r>
        <w:rPr>
          <w:rFonts w:hint="cs"/>
          <w:rtl/>
        </w:rPr>
        <w:t>السادسة</w:t>
      </w:r>
      <w:r w:rsidRPr="008C222F">
        <w:rPr>
          <w:rtl/>
        </w:rPr>
        <w:t xml:space="preserve"> والعشرين للجنة</w:t>
      </w:r>
    </w:p>
    <w:p w:rsidR="00D61541" w:rsidRPr="00D61541" w:rsidRDefault="008C222F" w:rsidP="00345E16">
      <w:pPr>
        <w:pStyle w:val="PreparedbyAR"/>
        <w:bidi/>
        <w:rPr>
          <w:rtl/>
        </w:rPr>
      </w:pPr>
      <w:r w:rsidRPr="008C222F">
        <w:rPr>
          <w:rtl/>
        </w:rPr>
        <w:t>ا</w:t>
      </w:r>
      <w:r w:rsidR="00345E16">
        <w:rPr>
          <w:rFonts w:hint="cs"/>
          <w:rtl/>
        </w:rPr>
        <w:t>لت</w:t>
      </w:r>
      <w:r w:rsidRPr="008C222F">
        <w:rPr>
          <w:rtl/>
        </w:rPr>
        <w:t>ي اعتمدته</w:t>
      </w:r>
      <w:r w:rsidR="00345E16">
        <w:rPr>
          <w:rFonts w:hint="cs"/>
          <w:rtl/>
        </w:rPr>
        <w:t>ا</w:t>
      </w:r>
      <w:r w:rsidRPr="008C222F">
        <w:rPr>
          <w:rtl/>
        </w:rPr>
        <w:t xml:space="preserve"> اللجنة</w:t>
      </w:r>
    </w:p>
    <w:p w:rsidR="008C222F" w:rsidRDefault="008C222F" w:rsidP="008C222F">
      <w:pPr>
        <w:pStyle w:val="NormalParaAR"/>
        <w:keepNext/>
        <w:spacing w:after="0"/>
        <w:rPr>
          <w:rtl/>
        </w:rPr>
      </w:pPr>
      <w:r>
        <w:rPr>
          <w:rtl/>
        </w:rPr>
        <w:br w:type="page"/>
      </w:r>
    </w:p>
    <w:p w:rsidR="00086814" w:rsidRPr="00A34CE5" w:rsidRDefault="00086814" w:rsidP="00086814">
      <w:pPr>
        <w:pStyle w:val="NormalParaAR"/>
        <w:keepNext/>
        <w:spacing w:after="0" w:line="400" w:lineRule="exact"/>
        <w:rPr>
          <w:sz w:val="40"/>
          <w:szCs w:val="40"/>
          <w:rtl/>
        </w:rPr>
      </w:pPr>
      <w:r w:rsidRPr="00A34CE5">
        <w:rPr>
          <w:rFonts w:hint="cs"/>
          <w:sz w:val="40"/>
          <w:szCs w:val="40"/>
          <w:rtl/>
        </w:rPr>
        <w:lastRenderedPageBreak/>
        <w:t>قرار بشأن البند 2 من جدول الأعمال:</w:t>
      </w:r>
    </w:p>
    <w:p w:rsidR="00086814" w:rsidRDefault="00086814" w:rsidP="00086814">
      <w:pPr>
        <w:pStyle w:val="NormalParaAR"/>
        <w:keepNext/>
        <w:spacing w:line="400" w:lineRule="exact"/>
        <w:rPr>
          <w:rtl/>
        </w:rPr>
      </w:pPr>
      <w:r>
        <w:rPr>
          <w:rFonts w:hint="cs"/>
          <w:sz w:val="40"/>
          <w:szCs w:val="40"/>
          <w:rtl/>
        </w:rPr>
        <w:t>انتخاب أعضاء المكتب</w:t>
      </w:r>
    </w:p>
    <w:p w:rsidR="00086814" w:rsidRDefault="00086814" w:rsidP="0010750C">
      <w:pPr>
        <w:pStyle w:val="NormalParaAR"/>
        <w:rPr>
          <w:rtl/>
        </w:rPr>
      </w:pPr>
      <w:r>
        <w:rPr>
          <w:rFonts w:hint="cs"/>
          <w:rtl/>
        </w:rPr>
        <w:t xml:space="preserve">بناء على </w:t>
      </w:r>
      <w:r w:rsidR="005E5E57">
        <w:rPr>
          <w:rFonts w:hint="cs"/>
          <w:rtl/>
        </w:rPr>
        <w:t>ال</w:t>
      </w:r>
      <w:r>
        <w:rPr>
          <w:rFonts w:hint="cs"/>
          <w:rtl/>
        </w:rPr>
        <w:t xml:space="preserve">اقتراح </w:t>
      </w:r>
      <w:r w:rsidR="005E5E57">
        <w:rPr>
          <w:rFonts w:hint="cs"/>
          <w:rtl/>
        </w:rPr>
        <w:t xml:space="preserve">الذي تقدم به </w:t>
      </w:r>
      <w:r>
        <w:rPr>
          <w:rFonts w:hint="cs"/>
          <w:rtl/>
        </w:rPr>
        <w:t>وفد أوروغواي</w:t>
      </w:r>
      <w:r w:rsidR="005E5E57">
        <w:rPr>
          <w:rFonts w:hint="cs"/>
          <w:rtl/>
        </w:rPr>
        <w:t xml:space="preserve"> باسم مجموعة بلدان أمريكا اللاتينية والكاريبي، وأيّده كل من وفد بيلاروس باسم م</w:t>
      </w:r>
      <w:r w:rsidR="005E5E57" w:rsidRPr="005E5E57">
        <w:rPr>
          <w:rtl/>
        </w:rPr>
        <w:t>جموعة بلدان آسيا الوسطى والقوقاز وأوروبا الشرقية</w:t>
      </w:r>
      <w:r w:rsidR="005E5E57">
        <w:rPr>
          <w:rFonts w:hint="cs"/>
          <w:rtl/>
        </w:rPr>
        <w:t>، ووفد الصين، انتخبت اللجنة، بالإجماع وبالتزكية، سعادة سفير جامايكا واين ماكوك رئيسا لها</w:t>
      </w:r>
      <w:r w:rsidR="00CD2B29">
        <w:rPr>
          <w:rFonts w:hint="cs"/>
          <w:rtl/>
        </w:rPr>
        <w:t xml:space="preserve"> في ا</w:t>
      </w:r>
      <w:r w:rsidR="00993ECB">
        <w:rPr>
          <w:rFonts w:hint="cs"/>
          <w:rtl/>
        </w:rPr>
        <w:t>ل</w:t>
      </w:r>
      <w:r w:rsidR="005E5E57">
        <w:rPr>
          <w:rFonts w:hint="cs"/>
          <w:rtl/>
        </w:rPr>
        <w:t xml:space="preserve">ثنائية 2014-2015. </w:t>
      </w:r>
      <w:r w:rsidR="00993ECB">
        <w:rPr>
          <w:rFonts w:hint="cs"/>
          <w:rtl/>
        </w:rPr>
        <w:t xml:space="preserve">كما </w:t>
      </w:r>
      <w:r w:rsidR="005E5E57">
        <w:rPr>
          <w:rFonts w:hint="cs"/>
          <w:rtl/>
        </w:rPr>
        <w:t>انتخبت اللجنة</w:t>
      </w:r>
      <w:r w:rsidR="0010750C">
        <w:rPr>
          <w:rFonts w:hint="cs"/>
          <w:rtl/>
        </w:rPr>
        <w:t xml:space="preserve"> </w:t>
      </w:r>
      <w:r w:rsidR="0010750C" w:rsidRPr="0010750C">
        <w:rPr>
          <w:rtl/>
        </w:rPr>
        <w:t>السيدة ألكسندرا غرازيولي (سويسرا</w:t>
      </w:r>
      <w:r w:rsidR="0010750C">
        <w:rPr>
          <w:rFonts w:hint="cs"/>
          <w:rtl/>
        </w:rPr>
        <w:t>)</w:t>
      </w:r>
      <w:r w:rsidR="005E5E57">
        <w:rPr>
          <w:rFonts w:hint="cs"/>
          <w:rtl/>
        </w:rPr>
        <w:t xml:space="preserve"> </w:t>
      </w:r>
      <w:r w:rsidR="0010750C">
        <w:rPr>
          <w:rFonts w:hint="cs"/>
          <w:rtl/>
        </w:rPr>
        <w:t>بن</w:t>
      </w:r>
      <w:r w:rsidR="005E5E57">
        <w:rPr>
          <w:rFonts w:hint="cs"/>
          <w:rtl/>
        </w:rPr>
        <w:t>اء على اقتراح تقدم به وفد ال</w:t>
      </w:r>
      <w:r w:rsidR="0010750C">
        <w:rPr>
          <w:rFonts w:hint="cs"/>
          <w:rtl/>
        </w:rPr>
        <w:t>يابان باسم المجموعة باء وأيّده وفد الجمهورية التشيكية باسم مجموعة بلدان أوروبا الوسطى والبلطيق، والسيدة أحلام سارة شريخي (الجزائر)</w:t>
      </w:r>
      <w:r w:rsidR="00993ECB">
        <w:rPr>
          <w:rFonts w:hint="cs"/>
          <w:rtl/>
        </w:rPr>
        <w:t xml:space="preserve"> </w:t>
      </w:r>
      <w:r w:rsidR="0010750C">
        <w:rPr>
          <w:rFonts w:hint="cs"/>
          <w:rtl/>
        </w:rPr>
        <w:t xml:space="preserve">بناء على اقتراح تقدم به وفد كينيا باسم المجموعة الأفريقية، </w:t>
      </w:r>
      <w:r w:rsidR="00993ECB">
        <w:rPr>
          <w:rFonts w:hint="cs"/>
          <w:rtl/>
        </w:rPr>
        <w:t xml:space="preserve">والسيد عبد القادر جايلاني </w:t>
      </w:r>
      <w:r w:rsidR="0010750C">
        <w:rPr>
          <w:rFonts w:hint="cs"/>
          <w:rtl/>
        </w:rPr>
        <w:t xml:space="preserve">بناء على اقتراح تقدم به وفد بنغلاديش باسم مجموعة بلدان آسيا والمحيط الهادئ، </w:t>
      </w:r>
      <w:r w:rsidR="00993ECB">
        <w:rPr>
          <w:rFonts w:hint="cs"/>
          <w:rtl/>
        </w:rPr>
        <w:t>ليعملوا نوابا للرئيس في الفترة ذاتها.</w:t>
      </w:r>
    </w:p>
    <w:p w:rsidR="008C222F" w:rsidRPr="00A34CE5" w:rsidRDefault="008C222F" w:rsidP="00993ECB">
      <w:pPr>
        <w:pStyle w:val="NormalParaAR"/>
        <w:keepNext/>
        <w:spacing w:after="0" w:line="400" w:lineRule="exact"/>
        <w:rPr>
          <w:sz w:val="40"/>
          <w:szCs w:val="40"/>
          <w:rtl/>
        </w:rPr>
      </w:pPr>
      <w:r w:rsidRPr="00A34CE5">
        <w:rPr>
          <w:rFonts w:hint="cs"/>
          <w:sz w:val="40"/>
          <w:szCs w:val="40"/>
          <w:rtl/>
        </w:rPr>
        <w:t xml:space="preserve">قرار بشأن البند </w:t>
      </w:r>
      <w:r w:rsidR="00993ECB">
        <w:rPr>
          <w:rFonts w:hint="cs"/>
          <w:sz w:val="40"/>
          <w:szCs w:val="40"/>
          <w:rtl/>
        </w:rPr>
        <w:t>3</w:t>
      </w:r>
      <w:r w:rsidRPr="00A34CE5">
        <w:rPr>
          <w:rFonts w:hint="cs"/>
          <w:sz w:val="40"/>
          <w:szCs w:val="40"/>
          <w:rtl/>
        </w:rPr>
        <w:t xml:space="preserve"> من جدول الأعمال:</w:t>
      </w:r>
    </w:p>
    <w:p w:rsidR="008C222F" w:rsidRDefault="008C222F" w:rsidP="008C222F">
      <w:pPr>
        <w:pStyle w:val="NormalParaAR"/>
        <w:keepNext/>
        <w:spacing w:line="400" w:lineRule="exact"/>
        <w:rPr>
          <w:rtl/>
        </w:rPr>
      </w:pPr>
      <w:r w:rsidRPr="00A34CE5">
        <w:rPr>
          <w:rFonts w:hint="cs"/>
          <w:sz w:val="40"/>
          <w:szCs w:val="40"/>
          <w:rtl/>
        </w:rPr>
        <w:t>اعتماد جدول الأعمال</w:t>
      </w:r>
    </w:p>
    <w:p w:rsidR="008C222F" w:rsidRDefault="008C222F" w:rsidP="00993ECB">
      <w:pPr>
        <w:pStyle w:val="NormalParaAR"/>
        <w:rPr>
          <w:rtl/>
        </w:rPr>
      </w:pPr>
      <w:r>
        <w:rPr>
          <w:rFonts w:hint="cs"/>
          <w:rtl/>
        </w:rPr>
        <w:t>قدم الرئيس مشروع جدول الأعمال المُعمّم في الوثيقة</w:t>
      </w:r>
      <w:r w:rsidR="00993ECB">
        <w:rPr>
          <w:rFonts w:hint="eastAsia"/>
          <w:rtl/>
        </w:rPr>
        <w:t> </w:t>
      </w:r>
      <w:r w:rsidRPr="00A34CE5">
        <w:t>WIPO/GRTKF/IC/</w:t>
      </w:r>
      <w:r w:rsidR="00993ECB">
        <w:t>26</w:t>
      </w:r>
      <w:r w:rsidRPr="00A34CE5">
        <w:t xml:space="preserve">/1 Prov. </w:t>
      </w:r>
      <w:r w:rsidR="00993ECB">
        <w:t>4</w:t>
      </w:r>
      <w:r>
        <w:rPr>
          <w:rFonts w:hint="cs"/>
          <w:rtl/>
        </w:rPr>
        <w:t xml:space="preserve"> كي يُعتمد، وتم اعتماده.</w:t>
      </w:r>
    </w:p>
    <w:p w:rsidR="008C222F" w:rsidRDefault="008C222F" w:rsidP="00993ECB">
      <w:pPr>
        <w:pStyle w:val="NormalParaAR"/>
        <w:keepNext/>
        <w:spacing w:after="0" w:line="400" w:lineRule="exact"/>
        <w:rPr>
          <w:sz w:val="40"/>
          <w:szCs w:val="40"/>
        </w:rPr>
      </w:pPr>
      <w:r w:rsidRPr="00A34CE5">
        <w:rPr>
          <w:rFonts w:hint="cs"/>
          <w:sz w:val="40"/>
          <w:szCs w:val="40"/>
          <w:rtl/>
        </w:rPr>
        <w:t xml:space="preserve">قرار بشأن البند </w:t>
      </w:r>
      <w:r w:rsidR="00993ECB">
        <w:rPr>
          <w:rFonts w:hint="cs"/>
          <w:sz w:val="40"/>
          <w:szCs w:val="40"/>
          <w:rtl/>
        </w:rPr>
        <w:t>4</w:t>
      </w:r>
      <w:r w:rsidRPr="00A34CE5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8C222F" w:rsidRDefault="00993ECB" w:rsidP="008C222F">
      <w:pPr>
        <w:pStyle w:val="NormalParaAR"/>
        <w:keepNext/>
        <w:spacing w:line="400" w:lineRule="exact"/>
        <w:rPr>
          <w:sz w:val="40"/>
          <w:szCs w:val="40"/>
        </w:rPr>
      </w:pPr>
      <w:r>
        <w:rPr>
          <w:sz w:val="40"/>
          <w:szCs w:val="40"/>
          <w:rtl/>
        </w:rPr>
        <w:t>اعتماد تقرير</w:t>
      </w:r>
      <w:r w:rsidR="008C222F" w:rsidRPr="007C7606">
        <w:rPr>
          <w:sz w:val="40"/>
          <w:szCs w:val="40"/>
          <w:rtl/>
        </w:rPr>
        <w:t xml:space="preserve"> الدورة </w:t>
      </w:r>
      <w:r>
        <w:rPr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خامسة</w:t>
      </w:r>
      <w:r w:rsidR="008C222F" w:rsidRPr="007C7606">
        <w:rPr>
          <w:sz w:val="40"/>
          <w:szCs w:val="40"/>
          <w:rtl/>
        </w:rPr>
        <w:t xml:space="preserve"> والعشرين</w:t>
      </w:r>
    </w:p>
    <w:p w:rsidR="008C222F" w:rsidRPr="0046694B" w:rsidRDefault="008C222F" w:rsidP="00993ECB">
      <w:pPr>
        <w:pStyle w:val="NormalParaAR"/>
        <w:rPr>
          <w:rtl/>
        </w:rPr>
      </w:pPr>
      <w:r w:rsidRPr="0046694B">
        <w:rPr>
          <w:rtl/>
        </w:rPr>
        <w:t xml:space="preserve">قدّم الرئيس مشروع التقرير المعدّل لدورة اللجنة </w:t>
      </w:r>
      <w:r w:rsidR="00993ECB">
        <w:rPr>
          <w:rFonts w:hint="cs"/>
          <w:rtl/>
        </w:rPr>
        <w:t>الخامسة</w:t>
      </w:r>
      <w:r w:rsidRPr="0046694B">
        <w:rPr>
          <w:rFonts w:hint="cs"/>
          <w:rtl/>
        </w:rPr>
        <w:t xml:space="preserve"> و</w:t>
      </w:r>
      <w:r w:rsidRPr="0046694B">
        <w:rPr>
          <w:rtl/>
        </w:rPr>
        <w:t>العشرين (الوثيق</w:t>
      </w:r>
      <w:r w:rsidR="00993ECB">
        <w:rPr>
          <w:rFonts w:hint="cs"/>
          <w:rtl/>
        </w:rPr>
        <w:t>ة</w:t>
      </w:r>
      <w:r w:rsidRPr="0046694B">
        <w:rPr>
          <w:rFonts w:hint="eastAsia"/>
          <w:rtl/>
        </w:rPr>
        <w:t> </w:t>
      </w:r>
      <w:r w:rsidRPr="0046694B">
        <w:t>WIPO/GRTKF/IC/</w:t>
      </w:r>
      <w:r w:rsidR="00993ECB">
        <w:t>25</w:t>
      </w:r>
      <w:r w:rsidRPr="0046694B">
        <w:t>/8 Prov. 2.</w:t>
      </w:r>
      <w:r w:rsidRPr="0046694B">
        <w:rPr>
          <w:rtl/>
        </w:rPr>
        <w:t>) لاعتماده</w:t>
      </w:r>
      <w:r w:rsidR="00993ECB">
        <w:rPr>
          <w:rtl/>
        </w:rPr>
        <w:t xml:space="preserve">، </w:t>
      </w:r>
      <w:r w:rsidR="00993ECB">
        <w:rPr>
          <w:rFonts w:hint="cs"/>
          <w:rtl/>
        </w:rPr>
        <w:t>و</w:t>
      </w:r>
      <w:r w:rsidR="00993ECB">
        <w:rPr>
          <w:rtl/>
        </w:rPr>
        <w:t>تم</w:t>
      </w:r>
      <w:r w:rsidRPr="0046694B">
        <w:rPr>
          <w:rtl/>
        </w:rPr>
        <w:t xml:space="preserve"> اعتماده.</w:t>
      </w:r>
    </w:p>
    <w:p w:rsidR="008C222F" w:rsidRDefault="008C222F" w:rsidP="00993ECB">
      <w:pPr>
        <w:pStyle w:val="NormalParaAR"/>
        <w:keepNext/>
        <w:spacing w:after="0" w:line="400" w:lineRule="exact"/>
        <w:rPr>
          <w:sz w:val="40"/>
          <w:szCs w:val="40"/>
        </w:rPr>
      </w:pPr>
      <w:r w:rsidRPr="00A34CE5">
        <w:rPr>
          <w:rFonts w:hint="cs"/>
          <w:sz w:val="40"/>
          <w:szCs w:val="40"/>
          <w:rtl/>
        </w:rPr>
        <w:t xml:space="preserve">قرار بشأن البند </w:t>
      </w:r>
      <w:r w:rsidR="00993ECB">
        <w:rPr>
          <w:rFonts w:hint="cs"/>
          <w:sz w:val="40"/>
          <w:szCs w:val="40"/>
          <w:rtl/>
        </w:rPr>
        <w:t>5</w:t>
      </w:r>
      <w:r w:rsidRPr="00A34CE5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8C222F" w:rsidRPr="0046694B" w:rsidRDefault="008C222F" w:rsidP="008C222F">
      <w:pPr>
        <w:pStyle w:val="NormalParaAR"/>
        <w:keepNext/>
        <w:spacing w:line="400" w:lineRule="exact"/>
        <w:rPr>
          <w:sz w:val="40"/>
          <w:szCs w:val="40"/>
          <w:rtl/>
        </w:rPr>
      </w:pPr>
      <w:r w:rsidRPr="00A34CE5">
        <w:rPr>
          <w:rFonts w:hint="cs"/>
          <w:sz w:val="40"/>
          <w:szCs w:val="40"/>
          <w:rtl/>
        </w:rPr>
        <w:t>اعتماد بعض المنظمات</w:t>
      </w:r>
    </w:p>
    <w:p w:rsidR="008C222F" w:rsidRDefault="008C222F" w:rsidP="00CD2B29">
      <w:pPr>
        <w:pStyle w:val="NormalParaAR"/>
        <w:rPr>
          <w:rtl/>
        </w:rPr>
      </w:pPr>
      <w:r>
        <w:rPr>
          <w:rFonts w:hint="cs"/>
          <w:rtl/>
        </w:rPr>
        <w:t>وافقت اللجنة بالإجماع على اعتماد جميع المنظمات المذكورة في مرفق الوثيقة</w:t>
      </w:r>
      <w:r w:rsidR="00993ECB">
        <w:rPr>
          <w:rFonts w:hint="eastAsia"/>
          <w:rtl/>
        </w:rPr>
        <w:t> </w:t>
      </w:r>
      <w:r w:rsidRPr="00A34CE5">
        <w:t>WIPO/GRTKF/IC/</w:t>
      </w:r>
      <w:r w:rsidR="00993ECB">
        <w:t>26</w:t>
      </w:r>
      <w:r w:rsidRPr="00A34CE5">
        <w:t>/2</w:t>
      </w:r>
      <w:r>
        <w:rPr>
          <w:rFonts w:hint="cs"/>
          <w:rtl/>
        </w:rPr>
        <w:t xml:space="preserve"> بصفة مراقب مؤقت، وهي:</w:t>
      </w:r>
      <w:r w:rsidR="00CD2B29">
        <w:rPr>
          <w:rFonts w:hint="cs"/>
          <w:rtl/>
        </w:rPr>
        <w:t xml:space="preserve"> </w:t>
      </w:r>
      <w:r w:rsidR="00993ECB">
        <w:rPr>
          <w:rFonts w:hint="cs"/>
          <w:rtl/>
        </w:rPr>
        <w:t>مركز الموارد المجتمعية والتنمية (</w:t>
      </w:r>
      <w:r w:rsidR="00871706" w:rsidRPr="00871706">
        <w:t>CRDC</w:t>
      </w:r>
      <w:r w:rsidR="00CD2B29">
        <w:rPr>
          <w:rFonts w:hint="cs"/>
          <w:rtl/>
        </w:rPr>
        <w:t>)</w:t>
      </w:r>
      <w:r w:rsidR="00871706">
        <w:rPr>
          <w:rFonts w:hint="cs"/>
          <w:rtl/>
        </w:rPr>
        <w:t>؛ وتحالف شعوب السلاسل الجبلية (</w:t>
      </w:r>
      <w:r w:rsidR="00871706" w:rsidRPr="00871706">
        <w:t>CPA</w:t>
      </w:r>
      <w:r w:rsidR="00CD2B29">
        <w:rPr>
          <w:rFonts w:hint="cs"/>
          <w:rtl/>
        </w:rPr>
        <w:t xml:space="preserve">)؛ </w:t>
      </w:r>
      <w:r w:rsidR="00871706">
        <w:rPr>
          <w:rFonts w:hint="cs"/>
          <w:rtl/>
        </w:rPr>
        <w:t>وكلية الاتصالات لجامعة مدينة دبلين</w:t>
      </w:r>
      <w:r w:rsidR="00CD2B29">
        <w:rPr>
          <w:rFonts w:hint="cs"/>
          <w:rtl/>
        </w:rPr>
        <w:t xml:space="preserve"> </w:t>
      </w:r>
      <w:r w:rsidR="00871706">
        <w:rPr>
          <w:rFonts w:hint="cs"/>
          <w:rtl/>
        </w:rPr>
        <w:t>(</w:t>
      </w:r>
      <w:r w:rsidR="00871706" w:rsidRPr="00871706">
        <w:t>DCU</w:t>
      </w:r>
      <w:r w:rsidR="00871706">
        <w:rPr>
          <w:rFonts w:hint="cs"/>
          <w:rtl/>
        </w:rPr>
        <w:t xml:space="preserve">)؛ ومؤتمر شعوب </w:t>
      </w:r>
      <w:r w:rsidR="00CD2B29">
        <w:rPr>
          <w:rFonts w:hint="cs"/>
          <w:rtl/>
        </w:rPr>
        <w:t xml:space="preserve">وقبائل </w:t>
      </w:r>
      <w:r w:rsidR="00871706">
        <w:rPr>
          <w:rFonts w:hint="cs"/>
          <w:rtl/>
        </w:rPr>
        <w:t>فيجي الأصلية (</w:t>
      </w:r>
      <w:r w:rsidR="00871706" w:rsidRPr="00871706">
        <w:t>FNTC</w:t>
      </w:r>
      <w:r w:rsidR="00871706">
        <w:rPr>
          <w:rFonts w:hint="cs"/>
          <w:rtl/>
        </w:rPr>
        <w:t>)؛ وفريق العمل المعني بالتنمية المستدامة (</w:t>
      </w:r>
      <w:r w:rsidR="00871706" w:rsidRPr="00871706">
        <w:t>GAD</w:t>
      </w:r>
      <w:r w:rsidR="00871706">
        <w:rPr>
          <w:rFonts w:hint="cs"/>
          <w:rtl/>
        </w:rPr>
        <w:t>)؛ والمؤسسة الهندية للتعليم (</w:t>
      </w:r>
      <w:r w:rsidR="00871706" w:rsidRPr="00871706">
        <w:t>IEF</w:t>
      </w:r>
      <w:r w:rsidR="00871706">
        <w:rPr>
          <w:rFonts w:hint="cs"/>
          <w:rtl/>
        </w:rPr>
        <w:t>)؛ وشبكة المعلومات عن الشعوب الأصلية (</w:t>
      </w:r>
      <w:r w:rsidR="00871706" w:rsidRPr="00871706">
        <w:t>IIN</w:t>
      </w:r>
      <w:r w:rsidR="00871706">
        <w:rPr>
          <w:rFonts w:hint="cs"/>
          <w:rtl/>
        </w:rPr>
        <w:t>)؛ والمركز الدولي للبطاطس (</w:t>
      </w:r>
      <w:r w:rsidR="00D6668A" w:rsidRPr="00D6668A">
        <w:t>CIP</w:t>
      </w:r>
      <w:r w:rsidR="00871706">
        <w:rPr>
          <w:rFonts w:hint="cs"/>
          <w:rtl/>
        </w:rPr>
        <w:t>)</w:t>
      </w:r>
      <w:r w:rsidR="00D6668A">
        <w:rPr>
          <w:rFonts w:hint="cs"/>
          <w:rtl/>
        </w:rPr>
        <w:t>؛ ومنظمة التوعية العالمية بحقوق الملكية الفكرية؛ وجمعية قبائل تامي النيبالية؛ و</w:t>
      </w:r>
      <w:r w:rsidR="00D6668A" w:rsidRPr="00D6668A">
        <w:rPr>
          <w:rtl/>
        </w:rPr>
        <w:t xml:space="preserve">منظمة </w:t>
      </w:r>
      <w:r w:rsidR="00D6668A">
        <w:t xml:space="preserve">Nga Kaiawhina a Wai </w:t>
      </w:r>
      <w:r w:rsidR="00462B1C">
        <w:rPr>
          <w:rFonts w:hint="cs"/>
          <w:rtl/>
        </w:rPr>
        <w:t xml:space="preserve"> </w:t>
      </w:r>
      <w:r w:rsidR="00D6668A">
        <w:rPr>
          <w:rFonts w:hint="cs"/>
          <w:rtl/>
        </w:rPr>
        <w:t>(</w:t>
      </w:r>
      <w:r w:rsidR="00D6668A" w:rsidRPr="00D6668A">
        <w:t>NKW262</w:t>
      </w:r>
      <w:r w:rsidR="00D6668A" w:rsidRPr="00D6668A">
        <w:rPr>
          <w:rtl/>
        </w:rPr>
        <w:t>)</w:t>
      </w:r>
      <w:r w:rsidR="006A0ACC">
        <w:rPr>
          <w:rFonts w:hint="cs"/>
          <w:rtl/>
        </w:rPr>
        <w:t>؛ والشبكة الوطنية لسكان الكونغو الأصليين (</w:t>
      </w:r>
      <w:r w:rsidR="006A0ACC" w:rsidRPr="006A0ACC">
        <w:t>RENAPAC</w:t>
      </w:r>
      <w:r w:rsidR="006A0ACC">
        <w:rPr>
          <w:rFonts w:hint="cs"/>
          <w:rtl/>
        </w:rPr>
        <w:t>)؛وشبكة منظمات الشعوب الأصلية في الكاميرون (</w:t>
      </w:r>
      <w:r w:rsidR="006A0ACC" w:rsidRPr="006A0ACC">
        <w:t>SAMUSA</w:t>
      </w:r>
      <w:r w:rsidR="006A0ACC">
        <w:rPr>
          <w:rFonts w:hint="cs"/>
          <w:rtl/>
        </w:rPr>
        <w:t>)؛ وكلية غروتيوس للقانون بالجامعة الخمسينية الأوغندية؛ وكلية إ جيمس روجرس للقانون بجامعة أريزونا</w:t>
      </w:r>
      <w:r w:rsidR="00097A6C">
        <w:rPr>
          <w:rFonts w:hint="cs"/>
          <w:rtl/>
        </w:rPr>
        <w:t>.</w:t>
      </w:r>
    </w:p>
    <w:p w:rsidR="008C222F" w:rsidRPr="00F75C07" w:rsidRDefault="008C222F" w:rsidP="00097A6C">
      <w:pPr>
        <w:pStyle w:val="NormalParaAR"/>
        <w:keepNext/>
        <w:spacing w:after="0" w:line="400" w:lineRule="exact"/>
        <w:rPr>
          <w:sz w:val="40"/>
          <w:szCs w:val="40"/>
          <w:rtl/>
        </w:rPr>
      </w:pPr>
      <w:r w:rsidRPr="00F75C07">
        <w:rPr>
          <w:rFonts w:hint="cs"/>
          <w:sz w:val="40"/>
          <w:szCs w:val="40"/>
          <w:rtl/>
        </w:rPr>
        <w:t xml:space="preserve">قرار بشأن البند </w:t>
      </w:r>
      <w:r w:rsidR="00097A6C">
        <w:rPr>
          <w:rFonts w:hint="cs"/>
          <w:sz w:val="40"/>
          <w:szCs w:val="40"/>
          <w:rtl/>
        </w:rPr>
        <w:t>6</w:t>
      </w:r>
      <w:r w:rsidRPr="00F75C07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8C222F" w:rsidRPr="0046694B" w:rsidRDefault="008C222F" w:rsidP="008C222F">
      <w:pPr>
        <w:pStyle w:val="NormalParaAR"/>
        <w:keepNext/>
        <w:spacing w:line="400" w:lineRule="exact"/>
        <w:rPr>
          <w:sz w:val="40"/>
          <w:szCs w:val="40"/>
          <w:rtl/>
        </w:rPr>
      </w:pPr>
      <w:r w:rsidRPr="00F75C07">
        <w:rPr>
          <w:rFonts w:hint="cs"/>
          <w:sz w:val="40"/>
          <w:szCs w:val="40"/>
          <w:rtl/>
        </w:rPr>
        <w:t>مشاركة الجماعات الأصلية والمحلية</w:t>
      </w:r>
    </w:p>
    <w:p w:rsidR="008C222F" w:rsidRDefault="008C222F" w:rsidP="00CD2B29">
      <w:pPr>
        <w:pStyle w:val="NormalParaAR"/>
        <w:rPr>
          <w:rtl/>
        </w:rPr>
      </w:pPr>
      <w:r>
        <w:rPr>
          <w:rFonts w:hint="cs"/>
          <w:rtl/>
        </w:rPr>
        <w:t>أحاطت اللجنة علما ب</w:t>
      </w:r>
      <w:r w:rsidRPr="00F75C07">
        <w:rPr>
          <w:rtl/>
        </w:rPr>
        <w:t>الوثائق</w:t>
      </w:r>
      <w:r w:rsidR="00CD2B29">
        <w:rPr>
          <w:rFonts w:hint="cs"/>
          <w:rtl/>
        </w:rPr>
        <w:t> </w:t>
      </w:r>
      <w:r w:rsidRPr="00F75C07">
        <w:t>WIPO/GRTKF/IC/</w:t>
      </w:r>
      <w:r w:rsidR="00097A6C">
        <w:t>26</w:t>
      </w:r>
      <w:r w:rsidRPr="00F75C07">
        <w:t>/3</w:t>
      </w:r>
      <w:r w:rsidRPr="00F75C07">
        <w:rPr>
          <w:rtl/>
        </w:rPr>
        <w:t xml:space="preserve"> </w:t>
      </w:r>
      <w:r>
        <w:rPr>
          <w:rFonts w:hint="cs"/>
          <w:rtl/>
        </w:rPr>
        <w:t>و</w:t>
      </w:r>
      <w:r w:rsidRPr="004120DD">
        <w:t>WIPO/GRTKF/IC/</w:t>
      </w:r>
      <w:r w:rsidR="00097A6C">
        <w:t>26</w:t>
      </w:r>
      <w:r w:rsidRPr="004120DD">
        <w:t xml:space="preserve">/INF/4 </w:t>
      </w:r>
      <w:r w:rsidRPr="00F75C07">
        <w:rPr>
          <w:rtl/>
        </w:rPr>
        <w:t>و</w:t>
      </w:r>
      <w:r w:rsidRPr="00F75C07">
        <w:t>WIPO/GRTKF/IC/</w:t>
      </w:r>
      <w:r w:rsidR="00CD2B29">
        <w:t>26</w:t>
      </w:r>
      <w:r w:rsidRPr="00F75C07">
        <w:t>/INF/6</w:t>
      </w:r>
      <w:r>
        <w:rPr>
          <w:rFonts w:hint="cs"/>
          <w:rtl/>
        </w:rPr>
        <w:t>.</w:t>
      </w:r>
    </w:p>
    <w:p w:rsidR="008C222F" w:rsidRDefault="008C222F" w:rsidP="008C222F">
      <w:pPr>
        <w:pStyle w:val="NormalParaAR"/>
        <w:rPr>
          <w:rtl/>
        </w:rPr>
      </w:pPr>
      <w:r w:rsidRPr="00D23025">
        <w:rPr>
          <w:rtl/>
        </w:rPr>
        <w:t>وشجّعت اللجنة بشدّة أعضاءها وجميع الهيئات المهتمة</w:t>
      </w:r>
      <w:r>
        <w:rPr>
          <w:rtl/>
        </w:rPr>
        <w:t xml:space="preserve"> في القطاعين العام والخاص وحثّ</w:t>
      </w:r>
      <w:r>
        <w:rPr>
          <w:rFonts w:hint="cs"/>
          <w:rtl/>
        </w:rPr>
        <w:t>ته</w:t>
      </w:r>
      <w:r w:rsidRPr="00D23025">
        <w:rPr>
          <w:rtl/>
        </w:rPr>
        <w:t>ا على الإسهام في صندوق الويبو للتبرعات لفائدة الجماعات الأصلية والمحلية المعتمدة.</w:t>
      </w:r>
    </w:p>
    <w:p w:rsidR="008C222F" w:rsidRDefault="008C222F" w:rsidP="000356BA">
      <w:pPr>
        <w:pStyle w:val="NormalParaAR"/>
        <w:rPr>
          <w:rtl/>
        </w:rPr>
      </w:pPr>
      <w:r w:rsidRPr="00D23025">
        <w:rPr>
          <w:rtl/>
        </w:rPr>
        <w:lastRenderedPageBreak/>
        <w:t>واقترح الرئيس انتخاب الأعضاء الثمانية التالية أسماؤهم في المجلس الاستشاري للعمل بصفتهم الشخصية وانتخبتهم اللجنة بالتزكية:</w:t>
      </w:r>
      <w:r>
        <w:rPr>
          <w:rFonts w:hint="cs"/>
          <w:rtl/>
        </w:rPr>
        <w:t xml:space="preserve"> </w:t>
      </w:r>
      <w:r w:rsidR="00462B1C" w:rsidRPr="00462B1C">
        <w:rPr>
          <w:rtl/>
        </w:rPr>
        <w:t xml:space="preserve">السيدة هيما برود، </w:t>
      </w:r>
      <w:r w:rsidR="00462B1C">
        <w:rPr>
          <w:rFonts w:hint="cs"/>
          <w:rtl/>
        </w:rPr>
        <w:t>ممثلة</w:t>
      </w:r>
      <w:r w:rsidR="00462B1C" w:rsidRPr="00462B1C">
        <w:rPr>
          <w:rtl/>
        </w:rPr>
        <w:t xml:space="preserve"> </w:t>
      </w:r>
      <w:r w:rsidR="00462B1C" w:rsidRPr="00D6668A">
        <w:rPr>
          <w:rtl/>
        </w:rPr>
        <w:t xml:space="preserve">منظمة </w:t>
      </w:r>
      <w:r w:rsidR="00462B1C">
        <w:t>Nga Kaiawhina a Wai</w:t>
      </w:r>
      <w:r w:rsidR="00D67C10">
        <w:t xml:space="preserve"> 262</w:t>
      </w:r>
      <w:r w:rsidR="00462B1C">
        <w:rPr>
          <w:rFonts w:hint="cs"/>
          <w:rtl/>
        </w:rPr>
        <w:t xml:space="preserve"> (</w:t>
      </w:r>
      <w:r w:rsidR="00462B1C" w:rsidRPr="00D6668A">
        <w:t>NKW262</w:t>
      </w:r>
      <w:r w:rsidR="00462B1C" w:rsidRPr="00D6668A">
        <w:rPr>
          <w:rtl/>
        </w:rPr>
        <w:t>)</w:t>
      </w:r>
      <w:r w:rsidR="00462B1C">
        <w:rPr>
          <w:rtl/>
        </w:rPr>
        <w:t>، نيوزيلندا</w:t>
      </w:r>
      <w:r w:rsidR="00462B1C">
        <w:rPr>
          <w:rFonts w:hint="cs"/>
          <w:rtl/>
        </w:rPr>
        <w:t>؛ و</w:t>
      </w:r>
      <w:r w:rsidR="00462B1C" w:rsidRPr="00462B1C">
        <w:rPr>
          <w:rtl/>
        </w:rPr>
        <w:t xml:space="preserve">السيد نيلسون دي ليون كانتولي، </w:t>
      </w:r>
      <w:r w:rsidR="00462B1C">
        <w:rPr>
          <w:rFonts w:hint="cs"/>
          <w:rtl/>
        </w:rPr>
        <w:t>ممثل</w:t>
      </w:r>
      <w:r w:rsidR="00462B1C" w:rsidRPr="00462B1C">
        <w:rPr>
          <w:rtl/>
        </w:rPr>
        <w:t xml:space="preserve"> جمعية قبائل كونا المتحدة من أجل الأرض الأم (</w:t>
      </w:r>
      <w:r w:rsidR="00462B1C" w:rsidRPr="00462B1C">
        <w:t>KUNA</w:t>
      </w:r>
      <w:r w:rsidR="00462B1C">
        <w:rPr>
          <w:rtl/>
        </w:rPr>
        <w:t>)، بنما</w:t>
      </w:r>
      <w:r w:rsidR="00462B1C">
        <w:rPr>
          <w:rFonts w:hint="cs"/>
          <w:rtl/>
        </w:rPr>
        <w:t xml:space="preserve">؛ </w:t>
      </w:r>
      <w:r w:rsidR="00462B1C" w:rsidRPr="00462B1C">
        <w:rPr>
          <w:rtl/>
        </w:rPr>
        <w:t xml:space="preserve">والسيدة سيمارا هويل، </w:t>
      </w:r>
      <w:r w:rsidR="00CD2B29">
        <w:rPr>
          <w:rFonts w:hint="cs"/>
          <w:rtl/>
        </w:rPr>
        <w:t>سكر</w:t>
      </w:r>
      <w:r w:rsidR="00462B1C">
        <w:rPr>
          <w:rFonts w:hint="cs"/>
          <w:rtl/>
        </w:rPr>
        <w:t>تيرة</w:t>
      </w:r>
      <w:r w:rsidR="00462B1C" w:rsidRPr="00462B1C">
        <w:rPr>
          <w:rtl/>
        </w:rPr>
        <w:t xml:space="preserve"> أولى، البعثة الدائمة لجامايكا، جنيف؛ والسيد نازرول إسلام، وزير، البعثة الدائمة لبنغلاديش، جنيف</w:t>
      </w:r>
      <w:r w:rsidR="00462B1C">
        <w:rPr>
          <w:rFonts w:hint="cs"/>
          <w:rtl/>
        </w:rPr>
        <w:t>؛ و</w:t>
      </w:r>
      <w:r w:rsidR="00462B1C" w:rsidRPr="00462B1C">
        <w:rPr>
          <w:rtl/>
        </w:rPr>
        <w:t>ال</w:t>
      </w:r>
      <w:r w:rsidR="00462B1C">
        <w:rPr>
          <w:rtl/>
        </w:rPr>
        <w:t xml:space="preserve">سيدة إدفينا لويس، مساعدة </w:t>
      </w:r>
      <w:r w:rsidR="00462B1C">
        <w:rPr>
          <w:rFonts w:hint="cs"/>
          <w:rtl/>
        </w:rPr>
        <w:t xml:space="preserve">مدير، </w:t>
      </w:r>
      <w:r w:rsidR="00462B1C" w:rsidRPr="00462B1C">
        <w:rPr>
          <w:rtl/>
        </w:rPr>
        <w:t xml:space="preserve">قسم السياسة العامة والتعاون الدولي، </w:t>
      </w:r>
      <w:r w:rsidR="00462B1C">
        <w:rPr>
          <w:rtl/>
        </w:rPr>
        <w:t>مكتب أستراليا للملكية الفكرية، كامبيرا</w:t>
      </w:r>
      <w:r w:rsidR="00462B1C">
        <w:rPr>
          <w:rFonts w:hint="cs"/>
          <w:rtl/>
        </w:rPr>
        <w:t xml:space="preserve">، </w:t>
      </w:r>
      <w:r w:rsidR="00462B1C" w:rsidRPr="00462B1C">
        <w:rPr>
          <w:rtl/>
        </w:rPr>
        <w:t>أستراليا؛ والسيد</w:t>
      </w:r>
      <w:r w:rsidR="000356BA">
        <w:rPr>
          <w:rFonts w:hint="cs"/>
          <w:rtl/>
        </w:rPr>
        <w:t> </w:t>
      </w:r>
      <w:r w:rsidR="00462B1C" w:rsidRPr="00462B1C">
        <w:rPr>
          <w:rtl/>
        </w:rPr>
        <w:t xml:space="preserve">مانديكسول ماترووس، سكرتير </w:t>
      </w:r>
      <w:r w:rsidR="00462B1C">
        <w:rPr>
          <w:rFonts w:hint="cs"/>
          <w:rtl/>
        </w:rPr>
        <w:t>أوّل</w:t>
      </w:r>
      <w:r w:rsidR="00462B1C" w:rsidRPr="00462B1C">
        <w:rPr>
          <w:rtl/>
        </w:rPr>
        <w:t>، البعثة الدائمة لجمهورية جنوب أفريقيا، جنيف</w:t>
      </w:r>
      <w:r w:rsidR="00462B1C">
        <w:rPr>
          <w:rFonts w:hint="cs"/>
          <w:rtl/>
        </w:rPr>
        <w:t>؛</w:t>
      </w:r>
      <w:r w:rsidR="00462B1C" w:rsidRPr="00462B1C">
        <w:rPr>
          <w:rtl/>
        </w:rPr>
        <w:t xml:space="preserve"> والسيد أرسين بوغاتيريف، قائم بالأعمال، البع</w:t>
      </w:r>
      <w:r w:rsidR="00462B1C">
        <w:rPr>
          <w:rtl/>
        </w:rPr>
        <w:t>ثة الدائمة للاتحاد الروسي، جنيف</w:t>
      </w:r>
      <w:r w:rsidR="00462B1C">
        <w:rPr>
          <w:rFonts w:hint="cs"/>
          <w:rtl/>
        </w:rPr>
        <w:t xml:space="preserve">؛ </w:t>
      </w:r>
      <w:r w:rsidR="000356BA">
        <w:rPr>
          <w:rFonts w:hint="cs"/>
          <w:rtl/>
        </w:rPr>
        <w:t>و</w:t>
      </w:r>
      <w:r w:rsidR="000356BA" w:rsidRPr="000356BA">
        <w:rPr>
          <w:rtl/>
        </w:rPr>
        <w:t>السيدة جينفر تولي كوربوز</w:t>
      </w:r>
      <w:r w:rsidR="000356BA">
        <w:rPr>
          <w:rFonts w:hint="cs"/>
          <w:rtl/>
        </w:rPr>
        <w:t xml:space="preserve">، ممثلة </w:t>
      </w:r>
      <w:r w:rsidR="000356BA" w:rsidRPr="000356BA">
        <w:rPr>
          <w:rtl/>
        </w:rPr>
        <w:t>مؤسسة تبتيبا</w:t>
      </w:r>
      <w:r w:rsidR="000356BA">
        <w:rPr>
          <w:rFonts w:hint="cs"/>
          <w:rtl/>
        </w:rPr>
        <w:t xml:space="preserve"> - </w:t>
      </w:r>
      <w:r w:rsidR="000356BA" w:rsidRPr="000356BA">
        <w:rPr>
          <w:rtl/>
        </w:rPr>
        <w:t>مركز الشعوب الأصلية الدولي للبحث في السياسة العامة والتعليم</w:t>
      </w:r>
      <w:r w:rsidR="000356BA">
        <w:rPr>
          <w:rFonts w:hint="cs"/>
          <w:rtl/>
        </w:rPr>
        <w:t>، الفلبين.</w:t>
      </w:r>
    </w:p>
    <w:p w:rsidR="008C222F" w:rsidRDefault="008C222F" w:rsidP="008C222F">
      <w:pPr>
        <w:pStyle w:val="NormalParaAR"/>
        <w:rPr>
          <w:rtl/>
        </w:rPr>
      </w:pPr>
      <w:r w:rsidRPr="00754901">
        <w:rPr>
          <w:rtl/>
        </w:rPr>
        <w:t>وعيّن الرئيس نائبته السيدة ألكسندرا غرازيولي رئيسة للمجلس الاستشاري.</w:t>
      </w:r>
    </w:p>
    <w:p w:rsidR="008C222F" w:rsidRPr="00F75C07" w:rsidRDefault="008C222F" w:rsidP="000356BA">
      <w:pPr>
        <w:pStyle w:val="NormalParaAR"/>
        <w:keepNext/>
        <w:spacing w:after="0" w:line="400" w:lineRule="exact"/>
        <w:rPr>
          <w:sz w:val="40"/>
          <w:szCs w:val="40"/>
          <w:rtl/>
        </w:rPr>
      </w:pPr>
      <w:r w:rsidRPr="00F75C07">
        <w:rPr>
          <w:rFonts w:hint="cs"/>
          <w:sz w:val="40"/>
          <w:szCs w:val="40"/>
          <w:rtl/>
        </w:rPr>
        <w:t xml:space="preserve">قرار بشأن البند </w:t>
      </w:r>
      <w:r w:rsidR="000356BA">
        <w:rPr>
          <w:rFonts w:hint="cs"/>
          <w:sz w:val="40"/>
          <w:szCs w:val="40"/>
          <w:rtl/>
        </w:rPr>
        <w:t>7</w:t>
      </w:r>
      <w:r w:rsidRPr="00F75C07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8C222F" w:rsidRDefault="000356BA" w:rsidP="008C222F">
      <w:pPr>
        <w:pStyle w:val="NormalParaAR"/>
        <w:keepNext/>
        <w:spacing w:line="400" w:lineRule="exac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الموارد الوراثية</w:t>
      </w:r>
    </w:p>
    <w:p w:rsidR="00CD2B29" w:rsidRDefault="00371786" w:rsidP="00E20966">
      <w:pPr>
        <w:pStyle w:val="NormalParaAR"/>
        <w:rPr>
          <w:rtl/>
        </w:rPr>
      </w:pPr>
      <w:r w:rsidRPr="00AE2A46">
        <w:rPr>
          <w:rFonts w:hint="cs"/>
          <w:rtl/>
        </w:rPr>
        <w:t>أعدت اللجنة، استنادا إلى الوثيقة</w:t>
      </w:r>
      <w:r w:rsidRPr="00AE2A46">
        <w:rPr>
          <w:rFonts w:hint="eastAsia"/>
          <w:rtl/>
        </w:rPr>
        <w:t> </w:t>
      </w:r>
      <w:r w:rsidRPr="00A34CE5">
        <w:t>WIPO/GRTKF/IC/</w:t>
      </w:r>
      <w:r>
        <w:t>26</w:t>
      </w:r>
      <w:r w:rsidRPr="00A34CE5">
        <w:t>/</w:t>
      </w:r>
      <w:r>
        <w:t>4</w:t>
      </w:r>
      <w:r>
        <w:rPr>
          <w:rFonts w:hint="cs"/>
          <w:rtl/>
        </w:rPr>
        <w:t>، "وثيقة موحدة بشأن الملكية الفكرية والموارد الوراثية</w:t>
      </w:r>
      <w:r w:rsidR="007467C0">
        <w:rPr>
          <w:rFonts w:hint="cs"/>
          <w:rtl/>
        </w:rPr>
        <w:t xml:space="preserve"> - الصيغة المعدلة</w:t>
      </w:r>
      <w:r w:rsidR="00846975">
        <w:rPr>
          <w:rFonts w:hint="eastAsia"/>
          <w:rtl/>
        </w:rPr>
        <w:t> </w:t>
      </w:r>
      <w:r w:rsidR="007467C0">
        <w:rPr>
          <w:rFonts w:hint="cs"/>
          <w:rtl/>
        </w:rPr>
        <w:t>2</w:t>
      </w:r>
      <w:r w:rsidR="00846975">
        <w:rPr>
          <w:rFonts w:hint="eastAsia"/>
          <w:rtl/>
        </w:rPr>
        <w:t> </w:t>
      </w:r>
      <w:r w:rsidR="00DA1CE1">
        <w:rPr>
          <w:rFonts w:hint="cs"/>
          <w:rtl/>
        </w:rPr>
        <w:t>(</w:t>
      </w:r>
      <w:r w:rsidR="00DA1CE1">
        <w:t>Rev. 2</w:t>
      </w:r>
      <w:r w:rsidR="00DA1CE1">
        <w:rPr>
          <w:rFonts w:hint="cs"/>
          <w:rtl/>
        </w:rPr>
        <w:t>)</w:t>
      </w:r>
      <w:r>
        <w:rPr>
          <w:rFonts w:hint="cs"/>
          <w:rtl/>
        </w:rPr>
        <w:t>". وقرّر</w:t>
      </w:r>
      <w:r w:rsidR="002115E2">
        <w:rPr>
          <w:rFonts w:hint="cs"/>
          <w:rtl/>
        </w:rPr>
        <w:t xml:space="preserve">ت اللجنة </w:t>
      </w:r>
      <w:r>
        <w:rPr>
          <w:rFonts w:hint="cs"/>
          <w:rtl/>
        </w:rPr>
        <w:t>أن يُرفع ذلك النص، بالصيغة التي ورد بها عند اختتام الدورة في 7</w:t>
      </w:r>
      <w:r w:rsidR="00846975">
        <w:rPr>
          <w:rFonts w:hint="eastAsia"/>
          <w:rtl/>
        </w:rPr>
        <w:t> </w:t>
      </w:r>
      <w:r>
        <w:rPr>
          <w:rFonts w:hint="cs"/>
          <w:rtl/>
        </w:rPr>
        <w:t>فبراير</w:t>
      </w:r>
      <w:r w:rsidR="00846975">
        <w:rPr>
          <w:rFonts w:hint="eastAsia"/>
        </w:rPr>
        <w:t> </w:t>
      </w:r>
      <w:r w:rsidR="00AE2A46">
        <w:rPr>
          <w:rFonts w:hint="cs"/>
          <w:rtl/>
        </w:rPr>
        <w:t xml:space="preserve">2014، </w:t>
      </w:r>
      <w:r>
        <w:rPr>
          <w:rFonts w:hint="cs"/>
          <w:rtl/>
        </w:rPr>
        <w:t>إلى الجمعية العام للويبو التي ستُعقد في سبتم</w:t>
      </w:r>
      <w:r w:rsidR="00D307F8">
        <w:rPr>
          <w:rFonts w:hint="cs"/>
          <w:rtl/>
        </w:rPr>
        <w:t>بر</w:t>
      </w:r>
      <w:r w:rsidR="00846975">
        <w:rPr>
          <w:rFonts w:hint="eastAsia"/>
          <w:rtl/>
        </w:rPr>
        <w:t> </w:t>
      </w:r>
      <w:r w:rsidR="00D307F8">
        <w:rPr>
          <w:rFonts w:hint="cs"/>
          <w:rtl/>
        </w:rPr>
        <w:t xml:space="preserve">2014، </w:t>
      </w:r>
      <w:r w:rsidR="007467C0">
        <w:rPr>
          <w:rFonts w:hint="cs"/>
          <w:rtl/>
        </w:rPr>
        <w:t>مع مراعاة</w:t>
      </w:r>
      <w:r w:rsidR="00D307F8">
        <w:rPr>
          <w:rFonts w:hint="cs"/>
          <w:rtl/>
        </w:rPr>
        <w:t xml:space="preserve"> أية تصويبات أو تعديلات </w:t>
      </w:r>
      <w:r w:rsidR="00E20966">
        <w:rPr>
          <w:rFonts w:hint="cs"/>
          <w:rtl/>
        </w:rPr>
        <w:t>قد يُتفق على إدخالها بشأن مسائل شاملة في ال</w:t>
      </w:r>
      <w:r w:rsidR="00D307F8">
        <w:rPr>
          <w:rFonts w:hint="cs"/>
          <w:rtl/>
        </w:rPr>
        <w:t xml:space="preserve">دورة الثامنة والعشرين </w:t>
      </w:r>
      <w:r w:rsidR="007467C0">
        <w:rPr>
          <w:rFonts w:hint="cs"/>
          <w:rtl/>
        </w:rPr>
        <w:t xml:space="preserve">للجنة </w:t>
      </w:r>
      <w:r w:rsidR="00D307F8">
        <w:rPr>
          <w:rFonts w:hint="cs"/>
          <w:rtl/>
        </w:rPr>
        <w:t>المزمع عقدها في يوليو</w:t>
      </w:r>
      <w:r w:rsidR="00846975">
        <w:rPr>
          <w:rFonts w:hint="eastAsia"/>
          <w:rtl/>
        </w:rPr>
        <w:t> </w:t>
      </w:r>
      <w:r w:rsidR="00D307F8">
        <w:rPr>
          <w:rFonts w:hint="cs"/>
          <w:rtl/>
        </w:rPr>
        <w:t>2014، طبقا لولاية اللجنة للثنائية</w:t>
      </w:r>
      <w:r w:rsidR="007467C0">
        <w:rPr>
          <w:rFonts w:hint="eastAsia"/>
          <w:rtl/>
        </w:rPr>
        <w:t> </w:t>
      </w:r>
      <w:r w:rsidR="00D307F8">
        <w:rPr>
          <w:rFonts w:hint="cs"/>
          <w:rtl/>
        </w:rPr>
        <w:t>2014-2015 وبرنامج العمل لعام</w:t>
      </w:r>
      <w:r w:rsidR="00846975">
        <w:rPr>
          <w:rFonts w:hint="eastAsia"/>
          <w:rtl/>
        </w:rPr>
        <w:t> </w:t>
      </w:r>
      <w:r w:rsidR="00D307F8">
        <w:rPr>
          <w:rFonts w:hint="cs"/>
          <w:rtl/>
        </w:rPr>
        <w:t>2014، على النحو الوارد في الوثيقة</w:t>
      </w:r>
      <w:r w:rsidR="007467C0">
        <w:rPr>
          <w:rFonts w:hint="eastAsia"/>
          <w:rtl/>
        </w:rPr>
        <w:t> </w:t>
      </w:r>
      <w:r w:rsidR="00D307F8">
        <w:t>WO/GA/43/22</w:t>
      </w:r>
      <w:r w:rsidR="00D307F8">
        <w:rPr>
          <w:rFonts w:hint="cs"/>
          <w:rtl/>
        </w:rPr>
        <w:t>.</w:t>
      </w:r>
    </w:p>
    <w:p w:rsidR="00FD0C52" w:rsidRPr="00FD0C52" w:rsidRDefault="00FD0C52" w:rsidP="00FD0C52">
      <w:pPr>
        <w:pStyle w:val="NormalParaAR"/>
        <w:rPr>
          <w:rtl/>
        </w:rPr>
      </w:pPr>
      <w:r>
        <w:rPr>
          <w:rFonts w:hint="cs"/>
          <w:rtl/>
        </w:rPr>
        <w:t xml:space="preserve">كما أحاطت اللجنة علما بالوثائق </w:t>
      </w:r>
      <w:r w:rsidRPr="00FD0C52">
        <w:t>WIPO/GRTKF/IC/26/5</w:t>
      </w:r>
      <w:r>
        <w:rPr>
          <w:rFonts w:hint="cs"/>
          <w:rtl/>
        </w:rPr>
        <w:t xml:space="preserve"> </w:t>
      </w:r>
      <w:r w:rsidRPr="00FD0C52">
        <w:rPr>
          <w:rFonts w:hint="cs"/>
          <w:rtl/>
        </w:rPr>
        <w:t>و</w:t>
      </w:r>
      <w:r>
        <w:rPr>
          <w:rFonts w:ascii="Arial" w:hAnsi="Arial" w:cs="Tahoma" w:hint="cs"/>
          <w:sz w:val="22"/>
          <w:szCs w:val="20"/>
          <w:rtl/>
          <w:lang w:eastAsia="zh-CN"/>
        </w:rPr>
        <w:t> </w:t>
      </w:r>
      <w:r w:rsidRPr="00FD0C52">
        <w:t>WIPO/GRTKF/IC/26/6</w:t>
      </w:r>
      <w:r>
        <w:rPr>
          <w:rFonts w:hint="cs"/>
          <w:rtl/>
        </w:rPr>
        <w:t xml:space="preserve"> و</w:t>
      </w:r>
      <w:r>
        <w:rPr>
          <w:rFonts w:hint="eastAsia"/>
          <w:rtl/>
        </w:rPr>
        <w:t> </w:t>
      </w:r>
      <w:r w:rsidRPr="00FD0C52">
        <w:t>WIPO/GRTKF/IC/26/INF/7</w:t>
      </w:r>
      <w:r>
        <w:rPr>
          <w:rFonts w:hint="cs"/>
          <w:rtl/>
        </w:rPr>
        <w:t xml:space="preserve"> و </w:t>
      </w:r>
      <w:r w:rsidRPr="00FD0C52">
        <w:t>WIPO/GRTKF/IC/26/INF/8</w:t>
      </w:r>
      <w:r>
        <w:rPr>
          <w:rFonts w:hint="cs"/>
          <w:rtl/>
        </w:rPr>
        <w:t xml:space="preserve"> و </w:t>
      </w:r>
      <w:r w:rsidRPr="00FD0C52">
        <w:t>WIPO/GRTKF/IC/26/INF/9</w:t>
      </w:r>
      <w:r>
        <w:rPr>
          <w:rFonts w:hint="cs"/>
          <w:rtl/>
        </w:rPr>
        <w:t>.</w:t>
      </w:r>
    </w:p>
    <w:p w:rsidR="008C222F" w:rsidRPr="00F75C07" w:rsidRDefault="008C222F" w:rsidP="000356BA">
      <w:pPr>
        <w:pStyle w:val="NormalParaAR"/>
        <w:keepNext/>
        <w:spacing w:after="0" w:line="400" w:lineRule="exact"/>
        <w:rPr>
          <w:sz w:val="40"/>
          <w:szCs w:val="40"/>
          <w:rtl/>
        </w:rPr>
      </w:pPr>
      <w:r w:rsidRPr="00F75C07">
        <w:rPr>
          <w:rFonts w:hint="cs"/>
          <w:sz w:val="40"/>
          <w:szCs w:val="40"/>
          <w:rtl/>
        </w:rPr>
        <w:t xml:space="preserve">قرار بشأن البند </w:t>
      </w:r>
      <w:r w:rsidR="000356BA">
        <w:rPr>
          <w:rFonts w:hint="cs"/>
          <w:sz w:val="40"/>
          <w:szCs w:val="40"/>
          <w:rtl/>
        </w:rPr>
        <w:t>9</w:t>
      </w:r>
      <w:r w:rsidRPr="00F75C07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8C222F" w:rsidRPr="000E0974" w:rsidRDefault="008C222F" w:rsidP="008C222F">
      <w:pPr>
        <w:pStyle w:val="NormalParaAR"/>
        <w:keepNext/>
        <w:spacing w:line="400" w:lineRule="exact"/>
        <w:rPr>
          <w:sz w:val="40"/>
          <w:szCs w:val="40"/>
          <w:rtl/>
        </w:rPr>
      </w:pPr>
      <w:r w:rsidRPr="000E0974">
        <w:rPr>
          <w:rFonts w:hint="cs"/>
          <w:sz w:val="40"/>
          <w:szCs w:val="40"/>
          <w:rtl/>
        </w:rPr>
        <w:t>اختتام الدورة</w:t>
      </w:r>
    </w:p>
    <w:p w:rsidR="008C222F" w:rsidRDefault="008C222F" w:rsidP="00345E16">
      <w:pPr>
        <w:pStyle w:val="NormalParaAR"/>
        <w:rPr>
          <w:rtl/>
        </w:rPr>
      </w:pPr>
      <w:r w:rsidRPr="000E0974">
        <w:rPr>
          <w:rtl/>
        </w:rPr>
        <w:t>اعتمدت اللجنة قراراتها بشأن البنود</w:t>
      </w:r>
      <w:r w:rsidR="00CD2B29">
        <w:rPr>
          <w:rFonts w:hint="cs"/>
          <w:rtl/>
        </w:rPr>
        <w:t> </w:t>
      </w:r>
      <w:r w:rsidRPr="000E0974">
        <w:rPr>
          <w:rtl/>
        </w:rPr>
        <w:t xml:space="preserve">2 و3 و4 و5 </w:t>
      </w:r>
      <w:r>
        <w:rPr>
          <w:rFonts w:hint="cs"/>
          <w:rtl/>
        </w:rPr>
        <w:t>و6 و</w:t>
      </w:r>
      <w:r w:rsidR="000356BA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>
        <w:rPr>
          <w:rtl/>
        </w:rPr>
        <w:t>من جدول الأعمال في</w:t>
      </w:r>
      <w:r>
        <w:rPr>
          <w:rFonts w:hint="cs"/>
          <w:rtl/>
        </w:rPr>
        <w:t xml:space="preserve"> </w:t>
      </w:r>
      <w:r w:rsidR="000356BA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0356BA">
        <w:rPr>
          <w:rFonts w:hint="cs"/>
          <w:rtl/>
        </w:rPr>
        <w:t>فبراير 2014</w:t>
      </w:r>
      <w:r w:rsidRPr="000E0974">
        <w:rPr>
          <w:rtl/>
        </w:rPr>
        <w:t>. واتفقت على إعداد مشروع تقرير كتابي يحتوي على نصوص هذه القرارات المتفق عليها وجميع المداخلات التي أدلي بها أمام اللجنة، وتعميمه قبل</w:t>
      </w:r>
      <w:r>
        <w:rPr>
          <w:rFonts w:hint="cs"/>
          <w:rtl/>
        </w:rPr>
        <w:t> </w:t>
      </w:r>
      <w:r w:rsidR="000356BA">
        <w:rPr>
          <w:rFonts w:hint="cs"/>
          <w:rtl/>
        </w:rPr>
        <w:t>3</w:t>
      </w:r>
      <w:r w:rsidRPr="000E0974">
        <w:rPr>
          <w:rtl/>
        </w:rPr>
        <w:t xml:space="preserve"> </w:t>
      </w:r>
      <w:r w:rsidR="000356BA">
        <w:rPr>
          <w:rFonts w:hint="cs"/>
          <w:rtl/>
        </w:rPr>
        <w:t>مارس</w:t>
      </w:r>
      <w:r w:rsidRPr="000E0974">
        <w:rPr>
          <w:rtl/>
        </w:rPr>
        <w:t xml:space="preserve"> </w:t>
      </w:r>
      <w:r w:rsidR="000356BA">
        <w:rPr>
          <w:rFonts w:hint="cs"/>
          <w:rtl/>
        </w:rPr>
        <w:t>2014</w:t>
      </w:r>
      <w:r w:rsidRPr="000E0974">
        <w:rPr>
          <w:rtl/>
        </w:rPr>
        <w:t xml:space="preserve">. وسيُدعى المشاركون في اللجنة إلى تقديم تصويبات كتابية على مداخلاتهم كما هي مدرجة في مشروع التقرير قبل أن تعمَّم الصيغة النهائية لمشروع التقرير على أعضاء اللجنة لاحقا لاعتمادها في الدورة </w:t>
      </w:r>
      <w:r w:rsidR="00CD2B29">
        <w:rPr>
          <w:rFonts w:hint="cs"/>
          <w:rtl/>
        </w:rPr>
        <w:t>السابعة</w:t>
      </w:r>
      <w:r w:rsidRPr="000E0974">
        <w:rPr>
          <w:rtl/>
        </w:rPr>
        <w:t xml:space="preserve"> والعشرين للجنة.</w:t>
      </w:r>
    </w:p>
    <w:p w:rsidR="00D61541" w:rsidRDefault="008C222F" w:rsidP="00086814">
      <w:pPr>
        <w:pStyle w:val="EndofDocumentAR"/>
        <w:spacing w:before="360"/>
        <w:rPr>
          <w:rtl/>
        </w:rPr>
      </w:pPr>
      <w:r>
        <w:rPr>
          <w:rFonts w:hint="cs"/>
          <w:rtl/>
        </w:rPr>
        <w:t>[نهاية الوثيقة]</w:t>
      </w:r>
    </w:p>
    <w:sectPr w:rsidR="00D6154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2F" w:rsidRDefault="008C222F">
      <w:r>
        <w:separator/>
      </w:r>
    </w:p>
  </w:endnote>
  <w:endnote w:type="continuationSeparator" w:id="0">
    <w:p w:rsidR="008C222F" w:rsidRDefault="008C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2F" w:rsidRDefault="008C222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C222F" w:rsidRDefault="008C222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086814">
    <w:r>
      <w:fldChar w:fldCharType="begin"/>
    </w:r>
    <w:r>
      <w:instrText xml:space="preserve"> PAGE  \* MERGEFORMAT </w:instrText>
    </w:r>
    <w:r>
      <w:fldChar w:fldCharType="separate"/>
    </w:r>
    <w:r w:rsidR="0066333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6BA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814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97A6C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50C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741"/>
    <w:rsid w:val="001D0474"/>
    <w:rsid w:val="001D141D"/>
    <w:rsid w:val="001D1EBD"/>
    <w:rsid w:val="001D2184"/>
    <w:rsid w:val="001D24F3"/>
    <w:rsid w:val="001D2678"/>
    <w:rsid w:val="001D2DC4"/>
    <w:rsid w:val="001D6A48"/>
    <w:rsid w:val="001D738E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5E2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5E16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786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2B1C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E57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334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ACC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033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7C0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975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706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22F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3ECB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2A46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707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2B29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7F8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68A"/>
    <w:rsid w:val="00D677BB"/>
    <w:rsid w:val="00D67C10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1CE1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966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6CBC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00B8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52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BB88-94AB-4DF5-A1BC-4E6FDEC9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GRTKF_IC_26_AR (Arabic)</vt:lpstr>
    </vt:vector>
  </TitlesOfParts>
  <Company>World Intellectual Property Organization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GRTKF_IC_26_AR (Arabic)</dc:title>
  <dc:subject>قرارات الدورة السادسة والعشرين للجنة</dc:subject>
  <dc:creator>MERZOUK Fawzi</dc:creator>
  <cp:lastModifiedBy>DOMBRE Nadia</cp:lastModifiedBy>
  <cp:revision>2</cp:revision>
  <cp:lastPrinted>2014-02-11T16:35:00Z</cp:lastPrinted>
  <dcterms:created xsi:type="dcterms:W3CDTF">2014-02-11T16:38:00Z</dcterms:created>
  <dcterms:modified xsi:type="dcterms:W3CDTF">2014-02-11T16:38:00Z</dcterms:modified>
</cp:coreProperties>
</file>