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0ED1" w:rsidP="00E941B2">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A615F7" w:rsidTr="00B6101C">
        <w:trPr>
          <w:trHeight w:val="333"/>
        </w:trPr>
        <w:tc>
          <w:tcPr>
            <w:tcW w:w="9571" w:type="dxa"/>
            <w:gridSpan w:val="3"/>
            <w:tcBorders>
              <w:top w:val="single" w:sz="4" w:space="0" w:color="auto"/>
            </w:tcBorders>
            <w:vAlign w:val="bottom"/>
          </w:tcPr>
          <w:p w:rsidR="00A615F7" w:rsidRPr="00B6101C" w:rsidRDefault="008D2B99" w:rsidP="008D2B99">
            <w:pPr>
              <w:pStyle w:val="Signature"/>
              <w:bidi/>
              <w:jc w:val="right"/>
            </w:pPr>
            <w:r>
              <w:rPr>
                <w:rFonts w:ascii="Arial Black" w:hAnsi="Arial Black"/>
                <w:caps/>
                <w:sz w:val="15"/>
              </w:rPr>
              <w:t>WIPO/GRTKF/IC/26/INF/7</w:t>
            </w:r>
          </w:p>
        </w:tc>
      </w:tr>
      <w:tr w:rsidR="001667B6" w:rsidTr="00BF164F">
        <w:tc>
          <w:tcPr>
            <w:tcW w:w="9571" w:type="dxa"/>
            <w:gridSpan w:val="3"/>
          </w:tcPr>
          <w:p w:rsidR="001667B6" w:rsidRPr="00B6101C" w:rsidRDefault="00B6101C" w:rsidP="00FB7EC9">
            <w:pPr>
              <w:pStyle w:val="DocumentLanguageAR"/>
              <w:bidi/>
              <w:rPr>
                <w:rtl/>
              </w:rPr>
            </w:pPr>
            <w:r w:rsidRPr="00B6101C">
              <w:rPr>
                <w:rFonts w:hint="cs"/>
                <w:rtl/>
              </w:rPr>
              <w:t xml:space="preserve">الأصل: </w:t>
            </w:r>
            <w:r w:rsidR="00353C15">
              <w:rPr>
                <w:rFonts w:hint="cs"/>
                <w:rtl/>
              </w:rPr>
              <w:t>بالإنكليزية</w:t>
            </w:r>
          </w:p>
        </w:tc>
      </w:tr>
      <w:tr w:rsidR="001667B6" w:rsidTr="00BF164F">
        <w:tc>
          <w:tcPr>
            <w:tcW w:w="9571" w:type="dxa"/>
            <w:gridSpan w:val="3"/>
          </w:tcPr>
          <w:p w:rsidR="001667B6" w:rsidRPr="00B6101C" w:rsidRDefault="00B6101C" w:rsidP="00AD0758">
            <w:pPr>
              <w:pStyle w:val="DocumentDateAR"/>
              <w:bidi/>
              <w:rPr>
                <w:rtl/>
              </w:rPr>
            </w:pPr>
            <w:r w:rsidRPr="00B6101C">
              <w:rPr>
                <w:rFonts w:hint="cs"/>
                <w:rtl/>
              </w:rPr>
              <w:t xml:space="preserve">التاريخ: </w:t>
            </w:r>
            <w:r w:rsidR="00AD0758">
              <w:rPr>
                <w:rFonts w:hint="cs"/>
                <w:rtl/>
              </w:rPr>
              <w:t>5</w:t>
            </w:r>
            <w:r w:rsidR="00A615F7" w:rsidRPr="00B6101C">
              <w:rPr>
                <w:rFonts w:hint="cs"/>
                <w:rtl/>
              </w:rPr>
              <w:t xml:space="preserve"> </w:t>
            </w:r>
            <w:r w:rsidR="00AD0758">
              <w:rPr>
                <w:rFonts w:hint="cs"/>
                <w:rtl/>
              </w:rPr>
              <w:t>ديسمبر</w:t>
            </w:r>
            <w:r w:rsidR="00A615F7" w:rsidRPr="00B6101C">
              <w:rPr>
                <w:rFonts w:hint="cs"/>
                <w:rtl/>
              </w:rPr>
              <w:t xml:space="preserve"> </w:t>
            </w:r>
            <w:r w:rsidR="00A615F7">
              <w:rPr>
                <w:rFonts w:hint="cs"/>
                <w:rtl/>
              </w:rPr>
              <w:t>2013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Pr="00640107" w:rsidRDefault="00F27305" w:rsidP="00F27305">
      <w:pPr>
        <w:bidi/>
        <w:spacing w:line="360" w:lineRule="exact"/>
        <w:rPr>
          <w:rFonts w:ascii="Arabic Typesetting" w:hAnsi="Arabic Typesetting" w:cs="Arabic Typesetting"/>
          <w:sz w:val="36"/>
          <w:szCs w:val="36"/>
          <w:rtl/>
        </w:rPr>
      </w:pPr>
    </w:p>
    <w:p w:rsidR="001667B6" w:rsidRPr="00640107" w:rsidRDefault="00100F97" w:rsidP="00100F97">
      <w:pPr>
        <w:pStyle w:val="MeetingTitleAR"/>
        <w:bidi/>
        <w:ind w:right="550"/>
        <w:rPr>
          <w:rtl/>
        </w:rPr>
      </w:pPr>
      <w:r w:rsidRPr="00640107">
        <w:rPr>
          <w:rtl/>
        </w:rPr>
        <w:t>اللجنة الحكومية الدولية المعنية بالملكية الفكرية والموارد الوراثية والمعارف التقليدية والفولكلور</w:t>
      </w:r>
    </w:p>
    <w:p w:rsidR="001667B6" w:rsidRPr="00640107" w:rsidRDefault="001667B6" w:rsidP="001667B6">
      <w:pPr>
        <w:bidi/>
        <w:spacing w:line="360" w:lineRule="exact"/>
        <w:rPr>
          <w:rFonts w:ascii="Arabic Typesetting" w:hAnsi="Arabic Typesetting" w:cs="Arabic Typesetting"/>
          <w:sz w:val="36"/>
          <w:szCs w:val="36"/>
          <w:rtl/>
        </w:rPr>
      </w:pPr>
    </w:p>
    <w:p w:rsidR="001667B6" w:rsidRPr="00640107" w:rsidRDefault="00F27305" w:rsidP="00AD0758">
      <w:pPr>
        <w:pStyle w:val="MeetingSessionAR"/>
        <w:bidi/>
        <w:rPr>
          <w:rFonts w:ascii="Cambria Math" w:hAnsi="Cambria Math"/>
          <w:rtl/>
        </w:rPr>
      </w:pPr>
      <w:r w:rsidRPr="00640107">
        <w:rPr>
          <w:rFonts w:ascii="Cambria Math" w:hAnsi="Cambria Math"/>
          <w:rtl/>
        </w:rPr>
        <w:t xml:space="preserve">الدورة </w:t>
      </w:r>
      <w:r w:rsidR="00AD0758" w:rsidRPr="00640107">
        <w:rPr>
          <w:rFonts w:ascii="Cambria Math" w:hAnsi="Cambria Math" w:hint="cs"/>
          <w:rtl/>
        </w:rPr>
        <w:t>السادسة</w:t>
      </w:r>
      <w:r w:rsidR="00BC2B7B" w:rsidRPr="00640107">
        <w:rPr>
          <w:rFonts w:ascii="Cambria Math" w:hAnsi="Cambria Math"/>
          <w:rtl/>
        </w:rPr>
        <w:t xml:space="preserve"> </w:t>
      </w:r>
      <w:r w:rsidR="00190B6D" w:rsidRPr="00640107">
        <w:rPr>
          <w:rFonts w:ascii="Cambria Math" w:hAnsi="Cambria Math"/>
          <w:rtl/>
        </w:rPr>
        <w:t>و</w:t>
      </w:r>
      <w:r w:rsidRPr="00640107">
        <w:rPr>
          <w:rFonts w:ascii="Cambria Math" w:hAnsi="Cambria Math"/>
          <w:rtl/>
        </w:rPr>
        <w:t>العشرون</w:t>
      </w:r>
    </w:p>
    <w:p w:rsidR="00D61541" w:rsidRPr="00640107" w:rsidRDefault="00AD0758" w:rsidP="00AD0758">
      <w:pPr>
        <w:pStyle w:val="MeetingDatesAR"/>
        <w:bidi/>
        <w:rPr>
          <w:rtl/>
        </w:rPr>
      </w:pPr>
      <w:r w:rsidRPr="00640107">
        <w:rPr>
          <w:rFonts w:hint="cs"/>
          <w:rtl/>
        </w:rPr>
        <w:t>جنيف، من 3 إلى 7 فبراير 2014</w:t>
      </w:r>
    </w:p>
    <w:p w:rsidR="00D61541" w:rsidRPr="00640107" w:rsidRDefault="00D61541" w:rsidP="00D61541">
      <w:pPr>
        <w:bidi/>
        <w:spacing w:line="360" w:lineRule="exact"/>
        <w:rPr>
          <w:rFonts w:ascii="Arabic Typesetting" w:hAnsi="Arabic Typesetting" w:cs="Arabic Typesetting"/>
          <w:sz w:val="36"/>
          <w:szCs w:val="36"/>
          <w:rtl/>
        </w:rPr>
      </w:pPr>
    </w:p>
    <w:p w:rsidR="00D61541" w:rsidRPr="00640107" w:rsidRDefault="00D61541" w:rsidP="00D61541">
      <w:pPr>
        <w:bidi/>
        <w:spacing w:line="360" w:lineRule="exact"/>
        <w:rPr>
          <w:rFonts w:ascii="Arabic Typesetting" w:hAnsi="Arabic Typesetting" w:cs="Arabic Typesetting"/>
          <w:sz w:val="36"/>
          <w:szCs w:val="36"/>
          <w:rtl/>
        </w:rPr>
      </w:pPr>
    </w:p>
    <w:p w:rsidR="00D61541" w:rsidRPr="00640107" w:rsidRDefault="00D95100" w:rsidP="00EE74EE">
      <w:pPr>
        <w:pStyle w:val="DocumentTitleAR"/>
        <w:bidi/>
        <w:rPr>
          <w:rtl/>
        </w:rPr>
      </w:pPr>
      <w:r w:rsidRPr="00640107">
        <w:rPr>
          <w:rtl/>
        </w:rPr>
        <w:t>تقرير عن تنفيذ أنشطة الفئة جيم ("خيار</w:t>
      </w:r>
      <w:r w:rsidR="00B35BC6" w:rsidRPr="00640107">
        <w:rPr>
          <w:rtl/>
        </w:rPr>
        <w:t xml:space="preserve">ات </w:t>
      </w:r>
      <w:r w:rsidR="00EE74EE" w:rsidRPr="00640107">
        <w:rPr>
          <w:rFonts w:hint="cs"/>
          <w:rtl/>
        </w:rPr>
        <w:t>حول</w:t>
      </w:r>
      <w:r w:rsidR="00B35BC6" w:rsidRPr="00640107">
        <w:rPr>
          <w:rtl/>
        </w:rPr>
        <w:t xml:space="preserve"> الشروط المتفق عليها</w:t>
      </w:r>
      <w:r w:rsidR="00EE74EE" w:rsidRPr="00640107">
        <w:rPr>
          <w:rFonts w:hint="cs"/>
          <w:rtl/>
        </w:rPr>
        <w:t xml:space="preserve"> بشأن ا</w:t>
      </w:r>
      <w:r w:rsidR="00B35BC6" w:rsidRPr="00640107">
        <w:rPr>
          <w:rFonts w:hint="cs"/>
          <w:rtl/>
        </w:rPr>
        <w:t>ل</w:t>
      </w:r>
      <w:r w:rsidRPr="00640107">
        <w:rPr>
          <w:rtl/>
        </w:rPr>
        <w:t xml:space="preserve">تقاسم </w:t>
      </w:r>
      <w:r w:rsidR="00B35BC6" w:rsidRPr="00640107">
        <w:rPr>
          <w:rtl/>
        </w:rPr>
        <w:t xml:space="preserve">المنصف </w:t>
      </w:r>
      <w:r w:rsidR="00EE74EE" w:rsidRPr="00640107">
        <w:rPr>
          <w:rFonts w:hint="cs"/>
          <w:rtl/>
        </w:rPr>
        <w:t xml:space="preserve">والعادل </w:t>
      </w:r>
      <w:r w:rsidR="006D2014" w:rsidRPr="00640107">
        <w:rPr>
          <w:rFonts w:hint="cs"/>
          <w:rtl/>
        </w:rPr>
        <w:t>للمنافع</w:t>
      </w:r>
      <w:r w:rsidRPr="00640107">
        <w:rPr>
          <w:rtl/>
        </w:rPr>
        <w:t>")</w:t>
      </w:r>
    </w:p>
    <w:p w:rsidR="00D61541" w:rsidRPr="00640107" w:rsidRDefault="001D7A30" w:rsidP="00931859">
      <w:pPr>
        <w:pStyle w:val="PreparedbyAR"/>
        <w:bidi/>
        <w:rPr>
          <w:rtl/>
        </w:rPr>
      </w:pPr>
      <w:r w:rsidRPr="00640107">
        <w:rPr>
          <w:rFonts w:hint="cs"/>
          <w:rtl/>
        </w:rPr>
        <w:t xml:space="preserve">وثيقة </w:t>
      </w:r>
      <w:r w:rsidR="00D61541" w:rsidRPr="00640107">
        <w:rPr>
          <w:rFonts w:hint="cs"/>
          <w:rtl/>
        </w:rPr>
        <w:t>من إعداد</w:t>
      </w:r>
      <w:r w:rsidRPr="00640107">
        <w:rPr>
          <w:rFonts w:hint="cs"/>
          <w:rtl/>
        </w:rPr>
        <w:t xml:space="preserve"> الأمانة</w:t>
      </w:r>
    </w:p>
    <w:p w:rsidR="001667B6" w:rsidRPr="00640107" w:rsidRDefault="00B35BC6" w:rsidP="00057C66">
      <w:pPr>
        <w:pStyle w:val="NumberedParaAR"/>
      </w:pPr>
      <w:r w:rsidRPr="00640107">
        <w:rPr>
          <w:rFonts w:hint="cs"/>
          <w:rtl/>
        </w:rPr>
        <w:t>طلبت</w:t>
      </w:r>
      <w:r w:rsidR="006D2014" w:rsidRPr="00640107">
        <w:rPr>
          <w:rtl/>
        </w:rPr>
        <w:t xml:space="preserve"> اللجنة الحكومية الدولية المعنية بالملكية الفكرية والموارد الوراثية والمعارف التقليدية والفولكلور ("اللجنة")، في دورتها التاسعة عشرة </w:t>
      </w:r>
      <w:r w:rsidR="00622E73" w:rsidRPr="00640107">
        <w:rPr>
          <w:rFonts w:hint="cs"/>
          <w:rtl/>
        </w:rPr>
        <w:t>المعقودة</w:t>
      </w:r>
      <w:r w:rsidR="006D2014" w:rsidRPr="00640107">
        <w:rPr>
          <w:rtl/>
        </w:rPr>
        <w:t xml:space="preserve"> </w:t>
      </w:r>
      <w:r w:rsidR="006D2014" w:rsidRPr="00640107">
        <w:rPr>
          <w:rFonts w:hint="cs"/>
          <w:rtl/>
        </w:rPr>
        <w:t xml:space="preserve">في الفترة </w:t>
      </w:r>
      <w:r w:rsidR="006D2014" w:rsidRPr="00640107">
        <w:rPr>
          <w:rtl/>
        </w:rPr>
        <w:t>من 18 إلى 22 يوليو 2011، وبالإشارة إلى الوثيقة</w:t>
      </w:r>
      <w:r w:rsidR="00057C66" w:rsidRPr="00640107">
        <w:rPr>
          <w:rFonts w:hint="cs"/>
          <w:rtl/>
        </w:rPr>
        <w:t> </w:t>
      </w:r>
      <w:r w:rsidR="006D2014" w:rsidRPr="00640107">
        <w:t>WIPO/GRTKF/IC/19/7</w:t>
      </w:r>
      <w:r w:rsidR="006D2014" w:rsidRPr="00640107">
        <w:rPr>
          <w:rtl/>
        </w:rPr>
        <w:t xml:space="preserve"> ("خيارات العمل في المستقبل بشأن الملكية الفكرية والموارد الوراثية")، </w:t>
      </w:r>
      <w:r w:rsidR="006D2014" w:rsidRPr="00640107">
        <w:rPr>
          <w:rFonts w:hint="cs"/>
          <w:rtl/>
        </w:rPr>
        <w:t>"</w:t>
      </w:r>
      <w:r w:rsidRPr="00640107">
        <w:rPr>
          <w:rFonts w:hint="cs"/>
          <w:rtl/>
        </w:rPr>
        <w:t>إلى</w:t>
      </w:r>
      <w:r w:rsidRPr="00640107">
        <w:rPr>
          <w:rtl/>
        </w:rPr>
        <w:t xml:space="preserve"> الأمانة إ</w:t>
      </w:r>
      <w:r w:rsidRPr="00640107">
        <w:rPr>
          <w:rFonts w:hint="cs"/>
          <w:rtl/>
        </w:rPr>
        <w:t>نجاز</w:t>
      </w:r>
      <w:r w:rsidR="006D2014" w:rsidRPr="00640107">
        <w:rPr>
          <w:rtl/>
        </w:rPr>
        <w:t xml:space="preserve"> الأنشطة المشار إليها في </w:t>
      </w:r>
      <w:r w:rsidRPr="00640107">
        <w:rPr>
          <w:rFonts w:hint="cs"/>
          <w:rtl/>
        </w:rPr>
        <w:t>الفئة</w:t>
      </w:r>
      <w:r w:rsidR="006D2014" w:rsidRPr="00640107">
        <w:rPr>
          <w:rtl/>
        </w:rPr>
        <w:t xml:space="preserve"> ج</w:t>
      </w:r>
      <w:r w:rsidRPr="00640107">
        <w:rPr>
          <w:rFonts w:hint="cs"/>
          <w:rtl/>
        </w:rPr>
        <w:t>يم</w:t>
      </w:r>
      <w:r w:rsidR="006D2014" w:rsidRPr="00640107">
        <w:rPr>
          <w:rtl/>
        </w:rPr>
        <w:t xml:space="preserve"> ("خيارات </w:t>
      </w:r>
      <w:r w:rsidRPr="00640107">
        <w:rPr>
          <w:rFonts w:hint="cs"/>
          <w:rtl/>
        </w:rPr>
        <w:t>حول</w:t>
      </w:r>
      <w:r w:rsidRPr="00640107">
        <w:rPr>
          <w:rtl/>
        </w:rPr>
        <w:t xml:space="preserve"> الشروط المتفق عليها </w:t>
      </w:r>
      <w:r w:rsidRPr="00640107">
        <w:rPr>
          <w:rFonts w:hint="cs"/>
          <w:rtl/>
        </w:rPr>
        <w:t>بشأن ال</w:t>
      </w:r>
      <w:r w:rsidR="006D2014" w:rsidRPr="00640107">
        <w:rPr>
          <w:rtl/>
        </w:rPr>
        <w:t xml:space="preserve">تقاسم </w:t>
      </w:r>
      <w:r w:rsidRPr="00640107">
        <w:rPr>
          <w:rFonts w:hint="cs"/>
          <w:rtl/>
        </w:rPr>
        <w:t>المنصف</w:t>
      </w:r>
      <w:r w:rsidRPr="00640107">
        <w:rPr>
          <w:rtl/>
        </w:rPr>
        <w:t xml:space="preserve"> وال</w:t>
      </w:r>
      <w:r w:rsidRPr="00640107">
        <w:rPr>
          <w:rFonts w:hint="cs"/>
          <w:rtl/>
        </w:rPr>
        <w:t>عادل</w:t>
      </w:r>
      <w:r w:rsidR="006D2014" w:rsidRPr="00640107">
        <w:rPr>
          <w:rtl/>
        </w:rPr>
        <w:t xml:space="preserve"> للمنافع")</w:t>
      </w:r>
      <w:r w:rsidRPr="00640107">
        <w:rPr>
          <w:rtl/>
        </w:rPr>
        <w:t>، وتحديثها ب</w:t>
      </w:r>
      <w:r w:rsidRPr="00640107">
        <w:rPr>
          <w:rFonts w:hint="cs"/>
          <w:rtl/>
        </w:rPr>
        <w:t xml:space="preserve">انتظام حسب الاقتضاء، </w:t>
      </w:r>
      <w:r w:rsidR="006D2014" w:rsidRPr="00640107">
        <w:rPr>
          <w:rtl/>
        </w:rPr>
        <w:t>وتزويد اللجنة بمعلومات بشأنها في كل دورة."</w:t>
      </w:r>
      <w:r w:rsidRPr="00640107">
        <w:rPr>
          <w:rStyle w:val="FootnoteReference"/>
          <w:rtl/>
        </w:rPr>
        <w:footnoteReference w:id="1"/>
      </w:r>
    </w:p>
    <w:p w:rsidR="00A615F7" w:rsidRPr="00640107" w:rsidRDefault="00EE74EE" w:rsidP="00AD0758">
      <w:pPr>
        <w:pStyle w:val="NumberedParaAR"/>
      </w:pPr>
      <w:r w:rsidRPr="00640107">
        <w:rPr>
          <w:rFonts w:hint="cs"/>
          <w:rtl/>
        </w:rPr>
        <w:t>وأُعد ذلك التقرير لأغراض الدورة العشرين للجنة، التي عُقدت في الفترة من 14 إلى 22 فبراير 2012. وأوردت الوثيقة</w:t>
      </w:r>
      <w:r w:rsidR="00057C66" w:rsidRPr="00640107">
        <w:rPr>
          <w:rFonts w:hint="eastAsia"/>
          <w:rtl/>
        </w:rPr>
        <w:t> </w:t>
      </w:r>
      <w:r w:rsidRPr="00640107">
        <w:t>WIPO/GRTKF/IC/20/INF/14</w:t>
      </w:r>
      <w:r w:rsidRPr="00640107">
        <w:rPr>
          <w:rFonts w:hint="cs"/>
          <w:rtl/>
        </w:rPr>
        <w:t xml:space="preserve"> معلومات أساسية عن كل من الخيارات المندرجة </w:t>
      </w:r>
      <w:r w:rsidR="004C2F10" w:rsidRPr="00640107">
        <w:rPr>
          <w:rFonts w:hint="cs"/>
          <w:rtl/>
        </w:rPr>
        <w:t>في الفئة جيم ووصفت</w:t>
      </w:r>
      <w:r w:rsidRPr="00640107">
        <w:rPr>
          <w:rFonts w:hint="cs"/>
          <w:rtl/>
        </w:rPr>
        <w:t xml:space="preserve"> الأنشطة التي اضطلعت بها الأمانة حتى انعقاد تلك الدورة.</w:t>
      </w:r>
      <w:r w:rsidR="00AD0758" w:rsidRPr="00640107">
        <w:rPr>
          <w:rFonts w:hint="cs"/>
          <w:rtl/>
        </w:rPr>
        <w:t xml:space="preserve"> وأُعد بعد ذلك تقرير </w:t>
      </w:r>
      <w:r w:rsidRPr="00640107">
        <w:rPr>
          <w:rFonts w:hint="cs"/>
          <w:rtl/>
        </w:rPr>
        <w:t>عن تنفيذ أنشطة الفئة الجيم منذ الدورة العشرين</w:t>
      </w:r>
      <w:r w:rsidR="0046553D" w:rsidRPr="00640107">
        <w:rPr>
          <w:rFonts w:hint="eastAsia"/>
          <w:rtl/>
        </w:rPr>
        <w:t> </w:t>
      </w:r>
      <w:r w:rsidRPr="00640107">
        <w:rPr>
          <w:rFonts w:hint="cs"/>
          <w:rtl/>
        </w:rPr>
        <w:t>للجنة</w:t>
      </w:r>
      <w:r w:rsidR="00AD0758" w:rsidRPr="00640107">
        <w:rPr>
          <w:rFonts w:hint="cs"/>
          <w:rtl/>
        </w:rPr>
        <w:t xml:space="preserve"> لأغراض الدورة الثالثة والعشرين المنعقدة في الفترة من 4 إلى 8 فبراير 2013. والوثيقة</w:t>
      </w:r>
      <w:r w:rsidR="00AD0758" w:rsidRPr="00640107">
        <w:rPr>
          <w:rFonts w:hint="eastAsia"/>
          <w:rtl/>
        </w:rPr>
        <w:t> </w:t>
      </w:r>
      <w:r w:rsidR="00AD0758" w:rsidRPr="00640107">
        <w:t>WIPO/GRTKF/IC/23/INF/7 REV.</w:t>
      </w:r>
      <w:r w:rsidR="00AD0758" w:rsidRPr="00640107">
        <w:rPr>
          <w:rFonts w:hint="cs"/>
          <w:rtl/>
        </w:rPr>
        <w:t xml:space="preserve"> هي </w:t>
      </w:r>
      <w:r w:rsidR="006328BB" w:rsidRPr="00640107">
        <w:rPr>
          <w:rFonts w:hint="cs"/>
          <w:rtl/>
        </w:rPr>
        <w:t xml:space="preserve">تحديث </w:t>
      </w:r>
      <w:r w:rsidR="00CF4B48" w:rsidRPr="00640107">
        <w:rPr>
          <w:rFonts w:hint="cs"/>
          <w:rtl/>
        </w:rPr>
        <w:t xml:space="preserve">لإدراج الإشارات إلى </w:t>
      </w:r>
      <w:r w:rsidR="007D6762" w:rsidRPr="00640107">
        <w:rPr>
          <w:rFonts w:hint="cs"/>
          <w:rtl/>
        </w:rPr>
        <w:t>الردود المستلمة إلى غاية 14 يناير 2013 على "</w:t>
      </w:r>
      <w:r w:rsidR="007D6762" w:rsidRPr="00640107">
        <w:rPr>
          <w:rtl/>
        </w:rPr>
        <w:t>ا</w:t>
      </w:r>
      <w:r w:rsidR="007D6762" w:rsidRPr="00640107">
        <w:rPr>
          <w:rFonts w:hint="cs"/>
          <w:rtl/>
        </w:rPr>
        <w:t>لا</w:t>
      </w:r>
      <w:r w:rsidR="007D6762" w:rsidRPr="00640107">
        <w:rPr>
          <w:rtl/>
        </w:rPr>
        <w:t>ستبيان عن الممارسات التعاقدية والبنود المتعلقة بالملكية الفكرية والنفاذ إلى الموارد الوراثية وتقاسم المنافع</w:t>
      </w:r>
      <w:r w:rsidR="00B255C3" w:rsidRPr="00640107">
        <w:rPr>
          <w:rFonts w:hint="cs"/>
          <w:rtl/>
        </w:rPr>
        <w:t>" (</w:t>
      </w:r>
      <w:r w:rsidR="007D6762" w:rsidRPr="00640107">
        <w:rPr>
          <w:rtl/>
        </w:rPr>
        <w:t xml:space="preserve">الوثيقة </w:t>
      </w:r>
      <w:r w:rsidR="007D6762" w:rsidRPr="00640107">
        <w:t>WIPO/GRTKF/IC/Q.6</w:t>
      </w:r>
      <w:r w:rsidR="00B255C3" w:rsidRPr="00640107">
        <w:rPr>
          <w:rFonts w:hint="cs"/>
          <w:rtl/>
        </w:rPr>
        <w:t>) الذي وُز</w:t>
      </w:r>
      <w:r w:rsidR="006328BB" w:rsidRPr="00640107">
        <w:rPr>
          <w:rFonts w:hint="cs"/>
          <w:rtl/>
        </w:rPr>
        <w:t>ّ</w:t>
      </w:r>
      <w:r w:rsidR="00B255C3" w:rsidRPr="00640107">
        <w:rPr>
          <w:rFonts w:hint="cs"/>
          <w:rtl/>
        </w:rPr>
        <w:t>ع في 20 نوفمبر 2012.</w:t>
      </w:r>
    </w:p>
    <w:p w:rsidR="00744D0B" w:rsidRPr="00640107" w:rsidRDefault="00640107" w:rsidP="004729C4">
      <w:pPr>
        <w:pStyle w:val="NumberedParaAR"/>
        <w:keepNext/>
      </w:pPr>
      <w:r w:rsidRPr="00640107">
        <w:rPr>
          <w:rFonts w:hint="cs"/>
          <w:rtl/>
        </w:rPr>
        <w:lastRenderedPageBreak/>
        <w:t>والجدير بالذكر أن ال</w:t>
      </w:r>
      <w:r w:rsidR="004C2F10" w:rsidRPr="00640107">
        <w:rPr>
          <w:rFonts w:hint="cs"/>
          <w:rtl/>
        </w:rPr>
        <w:t>خيارات المندرجة في الفئة جيم</w:t>
      </w:r>
      <w:r w:rsidRPr="00640107">
        <w:rPr>
          <w:rFonts w:hint="cs"/>
          <w:rtl/>
        </w:rPr>
        <w:t xml:space="preserve"> هي كما يلي:</w:t>
      </w:r>
    </w:p>
    <w:p w:rsidR="004C2F10" w:rsidRPr="00640107" w:rsidRDefault="004C2F10" w:rsidP="00EE0743">
      <w:pPr>
        <w:pStyle w:val="NormalParaAR"/>
        <w:keepNext/>
        <w:rPr>
          <w:i/>
          <w:iCs/>
          <w:rtl/>
        </w:rPr>
      </w:pPr>
      <w:r w:rsidRPr="00640107">
        <w:rPr>
          <w:rFonts w:hint="cs"/>
          <w:i/>
          <w:iCs/>
          <w:rtl/>
        </w:rPr>
        <w:t>جيم 1</w:t>
      </w:r>
      <w:r w:rsidRPr="00640107">
        <w:rPr>
          <w:i/>
          <w:iCs/>
          <w:rtl/>
        </w:rPr>
        <w:tab/>
      </w:r>
      <w:r w:rsidRPr="00640107">
        <w:rPr>
          <w:rFonts w:hint="cs"/>
          <w:i/>
          <w:iCs/>
          <w:rtl/>
        </w:rPr>
        <w:t xml:space="preserve"> </w:t>
      </w:r>
      <w:r w:rsidRPr="00640107">
        <w:rPr>
          <w:i/>
          <w:iCs/>
          <w:rtl/>
        </w:rPr>
        <w:t>قاعدة بيانات شبكية بشأن أحكام الملكية الفكرية في الشروط المتفق عليها بشأن النفاذ وتقاسم المنافع</w:t>
      </w:r>
    </w:p>
    <w:p w:rsidR="004C2F10" w:rsidRPr="00640107" w:rsidRDefault="004C2F10" w:rsidP="00511AC0">
      <w:pPr>
        <w:pStyle w:val="NormalParaAR"/>
        <w:ind w:left="567"/>
        <w:rPr>
          <w:i/>
          <w:iCs/>
          <w:rtl/>
        </w:rPr>
      </w:pPr>
      <w:r w:rsidRPr="00640107">
        <w:rPr>
          <w:i/>
          <w:iCs/>
          <w:rtl/>
        </w:rPr>
        <w:t>النظر في خيارات لتوسيع استخدام قاعدة البيانات الشبكية بشأن أحكام الملكية الفكرية وتوسيع نطاقها وتوافرها في إطار شروط متفق عليها للنفاذ والتقاسم المنصف للمنافع. ويمكن أن ينشر مضمون قاعدة البيانات الشبكية بأشكال إضافية أيسر منالا على أقراص مدمجة مثلا بما يسمح توافرها على نطاق أوسع وتيسير استخدامها من قبل جميع أصحاب المصالح المعنيين.</w:t>
      </w:r>
    </w:p>
    <w:p w:rsidR="00511AC0" w:rsidRPr="00640107" w:rsidRDefault="00511AC0" w:rsidP="00F3548F">
      <w:pPr>
        <w:pStyle w:val="NormalParaAR"/>
        <w:keepNext/>
        <w:rPr>
          <w:i/>
          <w:iCs/>
          <w:rtl/>
        </w:rPr>
      </w:pPr>
      <w:r w:rsidRPr="00640107">
        <w:rPr>
          <w:i/>
          <w:iCs/>
          <w:rtl/>
        </w:rPr>
        <w:t>ج</w:t>
      </w:r>
      <w:r w:rsidRPr="00640107">
        <w:rPr>
          <w:rFonts w:hint="cs"/>
          <w:i/>
          <w:iCs/>
          <w:rtl/>
        </w:rPr>
        <w:t>يم</w:t>
      </w:r>
      <w:r w:rsidR="00F3548F" w:rsidRPr="00640107">
        <w:rPr>
          <w:rFonts w:hint="cs"/>
          <w:i/>
          <w:iCs/>
          <w:rtl/>
        </w:rPr>
        <w:t xml:space="preserve"> </w:t>
      </w:r>
      <w:r w:rsidRPr="00640107">
        <w:rPr>
          <w:i/>
          <w:iCs/>
          <w:rtl/>
        </w:rPr>
        <w:t>2</w:t>
      </w:r>
      <w:r w:rsidRPr="00640107">
        <w:rPr>
          <w:i/>
          <w:iCs/>
          <w:rtl/>
        </w:rPr>
        <w:tab/>
        <w:t>مشروع مبادئ توجيهية للممارسات التعاقدية</w:t>
      </w:r>
    </w:p>
    <w:p w:rsidR="00511AC0" w:rsidRPr="00640107" w:rsidRDefault="00511AC0" w:rsidP="00EE0743">
      <w:pPr>
        <w:pStyle w:val="NormalParaAR"/>
        <w:ind w:left="567"/>
        <w:rPr>
          <w:i/>
          <w:iCs/>
          <w:rtl/>
        </w:rPr>
      </w:pPr>
      <w:r w:rsidRPr="00640107">
        <w:rPr>
          <w:i/>
          <w:iCs/>
          <w:rtl/>
        </w:rPr>
        <w:t xml:space="preserve">النظر في خيارات لمشاورات أصحاب المصالح حول مشروع المبادئ التوجيهية ومواصلة تطويرها بشأن الممارسات التعاقدية الواردة في مرفق الوثيقة </w:t>
      </w:r>
      <w:r w:rsidRPr="00640107">
        <w:rPr>
          <w:i/>
          <w:iCs/>
        </w:rPr>
        <w:t>WIPO/GRTKF/IC/7/9</w:t>
      </w:r>
      <w:r w:rsidRPr="00640107">
        <w:rPr>
          <w:i/>
          <w:iCs/>
          <w:rtl/>
        </w:rPr>
        <w:t xml:space="preserve"> وصيغتها المحد</w:t>
      </w:r>
      <w:r w:rsidRPr="00640107">
        <w:rPr>
          <w:rFonts w:hint="cs"/>
          <w:i/>
          <w:iCs/>
          <w:rtl/>
        </w:rPr>
        <w:t>ّ</w:t>
      </w:r>
      <w:r w:rsidRPr="00640107">
        <w:rPr>
          <w:i/>
          <w:iCs/>
          <w:rtl/>
        </w:rPr>
        <w:t xml:space="preserve">ثة في الوثيقة </w:t>
      </w:r>
      <w:r w:rsidRPr="00640107">
        <w:rPr>
          <w:i/>
          <w:iCs/>
        </w:rPr>
        <w:t>WIPO/GRTKF/IC/17/INF/12</w:t>
      </w:r>
      <w:r w:rsidRPr="00640107">
        <w:rPr>
          <w:i/>
          <w:iCs/>
          <w:rtl/>
        </w:rPr>
        <w:t>، بالاستناد إلى المعلومات الإضافية المتاحة والمدرجة في قاعدة البيانات</w:t>
      </w:r>
      <w:r w:rsidR="00EE0743" w:rsidRPr="00640107">
        <w:rPr>
          <w:rFonts w:hint="cs"/>
          <w:i/>
          <w:iCs/>
          <w:rtl/>
        </w:rPr>
        <w:t> </w:t>
      </w:r>
      <w:r w:rsidRPr="00640107">
        <w:rPr>
          <w:i/>
          <w:iCs/>
          <w:rtl/>
        </w:rPr>
        <w:t>الشبكية.</w:t>
      </w:r>
    </w:p>
    <w:p w:rsidR="00E65856" w:rsidRPr="00640107" w:rsidRDefault="00E65856" w:rsidP="00F3548F">
      <w:pPr>
        <w:pStyle w:val="NormalParaAR"/>
        <w:keepNext/>
        <w:rPr>
          <w:i/>
          <w:iCs/>
          <w:rtl/>
        </w:rPr>
      </w:pPr>
      <w:r w:rsidRPr="00640107">
        <w:rPr>
          <w:i/>
          <w:iCs/>
          <w:rtl/>
        </w:rPr>
        <w:t>ج</w:t>
      </w:r>
      <w:r w:rsidRPr="00640107">
        <w:rPr>
          <w:rFonts w:hint="cs"/>
          <w:i/>
          <w:iCs/>
          <w:rtl/>
        </w:rPr>
        <w:t>يم</w:t>
      </w:r>
      <w:r w:rsidR="00F3548F" w:rsidRPr="00640107">
        <w:rPr>
          <w:rFonts w:hint="cs"/>
          <w:i/>
          <w:iCs/>
          <w:rtl/>
        </w:rPr>
        <w:t xml:space="preserve"> </w:t>
      </w:r>
      <w:r w:rsidRPr="00640107">
        <w:rPr>
          <w:i/>
          <w:iCs/>
          <w:rtl/>
        </w:rPr>
        <w:t>3</w:t>
      </w:r>
      <w:r w:rsidRPr="00640107">
        <w:rPr>
          <w:i/>
          <w:iCs/>
          <w:rtl/>
        </w:rPr>
        <w:tab/>
        <w:t>دراسة حول ممارسات الترخيص في مجال الموارد الوراثية</w:t>
      </w:r>
    </w:p>
    <w:p w:rsidR="00E65856" w:rsidRPr="00640107" w:rsidRDefault="00E65856" w:rsidP="00057C66">
      <w:pPr>
        <w:pStyle w:val="NormalParaAR"/>
        <w:keepNext/>
        <w:ind w:left="567"/>
        <w:rPr>
          <w:i/>
          <w:iCs/>
          <w:rtl/>
        </w:rPr>
      </w:pPr>
      <w:r w:rsidRPr="00640107">
        <w:rPr>
          <w:i/>
          <w:iCs/>
          <w:rtl/>
        </w:rPr>
        <w:t>جمع المعلومات، ربّما في شكل دراسات إفرادية، تصف ممارسات الترخيص في مجال الموارد الوراثية التي توسّع نطاق مفاهيم الابتكار التوزيعي أو مفتوح المصدر من مجال حق المؤلف، بالاستفادة من تجارب مثل الترخيص العام للجمهور وغير ذلك من التجارب المماثلة في مجال حق المؤلف</w:t>
      </w:r>
      <w:r w:rsidRPr="00640107">
        <w:rPr>
          <w:rFonts w:hint="cs"/>
          <w:i/>
          <w:iCs/>
          <w:rtl/>
        </w:rPr>
        <w:t>.</w:t>
      </w:r>
    </w:p>
    <w:p w:rsidR="00E65856" w:rsidRDefault="00E65856" w:rsidP="00640107">
      <w:pPr>
        <w:pStyle w:val="NumberedParaAR"/>
        <w:spacing w:after="480"/>
      </w:pPr>
      <w:r w:rsidRPr="00640107">
        <w:rPr>
          <w:rFonts w:hint="cs"/>
          <w:rtl/>
        </w:rPr>
        <w:t xml:space="preserve">وترحّب الأمانة بتلقي </w:t>
      </w:r>
      <w:r w:rsidR="00640107" w:rsidRPr="00640107">
        <w:rPr>
          <w:rFonts w:hint="cs"/>
          <w:rtl/>
        </w:rPr>
        <w:t>تعليقات وتوجيهات</w:t>
      </w:r>
      <w:r w:rsidRPr="00640107">
        <w:rPr>
          <w:rFonts w:hint="cs"/>
          <w:rtl/>
        </w:rPr>
        <w:t xml:space="preserve"> </w:t>
      </w:r>
      <w:r w:rsidR="00640107" w:rsidRPr="00640107">
        <w:rPr>
          <w:rFonts w:hint="cs"/>
          <w:rtl/>
        </w:rPr>
        <w:t>من اللجنة بخصوص الخطوات التي ينبغي اتخاذها بشأن هذه الخيارات.</w:t>
      </w:r>
    </w:p>
    <w:p w:rsidR="00640107" w:rsidRDefault="00C61F27" w:rsidP="00640107">
      <w:pPr>
        <w:pStyle w:val="NumberedParaAR"/>
        <w:spacing w:after="480"/>
      </w:pPr>
      <w:r>
        <w:rPr>
          <w:rFonts w:hint="cs"/>
          <w:rtl/>
        </w:rPr>
        <w:t>وتود الأمانة الإبلاغ عن الأنشطة التالية الوجيهة التي نُفذّت منذ انعقاد الدورة الثالثة والعشرين للجنة:</w:t>
      </w:r>
    </w:p>
    <w:p w:rsidR="00C61F27" w:rsidRDefault="00C61F27" w:rsidP="003C45E1">
      <w:pPr>
        <w:pStyle w:val="NumberedParaAR"/>
        <w:numPr>
          <w:ilvl w:val="0"/>
          <w:numId w:val="0"/>
        </w:numPr>
        <w:spacing w:after="480"/>
        <w:ind w:left="1134" w:hanging="567"/>
        <w:rPr>
          <w:rtl/>
        </w:rPr>
      </w:pPr>
      <w:r>
        <w:rPr>
          <w:rFonts w:hint="cs"/>
          <w:rtl/>
        </w:rPr>
        <w:t>(أ)</w:t>
      </w:r>
      <w:r>
        <w:rPr>
          <w:rFonts w:hint="cs"/>
          <w:rtl/>
        </w:rPr>
        <w:tab/>
      </w:r>
      <w:r w:rsidRPr="00C61F27">
        <w:rPr>
          <w:rtl/>
        </w:rPr>
        <w:t xml:space="preserve">تجدر الإشارة إلى أنّ مؤتمر الأطراف في اتفاقية التنوع البيولوجي دعا، في دورته الحادية عشرة المعقودة في الفترة من 8 إلى 19 أكتوبر 2012، الأطراف وسائر الحكومات والمنظمات الدولية والجماعات الأصلية والمحلية المعنية وجميع أصحاب المصالح المهتمين إلى تزويد الأمين التنفيذي لاتفاقية التنوع البيولوجي بمعلومات عن الشروط التعاقدية النموذجية ومدونات قواعد السلوك والمبادئ التوجيهية وأفضل الممارسات و/أو المعايير، على النحو المشار إليه في قراره 11/1 "حالة بروتوكول ناغويا بشأن الحصول على الموارد الجينية والتقاسم العادل والمنصف للمنافع الناشئة عن استخدامها، والتطورات ذات الصلة". واستجابة لتلك الدعوة، </w:t>
      </w:r>
      <w:r>
        <w:rPr>
          <w:rFonts w:hint="cs"/>
          <w:rtl/>
        </w:rPr>
        <w:t xml:space="preserve">قدمت </w:t>
      </w:r>
      <w:r w:rsidRPr="00C61F27">
        <w:rPr>
          <w:rtl/>
        </w:rPr>
        <w:t>أمانة الويبو إلى الأمين العام لاتفاقية التنوع البيولوجي معلومات عن قاعدة البيانات</w:t>
      </w:r>
      <w:r>
        <w:rPr>
          <w:rFonts w:hint="cs"/>
          <w:rtl/>
        </w:rPr>
        <w:t xml:space="preserve"> الإلكترونية</w:t>
      </w:r>
      <w:r w:rsidRPr="00C61F27">
        <w:rPr>
          <w:rtl/>
        </w:rPr>
        <w:t xml:space="preserve"> بشأن اتفاقات النفاذ وتقاسم المنافع المتعلقة بالتنوع البيولوجي</w:t>
      </w:r>
      <w:r w:rsidR="003C45E1">
        <w:rPr>
          <w:rFonts w:hint="cs"/>
          <w:rtl/>
        </w:rPr>
        <w:t xml:space="preserve"> (المتاحة على الرابط التالي: </w:t>
      </w:r>
      <w:r w:rsidR="00B57469" w:rsidRPr="003C45E1">
        <w:rPr>
          <w:rFonts w:hint="cs"/>
          <w:sz w:val="34"/>
          <w:szCs w:val="34"/>
          <w:rtl/>
        </w:rPr>
        <w:t>(</w:t>
      </w:r>
      <w:r w:rsidR="00B57469" w:rsidRPr="005548C6">
        <w:rPr>
          <w:rFonts w:hint="cs"/>
          <w:spacing w:val="-20"/>
          <w:sz w:val="34"/>
          <w:szCs w:val="34"/>
          <w:u w:val="single"/>
          <w:rtl/>
        </w:rPr>
        <w:t>/</w:t>
      </w:r>
      <w:r w:rsidR="00B57469" w:rsidRPr="005548C6">
        <w:rPr>
          <w:spacing w:val="-20"/>
          <w:sz w:val="34"/>
          <w:szCs w:val="34"/>
          <w:u w:val="single"/>
        </w:rPr>
        <w:t>http://www.wipo.int/tk/en/databases/contracts</w:t>
      </w:r>
      <w:r w:rsidR="00B57469" w:rsidRPr="003C45E1">
        <w:rPr>
          <w:rFonts w:hint="cs"/>
          <w:sz w:val="34"/>
          <w:szCs w:val="34"/>
          <w:rtl/>
        </w:rPr>
        <w:t>)</w:t>
      </w:r>
      <w:r>
        <w:rPr>
          <w:rFonts w:hint="cs"/>
          <w:rtl/>
        </w:rPr>
        <w:t xml:space="preserve">، وعن </w:t>
      </w:r>
      <w:r w:rsidRPr="00C61F27">
        <w:rPr>
          <w:rtl/>
        </w:rPr>
        <w:t>مشروع مبادئ توجيهية في مجال الملكية الفكرية من أجل النفاذ إلى الموارد الوراثية والتقاسم العادل للمنافع الناجمة عن استخدامها</w:t>
      </w:r>
      <w:r w:rsidR="00B57469">
        <w:rPr>
          <w:rFonts w:hint="cs"/>
          <w:rtl/>
        </w:rPr>
        <w:t xml:space="preserve"> (المتاحة على الرابط التالي: </w:t>
      </w:r>
      <w:r w:rsidR="003C45E1">
        <w:rPr>
          <w:rFonts w:hint="cs"/>
          <w:rtl/>
        </w:rPr>
        <w:t>(</w:t>
      </w:r>
      <w:r w:rsidR="00B57469" w:rsidRPr="005548C6">
        <w:rPr>
          <w:spacing w:val="-20"/>
          <w:sz w:val="34"/>
          <w:szCs w:val="34"/>
          <w:u w:val="single"/>
        </w:rPr>
        <w:t>http://www.wipo.int/export/sites/www/tk/en/resources/pdf/draft_guidelines_feb_2013.pdf</w:t>
      </w:r>
      <w:r w:rsidR="003C45E1" w:rsidRPr="003C45E1">
        <w:rPr>
          <w:rFonts w:hint="cs"/>
          <w:spacing w:val="-20"/>
          <w:sz w:val="34"/>
          <w:szCs w:val="34"/>
          <w:rtl/>
        </w:rPr>
        <w:t>)</w:t>
      </w:r>
      <w:r w:rsidR="00B57469">
        <w:rPr>
          <w:rFonts w:hint="cs"/>
          <w:sz w:val="32"/>
          <w:szCs w:val="32"/>
          <w:rtl/>
        </w:rPr>
        <w:t xml:space="preserve"> </w:t>
      </w:r>
      <w:r w:rsidR="00B57469" w:rsidRPr="003C45E1">
        <w:rPr>
          <w:rFonts w:hint="cs"/>
          <w:rtl/>
        </w:rPr>
        <w:t xml:space="preserve">لكي ينظر فيها الاجتماع الثالث للجنة الحكومية الدولية </w:t>
      </w:r>
      <w:r w:rsidR="00B57469" w:rsidRPr="003C45E1">
        <w:rPr>
          <w:rtl/>
        </w:rPr>
        <w:t>لبروتوكول ناغويا</w:t>
      </w:r>
      <w:r w:rsidR="00B57469" w:rsidRPr="003C45E1">
        <w:rPr>
          <w:rFonts w:hint="cs"/>
          <w:rtl/>
        </w:rPr>
        <w:t xml:space="preserve"> الذي سيعقد في </w:t>
      </w:r>
      <w:r w:rsidR="003C45E1" w:rsidRPr="003C45E1">
        <w:rPr>
          <w:rFonts w:hint="cs"/>
          <w:rtl/>
        </w:rPr>
        <w:t>بيونغتشانغ، جمهورية كوريا في الفترة من 24 إلى 28 فبراير 2014.</w:t>
      </w:r>
    </w:p>
    <w:p w:rsidR="003C45E1" w:rsidRDefault="003C45E1" w:rsidP="009156A0">
      <w:pPr>
        <w:pStyle w:val="NumberedParaAR"/>
        <w:numPr>
          <w:ilvl w:val="0"/>
          <w:numId w:val="0"/>
        </w:numPr>
        <w:spacing w:after="480"/>
        <w:ind w:left="1134" w:hanging="567"/>
        <w:rPr>
          <w:rtl/>
        </w:rPr>
      </w:pPr>
      <w:r w:rsidRPr="004322D0">
        <w:rPr>
          <w:rFonts w:hint="cs"/>
          <w:rtl/>
        </w:rPr>
        <w:lastRenderedPageBreak/>
        <w:t>(ب)</w:t>
      </w:r>
      <w:r w:rsidRPr="004322D0">
        <w:rPr>
          <w:rFonts w:hint="cs"/>
          <w:rtl/>
        </w:rPr>
        <w:tab/>
      </w:r>
      <w:r w:rsidR="009156A0">
        <w:rPr>
          <w:rFonts w:hint="cs"/>
          <w:rtl/>
        </w:rPr>
        <w:t>و</w:t>
      </w:r>
      <w:r w:rsidR="004322D0" w:rsidRPr="004322D0">
        <w:rPr>
          <w:rFonts w:hint="cs"/>
          <w:rtl/>
        </w:rPr>
        <w:t>طو</w:t>
      </w:r>
      <w:r w:rsidR="009156A0">
        <w:rPr>
          <w:rFonts w:hint="cs"/>
          <w:rtl/>
        </w:rPr>
        <w:t>ّ</w:t>
      </w:r>
      <w:r w:rsidR="004322D0" w:rsidRPr="004322D0">
        <w:rPr>
          <w:rFonts w:hint="cs"/>
          <w:rtl/>
        </w:rPr>
        <w:t xml:space="preserve">ر </w:t>
      </w:r>
      <w:r w:rsidRPr="004322D0">
        <w:rPr>
          <w:rtl/>
        </w:rPr>
        <w:t>فريق الإدارة البيئية</w:t>
      </w:r>
      <w:r w:rsidR="004322D0" w:rsidRPr="004322D0">
        <w:rPr>
          <w:rFonts w:hint="cs"/>
          <w:rtl/>
        </w:rPr>
        <w:t xml:space="preserve">، وهو آلية تنسيق مشتركة بين الوكالات يديرها </w:t>
      </w:r>
      <w:r w:rsidR="004322D0" w:rsidRPr="004322D0">
        <w:rPr>
          <w:rtl/>
        </w:rPr>
        <w:t>برنامج الأمم المتحدة للبيئة</w:t>
      </w:r>
      <w:r w:rsidR="004322D0" w:rsidRPr="004322D0">
        <w:rPr>
          <w:rFonts w:hint="cs"/>
          <w:rtl/>
        </w:rPr>
        <w:t xml:space="preserve">، أداة تخطيط إلكترونية لإبراز المساهمة على مستوى </w:t>
      </w:r>
      <w:r w:rsidR="009156A0">
        <w:rPr>
          <w:rFonts w:hint="cs"/>
          <w:rtl/>
        </w:rPr>
        <w:t>المنظومة</w:t>
      </w:r>
      <w:r w:rsidR="004322D0" w:rsidRPr="004322D0">
        <w:rPr>
          <w:rFonts w:hint="cs"/>
          <w:rtl/>
        </w:rPr>
        <w:t xml:space="preserve"> بأكمله</w:t>
      </w:r>
      <w:r w:rsidR="009156A0">
        <w:rPr>
          <w:rFonts w:hint="cs"/>
          <w:rtl/>
        </w:rPr>
        <w:t>ا</w:t>
      </w:r>
      <w:r w:rsidR="004322D0" w:rsidRPr="004322D0">
        <w:rPr>
          <w:rFonts w:hint="cs"/>
          <w:rtl/>
        </w:rPr>
        <w:t xml:space="preserve"> في </w:t>
      </w:r>
      <w:r w:rsidR="004322D0" w:rsidRPr="004322D0">
        <w:rPr>
          <w:rtl/>
        </w:rPr>
        <w:t>الخطة الاستراتيجية للتنوع البيولوجي</w:t>
      </w:r>
      <w:r w:rsidR="009156A0">
        <w:rPr>
          <w:rFonts w:hint="eastAsia"/>
          <w:rtl/>
        </w:rPr>
        <w:t> </w:t>
      </w:r>
      <w:r w:rsidR="004322D0" w:rsidRPr="004322D0">
        <w:rPr>
          <w:rFonts w:hint="cs"/>
          <w:rtl/>
        </w:rPr>
        <w:t>(2011-2020</w:t>
      </w:r>
      <w:r w:rsidR="009156A0">
        <w:rPr>
          <w:rFonts w:hint="cs"/>
          <w:rtl/>
        </w:rPr>
        <w:t>)</w:t>
      </w:r>
      <w:r w:rsidR="004322D0" w:rsidRPr="004322D0">
        <w:rPr>
          <w:rFonts w:hint="cs"/>
          <w:rtl/>
        </w:rPr>
        <w:t xml:space="preserve"> (</w:t>
      </w:r>
      <w:hyperlink r:id="rId10" w:history="1">
        <w:r w:rsidR="004322D0" w:rsidRPr="004322D0">
          <w:rPr>
            <w:rStyle w:val="Hyperlink"/>
            <w:color w:val="auto"/>
          </w:rPr>
          <w:t>http://ieg.informea.org/</w:t>
        </w:r>
      </w:hyperlink>
      <w:r w:rsidR="004322D0" w:rsidRPr="004322D0">
        <w:rPr>
          <w:rFonts w:hint="cs"/>
          <w:rtl/>
        </w:rPr>
        <w:t xml:space="preserve">). </w:t>
      </w:r>
      <w:r w:rsidR="004322D0">
        <w:rPr>
          <w:rFonts w:hint="cs"/>
          <w:rtl/>
        </w:rPr>
        <w:t>ومن بين أهداف تلك الأداة تقديم معلومات عن الأنشطة السياساتية أو الاستراتيجية أو البرامجية القائمة أو المزمع تنفيذها</w:t>
      </w:r>
      <w:r w:rsidR="009156A0">
        <w:rPr>
          <w:rFonts w:hint="cs"/>
          <w:rtl/>
        </w:rPr>
        <w:t xml:space="preserve"> </w:t>
      </w:r>
      <w:r w:rsidR="004322D0">
        <w:rPr>
          <w:rFonts w:hint="cs"/>
          <w:rtl/>
        </w:rPr>
        <w:t xml:space="preserve">التي تساهم في بلوغ </w:t>
      </w:r>
      <w:r w:rsidR="004322D0" w:rsidRPr="004322D0">
        <w:rPr>
          <w:rtl/>
        </w:rPr>
        <w:t>أهداف آيتشي المتعلقة بالتنوع البيولوجي</w:t>
      </w:r>
      <w:r w:rsidR="004322D0">
        <w:rPr>
          <w:rFonts w:hint="cs"/>
          <w:rtl/>
        </w:rPr>
        <w:t>. ودُع</w:t>
      </w:r>
      <w:r w:rsidR="009156A0">
        <w:rPr>
          <w:rFonts w:hint="cs"/>
          <w:rtl/>
        </w:rPr>
        <w:t>ي</w:t>
      </w:r>
      <w:r w:rsidR="004322D0">
        <w:rPr>
          <w:rFonts w:hint="cs"/>
          <w:rtl/>
        </w:rPr>
        <w:t xml:space="preserve">ت أمانة الويبو إلى المساهمة في تلك العملية وأشارت إلى أن عمل الويبو، ولا سيما </w:t>
      </w:r>
      <w:r w:rsidR="004322D0" w:rsidRPr="004322D0">
        <w:rPr>
          <w:rtl/>
        </w:rPr>
        <w:t>قاعدة البيانات الإلكترونية بشأن اتفاقات النفاذ وتقاسم المنافع المتعلقة بالتنوع البيولوجي</w:t>
      </w:r>
      <w:r w:rsidR="009156A0">
        <w:rPr>
          <w:rFonts w:hint="cs"/>
          <w:rtl/>
        </w:rPr>
        <w:t xml:space="preserve"> (انظر أعلاه)</w:t>
      </w:r>
      <w:r w:rsidR="004322D0">
        <w:rPr>
          <w:rFonts w:hint="cs"/>
          <w:rtl/>
        </w:rPr>
        <w:t xml:space="preserve"> و</w:t>
      </w:r>
      <w:r w:rsidR="004322D0" w:rsidRPr="00C61F27">
        <w:rPr>
          <w:rtl/>
        </w:rPr>
        <w:t xml:space="preserve">مشروع </w:t>
      </w:r>
      <w:r w:rsidR="009156A0">
        <w:rPr>
          <w:rFonts w:hint="cs"/>
          <w:rtl/>
        </w:rPr>
        <w:t>ال</w:t>
      </w:r>
      <w:r w:rsidR="004322D0" w:rsidRPr="00C61F27">
        <w:rPr>
          <w:rtl/>
        </w:rPr>
        <w:t xml:space="preserve">مبادئ </w:t>
      </w:r>
      <w:r w:rsidR="009156A0">
        <w:rPr>
          <w:rFonts w:hint="cs"/>
          <w:rtl/>
        </w:rPr>
        <w:t>ال</w:t>
      </w:r>
      <w:r w:rsidR="004322D0" w:rsidRPr="00C61F27">
        <w:rPr>
          <w:rtl/>
        </w:rPr>
        <w:t>توجيهية في مجال الملكية الفكرية من أجل النفاذ إلى الموارد الوراثية والتقاسم العادل للمنافع الناجمة عن استخدامها</w:t>
      </w:r>
      <w:r w:rsidR="009156A0">
        <w:rPr>
          <w:rFonts w:hint="cs"/>
          <w:rtl/>
        </w:rPr>
        <w:t xml:space="preserve"> (انظر أعلاه) أنشطة وجيهة ل</w:t>
      </w:r>
      <w:r w:rsidR="009156A0" w:rsidRPr="009156A0">
        <w:rPr>
          <w:rtl/>
        </w:rPr>
        <w:t>بروتوكول ناغويا</w:t>
      </w:r>
      <w:r w:rsidR="009156A0">
        <w:rPr>
          <w:rFonts w:hint="cs"/>
          <w:rtl/>
        </w:rPr>
        <w:t>، 2010.</w:t>
      </w:r>
    </w:p>
    <w:p w:rsidR="009156A0" w:rsidRDefault="009156A0" w:rsidP="00FC0E0E">
      <w:pPr>
        <w:pStyle w:val="NumberedParaAR"/>
        <w:numPr>
          <w:ilvl w:val="0"/>
          <w:numId w:val="0"/>
        </w:numPr>
        <w:spacing w:after="0"/>
        <w:ind w:left="1134" w:hanging="567"/>
        <w:rPr>
          <w:rtl/>
        </w:rPr>
      </w:pPr>
      <w:r>
        <w:rPr>
          <w:rFonts w:hint="cs"/>
          <w:rtl/>
        </w:rPr>
        <w:t>(ج)</w:t>
      </w:r>
      <w:r>
        <w:rPr>
          <w:rFonts w:hint="cs"/>
          <w:rtl/>
        </w:rPr>
        <w:tab/>
        <w:t>واعتمدت الجمعية العامة للأم المتحدة القرار 67/212 في ديسمبر 2012 الذي قررت بموجبه "</w:t>
      </w:r>
      <w:r>
        <w:rPr>
          <w:rtl/>
        </w:rPr>
        <w:t>أن تخصص إحدى المناسبات الخاصة باللجنة الثانية خلال الدورة الثامنة</w:t>
      </w:r>
      <w:r w:rsidR="00DE4F40">
        <w:rPr>
          <w:rFonts w:hint="cs"/>
          <w:rtl/>
        </w:rPr>
        <w:t xml:space="preserve"> </w:t>
      </w:r>
      <w:r>
        <w:rPr>
          <w:rtl/>
        </w:rPr>
        <w:t>والستين للجمعية العامة، في إطار عقد الأمم المتحدة للتنوع البيولوجي وبغية مواصلة الجهود</w:t>
      </w:r>
      <w:r w:rsidR="00DE4F40">
        <w:rPr>
          <w:rFonts w:hint="cs"/>
          <w:rtl/>
        </w:rPr>
        <w:t xml:space="preserve"> </w:t>
      </w:r>
      <w:r>
        <w:rPr>
          <w:rtl/>
        </w:rPr>
        <w:t xml:space="preserve">الرامية إلى تحسين الاتساق، لعقد جلسة إحاطة مشتركة </w:t>
      </w:r>
      <w:r w:rsidR="00DE4F40">
        <w:rPr>
          <w:rFonts w:hint="cs"/>
          <w:rtl/>
        </w:rPr>
        <w:t>[...]</w:t>
      </w:r>
      <w:r>
        <w:rPr>
          <w:rtl/>
        </w:rPr>
        <w:t xml:space="preserve"> بشأن تنفيذ أهداف الاتفاقية، بما في ذلك الإجراءات المتخذة لتعزيز</w:t>
      </w:r>
      <w:r w:rsidR="00DE4F40">
        <w:rPr>
          <w:rFonts w:hint="cs"/>
          <w:rtl/>
        </w:rPr>
        <w:t xml:space="preserve"> </w:t>
      </w:r>
      <w:r>
        <w:rPr>
          <w:rtl/>
        </w:rPr>
        <w:t>الحصول على الموارد الجينية والتقاسم العادل والمنصف للمنافع الناشئة عن استخدامها</w:t>
      </w:r>
      <w:r w:rsidR="00DE4F40">
        <w:rPr>
          <w:rFonts w:hint="cs"/>
          <w:rtl/>
        </w:rPr>
        <w:t xml:space="preserve"> </w:t>
      </w:r>
      <w:r>
        <w:rPr>
          <w:rtl/>
        </w:rPr>
        <w:t>وما يرتبط بذلك من معارف تقليدية</w:t>
      </w:r>
      <w:r w:rsidR="00DE4F40">
        <w:rPr>
          <w:rFonts w:hint="cs"/>
          <w:rtl/>
        </w:rPr>
        <w:t xml:space="preserve"> [...]". وشاركت أمانة الويبو عبر مؤتمر بالفيديو في </w:t>
      </w:r>
      <w:r w:rsidR="004729C4">
        <w:rPr>
          <w:rFonts w:hint="cs"/>
          <w:rtl/>
        </w:rPr>
        <w:t xml:space="preserve">جلسة </w:t>
      </w:r>
      <w:r w:rsidR="00DE4F40">
        <w:rPr>
          <w:rFonts w:hint="cs"/>
          <w:rtl/>
        </w:rPr>
        <w:t xml:space="preserve">الإحاطة المشتركة التي نُظمت في 30 أكتوبر 2013 وقدمت معلومات عن عمل الويبو المتعلق بالنفاذ إلى الموارد الوراثية والمعارف التقليدية المرتبطة بها والتقاسم </w:t>
      </w:r>
      <w:r w:rsidR="00DE4F40" w:rsidRPr="00DE4F40">
        <w:rPr>
          <w:rtl/>
        </w:rPr>
        <w:t>المنصف والعادل للمنافع</w:t>
      </w:r>
      <w:r w:rsidR="00DE4F40">
        <w:rPr>
          <w:rFonts w:hint="cs"/>
          <w:rtl/>
        </w:rPr>
        <w:t xml:space="preserve"> الناجمة عن استخدامها، </w:t>
      </w:r>
      <w:r w:rsidR="00F335DB">
        <w:rPr>
          <w:rFonts w:hint="cs"/>
          <w:rtl/>
        </w:rPr>
        <w:t xml:space="preserve">ولا سيما </w:t>
      </w:r>
      <w:r w:rsidR="00F335DB" w:rsidRPr="004322D0">
        <w:rPr>
          <w:rtl/>
        </w:rPr>
        <w:t>قاعدة البيانات الإلكترونية بشأن اتفاقات النفاذ وتقاسم المنافع المتعلقة بالتنوع البيولوجي</w:t>
      </w:r>
      <w:r w:rsidR="00F335DB">
        <w:rPr>
          <w:rFonts w:hint="cs"/>
          <w:rtl/>
        </w:rPr>
        <w:t xml:space="preserve"> (انظر أعلاه) و</w:t>
      </w:r>
      <w:r w:rsidR="00F335DB" w:rsidRPr="00C61F27">
        <w:rPr>
          <w:rtl/>
        </w:rPr>
        <w:t xml:space="preserve">مشروع </w:t>
      </w:r>
      <w:r w:rsidR="00F335DB">
        <w:rPr>
          <w:rFonts w:hint="cs"/>
          <w:rtl/>
        </w:rPr>
        <w:t>ال</w:t>
      </w:r>
      <w:r w:rsidR="00F335DB" w:rsidRPr="00C61F27">
        <w:rPr>
          <w:rtl/>
        </w:rPr>
        <w:t xml:space="preserve">مبادئ </w:t>
      </w:r>
      <w:r w:rsidR="00F335DB">
        <w:rPr>
          <w:rFonts w:hint="cs"/>
          <w:rtl/>
        </w:rPr>
        <w:t>ال</w:t>
      </w:r>
      <w:r w:rsidR="00F335DB" w:rsidRPr="00C61F27">
        <w:rPr>
          <w:rtl/>
        </w:rPr>
        <w:t>توجيهية في مجال الملكية الفكرية من أجل النفاذ إلى الموارد الوراثية والتقاسم العادل للمنافع الناجمة عن استخدامها</w:t>
      </w:r>
      <w:r w:rsidR="00F335DB">
        <w:rPr>
          <w:rFonts w:hint="cs"/>
          <w:rtl/>
        </w:rPr>
        <w:t xml:space="preserve"> (انظر أعلاه). ويتاح التقرير الموجز </w:t>
      </w:r>
      <w:r w:rsidR="00FC0E0E">
        <w:rPr>
          <w:rFonts w:hint="cs"/>
          <w:rtl/>
        </w:rPr>
        <w:t>لجلسة</w:t>
      </w:r>
      <w:r w:rsidR="00F335DB">
        <w:rPr>
          <w:rFonts w:hint="cs"/>
          <w:rtl/>
        </w:rPr>
        <w:t xml:space="preserve"> الإحاطة المشتركة على الرابط التالي: </w:t>
      </w:r>
    </w:p>
    <w:p w:rsidR="00F335DB" w:rsidRPr="00FC0E0E" w:rsidRDefault="00D0350D" w:rsidP="00F335DB">
      <w:pPr>
        <w:pStyle w:val="NumberedParaAR"/>
        <w:numPr>
          <w:ilvl w:val="0"/>
          <w:numId w:val="0"/>
        </w:numPr>
        <w:spacing w:after="480"/>
        <w:ind w:left="1134" w:hanging="1"/>
        <w:rPr>
          <w:spacing w:val="-20"/>
          <w:sz w:val="34"/>
          <w:szCs w:val="34"/>
          <w:rtl/>
        </w:rPr>
      </w:pPr>
      <w:hyperlink r:id="rId11" w:history="1">
        <w:r w:rsidR="009D13B1" w:rsidRPr="00FC0E0E">
          <w:rPr>
            <w:rStyle w:val="Hyperlink"/>
            <w:color w:val="auto"/>
            <w:spacing w:val="-20"/>
            <w:sz w:val="34"/>
            <w:szCs w:val="34"/>
          </w:rPr>
          <w:t>http://www.cbd.int/abs/doc/summary-special-event-unga-second-committee-67-212-en.pdf</w:t>
        </w:r>
      </w:hyperlink>
      <w:r w:rsidR="00F335DB" w:rsidRPr="00FC0E0E">
        <w:rPr>
          <w:rFonts w:hint="cs"/>
          <w:spacing w:val="-20"/>
          <w:sz w:val="34"/>
          <w:szCs w:val="34"/>
          <w:rtl/>
        </w:rPr>
        <w:t>.</w:t>
      </w:r>
    </w:p>
    <w:p w:rsidR="009D13B1" w:rsidRDefault="009D13B1" w:rsidP="009D13B1">
      <w:pPr>
        <w:pStyle w:val="DecisionParaAR"/>
      </w:pPr>
      <w:r>
        <w:rPr>
          <w:rFonts w:hint="cs"/>
          <w:rtl/>
        </w:rPr>
        <w:t>إن اللجنة مدعوة إلى الإحاطة علما بمضمون هذه الوثيقة.</w:t>
      </w:r>
    </w:p>
    <w:p w:rsidR="009D13B1" w:rsidRPr="004322D0" w:rsidRDefault="009D13B1" w:rsidP="009D13B1">
      <w:pPr>
        <w:pStyle w:val="EndofDocumentAR"/>
      </w:pPr>
      <w:r>
        <w:rPr>
          <w:rFonts w:hint="cs"/>
          <w:rtl/>
        </w:rPr>
        <w:t>[نهاية الوثيقة]</w:t>
      </w:r>
    </w:p>
    <w:sectPr w:rsidR="009D13B1" w:rsidRPr="004322D0" w:rsidSect="00BC3A7C">
      <w:headerReference w:type="defaul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5C" w:rsidRDefault="00BB3D5C">
      <w:r>
        <w:separator/>
      </w:r>
    </w:p>
  </w:endnote>
  <w:endnote w:type="continuationSeparator" w:id="0">
    <w:p w:rsidR="00BB3D5C" w:rsidRDefault="00BB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5C" w:rsidRDefault="00BB3D5C" w:rsidP="009622BF">
      <w:pPr>
        <w:bidi/>
      </w:pPr>
      <w:bookmarkStart w:id="0" w:name="OLE_LINK1"/>
      <w:bookmarkStart w:id="1" w:name="OLE_LINK2"/>
      <w:r>
        <w:separator/>
      </w:r>
      <w:bookmarkEnd w:id="0"/>
      <w:bookmarkEnd w:id="1"/>
    </w:p>
  </w:footnote>
  <w:footnote w:type="continuationSeparator" w:id="0">
    <w:p w:rsidR="00BB3D5C" w:rsidRDefault="00BB3D5C" w:rsidP="009622BF">
      <w:pPr>
        <w:bidi/>
      </w:pPr>
      <w:r>
        <w:separator/>
      </w:r>
    </w:p>
  </w:footnote>
  <w:footnote w:id="1">
    <w:p w:rsidR="0097068E" w:rsidRPr="00EE74EE" w:rsidRDefault="0097068E">
      <w:pPr>
        <w:pStyle w:val="FootnoteText"/>
      </w:pPr>
      <w:r>
        <w:rPr>
          <w:rStyle w:val="FootnoteReference"/>
        </w:rPr>
        <w:footnoteRef/>
      </w:r>
      <w:r w:rsidR="00AE660E">
        <w:rPr>
          <w:rFonts w:hint="cs"/>
          <w:rtl/>
        </w:rPr>
        <w:t xml:space="preserve"> </w:t>
      </w:r>
      <w:r>
        <w:rPr>
          <w:rFonts w:hint="cs"/>
          <w:rtl/>
        </w:rPr>
        <w:t>تقرير الدورة التاسعة عشرة للجنة (</w:t>
      </w:r>
      <w:r w:rsidRPr="00EE74EE">
        <w:t>WIPO/GRTKF/IC/19/12</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8E" w:rsidRDefault="0097068E" w:rsidP="005E5D2D">
    <w:r w:rsidRPr="00B255C3">
      <w:t>WIPO/GRTKF/IC/</w:t>
    </w:r>
    <w:r w:rsidR="005E5D2D">
      <w:t>26/INF/7</w:t>
    </w:r>
  </w:p>
  <w:p w:rsidR="0097068E" w:rsidRDefault="0097068E" w:rsidP="00BC3A7C">
    <w:pPr>
      <w:pStyle w:val="Header"/>
    </w:pPr>
    <w:r>
      <w:rPr>
        <w:rStyle w:val="PageNumber"/>
      </w:rPr>
      <w:fldChar w:fldCharType="begin"/>
    </w:r>
    <w:r>
      <w:rPr>
        <w:rStyle w:val="PageNumber"/>
      </w:rPr>
      <w:instrText xml:space="preserve"> PAGE </w:instrText>
    </w:r>
    <w:r>
      <w:rPr>
        <w:rStyle w:val="PageNumber"/>
      </w:rPr>
      <w:fldChar w:fldCharType="separate"/>
    </w:r>
    <w:r w:rsidR="00D0350D">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9081970"/>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1274578A"/>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lvlOverride w:ilvl="0">
      <w:startOverride w:val="1"/>
    </w:lvlOverride>
  </w:num>
  <w:num w:numId="23">
    <w:abstractNumId w:val="13"/>
  </w:num>
  <w:num w:numId="24">
    <w:abstractNumId w:val="1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15"/>
    <w:rsid w:val="00002CBE"/>
    <w:rsid w:val="00003232"/>
    <w:rsid w:val="000033DA"/>
    <w:rsid w:val="00003B97"/>
    <w:rsid w:val="00003CA8"/>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9B7"/>
    <w:rsid w:val="00050A69"/>
    <w:rsid w:val="00050C55"/>
    <w:rsid w:val="00050F28"/>
    <w:rsid w:val="00053836"/>
    <w:rsid w:val="00054659"/>
    <w:rsid w:val="00055FA2"/>
    <w:rsid w:val="000571DD"/>
    <w:rsid w:val="00057C66"/>
    <w:rsid w:val="00061FF5"/>
    <w:rsid w:val="00062502"/>
    <w:rsid w:val="00063C91"/>
    <w:rsid w:val="000640E7"/>
    <w:rsid w:val="00066DC7"/>
    <w:rsid w:val="0006794A"/>
    <w:rsid w:val="00067F31"/>
    <w:rsid w:val="00071138"/>
    <w:rsid w:val="00073402"/>
    <w:rsid w:val="00075666"/>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0C1D"/>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01F"/>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2D5E"/>
    <w:rsid w:val="001C3B61"/>
    <w:rsid w:val="001C5EEE"/>
    <w:rsid w:val="001C6A73"/>
    <w:rsid w:val="001C73C2"/>
    <w:rsid w:val="001D0474"/>
    <w:rsid w:val="001D0EF8"/>
    <w:rsid w:val="001D141D"/>
    <w:rsid w:val="001D1EBD"/>
    <w:rsid w:val="001D2184"/>
    <w:rsid w:val="001D24F3"/>
    <w:rsid w:val="001D2678"/>
    <w:rsid w:val="001D2DC4"/>
    <w:rsid w:val="001D6A48"/>
    <w:rsid w:val="001D7A30"/>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43CF"/>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16F"/>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7C0"/>
    <w:rsid w:val="0034789E"/>
    <w:rsid w:val="003501DA"/>
    <w:rsid w:val="003503E2"/>
    <w:rsid w:val="00351DC1"/>
    <w:rsid w:val="003534EE"/>
    <w:rsid w:val="00353C15"/>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2D9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5E1"/>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7A9"/>
    <w:rsid w:val="003E6FA9"/>
    <w:rsid w:val="003E6FD2"/>
    <w:rsid w:val="003E788F"/>
    <w:rsid w:val="003E7A97"/>
    <w:rsid w:val="003E7D3A"/>
    <w:rsid w:val="003F0860"/>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1AA0"/>
    <w:rsid w:val="00422A2A"/>
    <w:rsid w:val="00424BB4"/>
    <w:rsid w:val="004258CD"/>
    <w:rsid w:val="004261D2"/>
    <w:rsid w:val="004303D1"/>
    <w:rsid w:val="004322D0"/>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553D"/>
    <w:rsid w:val="00472043"/>
    <w:rsid w:val="004729C4"/>
    <w:rsid w:val="00472F56"/>
    <w:rsid w:val="0047335E"/>
    <w:rsid w:val="00473CA1"/>
    <w:rsid w:val="0047572C"/>
    <w:rsid w:val="00476407"/>
    <w:rsid w:val="00476F03"/>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10"/>
    <w:rsid w:val="004C2F7C"/>
    <w:rsid w:val="004C34F8"/>
    <w:rsid w:val="004C375F"/>
    <w:rsid w:val="004C482F"/>
    <w:rsid w:val="004C49C9"/>
    <w:rsid w:val="004C627F"/>
    <w:rsid w:val="004C76C1"/>
    <w:rsid w:val="004C77E0"/>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AC0"/>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58AA"/>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8C6"/>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4D86"/>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CF8"/>
    <w:rsid w:val="005E2FC7"/>
    <w:rsid w:val="005E37B9"/>
    <w:rsid w:val="005E427F"/>
    <w:rsid w:val="005E4574"/>
    <w:rsid w:val="005E4BBE"/>
    <w:rsid w:val="005E4C97"/>
    <w:rsid w:val="005E5014"/>
    <w:rsid w:val="005E5D2D"/>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73"/>
    <w:rsid w:val="00622EAE"/>
    <w:rsid w:val="0062334E"/>
    <w:rsid w:val="00623A4F"/>
    <w:rsid w:val="00624D17"/>
    <w:rsid w:val="00624F56"/>
    <w:rsid w:val="00626594"/>
    <w:rsid w:val="00630442"/>
    <w:rsid w:val="0063048C"/>
    <w:rsid w:val="00630FCD"/>
    <w:rsid w:val="006319C2"/>
    <w:rsid w:val="00631FF6"/>
    <w:rsid w:val="006326AB"/>
    <w:rsid w:val="006328B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107"/>
    <w:rsid w:val="00640D89"/>
    <w:rsid w:val="00640F58"/>
    <w:rsid w:val="00641203"/>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0A7"/>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70C"/>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304"/>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2014"/>
    <w:rsid w:val="006D6E46"/>
    <w:rsid w:val="006D7FA8"/>
    <w:rsid w:val="006E4601"/>
    <w:rsid w:val="006E5B86"/>
    <w:rsid w:val="006E63FF"/>
    <w:rsid w:val="006E652D"/>
    <w:rsid w:val="006E7572"/>
    <w:rsid w:val="006F2F22"/>
    <w:rsid w:val="006F434A"/>
    <w:rsid w:val="006F6022"/>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4D0B"/>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1895"/>
    <w:rsid w:val="0076281A"/>
    <w:rsid w:val="00762ADE"/>
    <w:rsid w:val="0076365D"/>
    <w:rsid w:val="007642DC"/>
    <w:rsid w:val="007660E6"/>
    <w:rsid w:val="007661A9"/>
    <w:rsid w:val="007662C0"/>
    <w:rsid w:val="0076729C"/>
    <w:rsid w:val="0076742F"/>
    <w:rsid w:val="00767712"/>
    <w:rsid w:val="00770ED1"/>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50E"/>
    <w:rsid w:val="00783D11"/>
    <w:rsid w:val="00785E46"/>
    <w:rsid w:val="00787207"/>
    <w:rsid w:val="00787917"/>
    <w:rsid w:val="00791489"/>
    <w:rsid w:val="00791683"/>
    <w:rsid w:val="00792F0C"/>
    <w:rsid w:val="00794C6E"/>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762"/>
    <w:rsid w:val="007D69E5"/>
    <w:rsid w:val="007E09E2"/>
    <w:rsid w:val="007E0FF5"/>
    <w:rsid w:val="007E1012"/>
    <w:rsid w:val="007E17CD"/>
    <w:rsid w:val="007E24ED"/>
    <w:rsid w:val="007E374B"/>
    <w:rsid w:val="007E39DE"/>
    <w:rsid w:val="007E3F53"/>
    <w:rsid w:val="007E7997"/>
    <w:rsid w:val="007E7B47"/>
    <w:rsid w:val="007F04EF"/>
    <w:rsid w:val="007F342F"/>
    <w:rsid w:val="007F38D1"/>
    <w:rsid w:val="007F5355"/>
    <w:rsid w:val="007F56BB"/>
    <w:rsid w:val="007F63CE"/>
    <w:rsid w:val="007F6EA4"/>
    <w:rsid w:val="008002A5"/>
    <w:rsid w:val="0080050E"/>
    <w:rsid w:val="00801329"/>
    <w:rsid w:val="00801424"/>
    <w:rsid w:val="00801AA4"/>
    <w:rsid w:val="00801B7E"/>
    <w:rsid w:val="008021B9"/>
    <w:rsid w:val="0080436F"/>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D7A"/>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6E6C"/>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B99"/>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56A0"/>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3A96"/>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224"/>
    <w:rsid w:val="009651B8"/>
    <w:rsid w:val="009653F3"/>
    <w:rsid w:val="0096587A"/>
    <w:rsid w:val="009666E7"/>
    <w:rsid w:val="00967278"/>
    <w:rsid w:val="0097068E"/>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16"/>
    <w:rsid w:val="009A2961"/>
    <w:rsid w:val="009A344A"/>
    <w:rsid w:val="009A41C7"/>
    <w:rsid w:val="009A4F5A"/>
    <w:rsid w:val="009A5C82"/>
    <w:rsid w:val="009B010D"/>
    <w:rsid w:val="009B0AAB"/>
    <w:rsid w:val="009B0D3E"/>
    <w:rsid w:val="009B1794"/>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13B1"/>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5F7"/>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ACF"/>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758"/>
    <w:rsid w:val="00AD0D5F"/>
    <w:rsid w:val="00AD30EC"/>
    <w:rsid w:val="00AD34CF"/>
    <w:rsid w:val="00AD36C8"/>
    <w:rsid w:val="00AD37C9"/>
    <w:rsid w:val="00AD47D3"/>
    <w:rsid w:val="00AD652F"/>
    <w:rsid w:val="00AD7D05"/>
    <w:rsid w:val="00AE01F6"/>
    <w:rsid w:val="00AE16F0"/>
    <w:rsid w:val="00AE1FF5"/>
    <w:rsid w:val="00AE473C"/>
    <w:rsid w:val="00AE55E7"/>
    <w:rsid w:val="00AE6363"/>
    <w:rsid w:val="00AE660E"/>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9E5"/>
    <w:rsid w:val="00B21771"/>
    <w:rsid w:val="00B2191C"/>
    <w:rsid w:val="00B21B30"/>
    <w:rsid w:val="00B2231E"/>
    <w:rsid w:val="00B22E76"/>
    <w:rsid w:val="00B23016"/>
    <w:rsid w:val="00B23771"/>
    <w:rsid w:val="00B24EA8"/>
    <w:rsid w:val="00B255C3"/>
    <w:rsid w:val="00B26625"/>
    <w:rsid w:val="00B26A5A"/>
    <w:rsid w:val="00B2713B"/>
    <w:rsid w:val="00B2769B"/>
    <w:rsid w:val="00B307D2"/>
    <w:rsid w:val="00B3398B"/>
    <w:rsid w:val="00B33B1E"/>
    <w:rsid w:val="00B35BC6"/>
    <w:rsid w:val="00B362D9"/>
    <w:rsid w:val="00B36B99"/>
    <w:rsid w:val="00B36D20"/>
    <w:rsid w:val="00B36F67"/>
    <w:rsid w:val="00B40633"/>
    <w:rsid w:val="00B44049"/>
    <w:rsid w:val="00B44318"/>
    <w:rsid w:val="00B44C4B"/>
    <w:rsid w:val="00B477CB"/>
    <w:rsid w:val="00B508A7"/>
    <w:rsid w:val="00B52081"/>
    <w:rsid w:val="00B52695"/>
    <w:rsid w:val="00B545AF"/>
    <w:rsid w:val="00B5543E"/>
    <w:rsid w:val="00B55B09"/>
    <w:rsid w:val="00B56711"/>
    <w:rsid w:val="00B57469"/>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0A4E"/>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D5C"/>
    <w:rsid w:val="00BB40DF"/>
    <w:rsid w:val="00BB5E2C"/>
    <w:rsid w:val="00BB616D"/>
    <w:rsid w:val="00BB7D9E"/>
    <w:rsid w:val="00BC16AC"/>
    <w:rsid w:val="00BC2B7B"/>
    <w:rsid w:val="00BC3A7C"/>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3877"/>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648A"/>
    <w:rsid w:val="00C57ED3"/>
    <w:rsid w:val="00C61640"/>
    <w:rsid w:val="00C61AA7"/>
    <w:rsid w:val="00C61B8E"/>
    <w:rsid w:val="00C61F27"/>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3EDF"/>
    <w:rsid w:val="00CC4CB6"/>
    <w:rsid w:val="00CC4DB0"/>
    <w:rsid w:val="00CC5038"/>
    <w:rsid w:val="00CC5326"/>
    <w:rsid w:val="00CC7426"/>
    <w:rsid w:val="00CC7910"/>
    <w:rsid w:val="00CD0C20"/>
    <w:rsid w:val="00CD297A"/>
    <w:rsid w:val="00CD3AA1"/>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78F"/>
    <w:rsid w:val="00CF3739"/>
    <w:rsid w:val="00CF4B48"/>
    <w:rsid w:val="00CF5597"/>
    <w:rsid w:val="00CF57B4"/>
    <w:rsid w:val="00CF5CA5"/>
    <w:rsid w:val="00CF658A"/>
    <w:rsid w:val="00CF66B6"/>
    <w:rsid w:val="00D007D6"/>
    <w:rsid w:val="00D01A9F"/>
    <w:rsid w:val="00D01CED"/>
    <w:rsid w:val="00D01E38"/>
    <w:rsid w:val="00D022B5"/>
    <w:rsid w:val="00D0350D"/>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92F"/>
    <w:rsid w:val="00D21D89"/>
    <w:rsid w:val="00D2203C"/>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2E6"/>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77B"/>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100"/>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0D9"/>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D10"/>
    <w:rsid w:val="00DD7960"/>
    <w:rsid w:val="00DD7B0D"/>
    <w:rsid w:val="00DD7CD9"/>
    <w:rsid w:val="00DE1F29"/>
    <w:rsid w:val="00DE3FEB"/>
    <w:rsid w:val="00DE4905"/>
    <w:rsid w:val="00DE4F40"/>
    <w:rsid w:val="00DE510C"/>
    <w:rsid w:val="00DE7822"/>
    <w:rsid w:val="00DF081A"/>
    <w:rsid w:val="00DF265D"/>
    <w:rsid w:val="00DF2EB0"/>
    <w:rsid w:val="00DF31C1"/>
    <w:rsid w:val="00DF427A"/>
    <w:rsid w:val="00DF45C5"/>
    <w:rsid w:val="00DF4ABE"/>
    <w:rsid w:val="00DF5A8C"/>
    <w:rsid w:val="00DF71D8"/>
    <w:rsid w:val="00E00CCA"/>
    <w:rsid w:val="00E01623"/>
    <w:rsid w:val="00E03FE3"/>
    <w:rsid w:val="00E06951"/>
    <w:rsid w:val="00E06FD7"/>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43C"/>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9A0"/>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856"/>
    <w:rsid w:val="00E6598A"/>
    <w:rsid w:val="00E667A7"/>
    <w:rsid w:val="00E679B3"/>
    <w:rsid w:val="00E7190A"/>
    <w:rsid w:val="00E71E5C"/>
    <w:rsid w:val="00E7245E"/>
    <w:rsid w:val="00E73831"/>
    <w:rsid w:val="00E73B66"/>
    <w:rsid w:val="00E74614"/>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1B2"/>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743"/>
    <w:rsid w:val="00EE270D"/>
    <w:rsid w:val="00EE3C34"/>
    <w:rsid w:val="00EE6989"/>
    <w:rsid w:val="00EE74EE"/>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194"/>
    <w:rsid w:val="00F24D27"/>
    <w:rsid w:val="00F2520C"/>
    <w:rsid w:val="00F25BCB"/>
    <w:rsid w:val="00F25ECC"/>
    <w:rsid w:val="00F264C1"/>
    <w:rsid w:val="00F26D7F"/>
    <w:rsid w:val="00F27305"/>
    <w:rsid w:val="00F30790"/>
    <w:rsid w:val="00F31570"/>
    <w:rsid w:val="00F33355"/>
    <w:rsid w:val="00F335DB"/>
    <w:rsid w:val="00F34363"/>
    <w:rsid w:val="00F34CE9"/>
    <w:rsid w:val="00F3548F"/>
    <w:rsid w:val="00F354B9"/>
    <w:rsid w:val="00F35705"/>
    <w:rsid w:val="00F35B93"/>
    <w:rsid w:val="00F37CFD"/>
    <w:rsid w:val="00F37D33"/>
    <w:rsid w:val="00F40178"/>
    <w:rsid w:val="00F40DB9"/>
    <w:rsid w:val="00F40ED1"/>
    <w:rsid w:val="00F4117B"/>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2EB"/>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97CD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0CBB"/>
    <w:rsid w:val="00FB2BEF"/>
    <w:rsid w:val="00FB36CA"/>
    <w:rsid w:val="00FB72AC"/>
    <w:rsid w:val="00FB7706"/>
    <w:rsid w:val="00FB7EC9"/>
    <w:rsid w:val="00FB7F82"/>
    <w:rsid w:val="00FC0DAF"/>
    <w:rsid w:val="00FC0E0E"/>
    <w:rsid w:val="00FC11F5"/>
    <w:rsid w:val="00FC126D"/>
    <w:rsid w:val="00FC3387"/>
    <w:rsid w:val="00FC382F"/>
    <w:rsid w:val="00FC4236"/>
    <w:rsid w:val="00FC615D"/>
    <w:rsid w:val="00FD01CC"/>
    <w:rsid w:val="00FD08AF"/>
    <w:rsid w:val="00FD1E7A"/>
    <w:rsid w:val="00FD2672"/>
    <w:rsid w:val="00FD28F4"/>
    <w:rsid w:val="00FD2CE2"/>
    <w:rsid w:val="00FD3A07"/>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rsid w:val="00003CA8"/>
    <w:rPr>
      <w:color w:val="0000FF"/>
      <w:u w:val="single"/>
    </w:rPr>
  </w:style>
  <w:style w:type="character" w:styleId="PageNumber">
    <w:name w:val="page number"/>
    <w:basedOn w:val="DefaultParagraphFont"/>
    <w:rsid w:val="00BC3A7C"/>
  </w:style>
  <w:style w:type="paragraph" w:styleId="BalloonText">
    <w:name w:val="Balloon Text"/>
    <w:basedOn w:val="Normal"/>
    <w:link w:val="BalloonTextChar"/>
    <w:rsid w:val="00D0350D"/>
    <w:rPr>
      <w:rFonts w:ascii="Tahoma" w:hAnsi="Tahoma" w:cs="Tahoma"/>
      <w:sz w:val="16"/>
      <w:szCs w:val="16"/>
    </w:rPr>
  </w:style>
  <w:style w:type="character" w:customStyle="1" w:styleId="BalloonTextChar">
    <w:name w:val="Balloon Text Char"/>
    <w:basedOn w:val="DefaultParagraphFont"/>
    <w:link w:val="BalloonText"/>
    <w:rsid w:val="00D035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rsid w:val="00003CA8"/>
    <w:rPr>
      <w:color w:val="0000FF"/>
      <w:u w:val="single"/>
    </w:rPr>
  </w:style>
  <w:style w:type="character" w:styleId="PageNumber">
    <w:name w:val="page number"/>
    <w:basedOn w:val="DefaultParagraphFont"/>
    <w:rsid w:val="00BC3A7C"/>
  </w:style>
  <w:style w:type="paragraph" w:styleId="BalloonText">
    <w:name w:val="Balloon Text"/>
    <w:basedOn w:val="Normal"/>
    <w:link w:val="BalloonTextChar"/>
    <w:rsid w:val="00D0350D"/>
    <w:rPr>
      <w:rFonts w:ascii="Tahoma" w:hAnsi="Tahoma" w:cs="Tahoma"/>
      <w:sz w:val="16"/>
      <w:szCs w:val="16"/>
    </w:rPr>
  </w:style>
  <w:style w:type="character" w:customStyle="1" w:styleId="BalloonTextChar">
    <w:name w:val="Balloon Text Char"/>
    <w:basedOn w:val="DefaultParagraphFont"/>
    <w:link w:val="BalloonText"/>
    <w:rsid w:val="00D03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d.int/abs/doc/summary-special-event-unga-second-committee-67-212-en.pdf" TargetMode="External"/><Relationship Id="rId5" Type="http://schemas.openxmlformats.org/officeDocument/2006/relationships/settings" Target="settings.xml"/><Relationship Id="rId10" Type="http://schemas.openxmlformats.org/officeDocument/2006/relationships/hyperlink" Target="http://ieg.informea.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DB0B-4F02-4C12-AF7A-CAE9DB83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WIPO/GRTKF/IC/26/INF/7 (Arabic)</vt:lpstr>
    </vt:vector>
  </TitlesOfParts>
  <Company>World Intellectual Property Organization</Company>
  <LinksUpToDate>false</LinksUpToDate>
  <CharactersWithSpaces>6196</CharactersWithSpaces>
  <SharedDoc>false</SharedDoc>
  <HLinks>
    <vt:vector size="6" baseType="variant">
      <vt:variant>
        <vt:i4>5570579</vt:i4>
      </vt:variant>
      <vt:variant>
        <vt:i4>0</vt:i4>
      </vt:variant>
      <vt:variant>
        <vt:i4>0</vt:i4>
      </vt:variant>
      <vt:variant>
        <vt:i4>5</vt:i4>
      </vt:variant>
      <vt:variant>
        <vt:lpwstr>http://www.wipo.int/tk/en/databases/contracts/index.html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WIPO/GRTKF/IC/26/INF/7 (Arabic)</dc:title>
  <dc:subject>تقرير عن تنفيذ أنشطة الفئة جيم ("خيارات حول الشروط المتفق عليها بشأن التقاسم المنصف والعادل للمنافع")</dc:subject>
  <dc:creator>وثيقة من إعداد الأمانة</dc:creator>
  <cp:lastModifiedBy>DOMBRE Nadia</cp:lastModifiedBy>
  <cp:revision>2</cp:revision>
  <cp:lastPrinted>2014-01-07T17:45:00Z</cp:lastPrinted>
  <dcterms:created xsi:type="dcterms:W3CDTF">2014-01-08T09:28:00Z</dcterms:created>
  <dcterms:modified xsi:type="dcterms:W3CDTF">2014-01-08T09:28:00Z</dcterms:modified>
</cp:coreProperties>
</file>