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40B0D" w14:textId="77777777" w:rsidR="008B2CC1" w:rsidRPr="00DC289C" w:rsidRDefault="00DB0349" w:rsidP="00DB0349">
      <w:pPr>
        <w:spacing w:after="120"/>
        <w:jc w:val="right"/>
        <w:rPr>
          <w:lang w:val="fr-FR"/>
        </w:rPr>
      </w:pPr>
      <w:r w:rsidRPr="00DC289C">
        <w:rPr>
          <w:noProof/>
          <w:lang w:val="fr-FR" w:eastAsia="en-US"/>
        </w:rPr>
        <w:drawing>
          <wp:inline distT="0" distB="0" distL="0" distR="0" wp14:anchorId="44C07064" wp14:editId="25A4796E">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C289C">
        <w:rPr>
          <w:rFonts w:ascii="Arial Black" w:hAnsi="Arial Black"/>
          <w:caps/>
          <w:noProof/>
          <w:sz w:val="15"/>
          <w:szCs w:val="15"/>
          <w:lang w:val="fr-FR" w:eastAsia="en-US"/>
        </w:rPr>
        <mc:AlternateContent>
          <mc:Choice Requires="wps">
            <w:drawing>
              <wp:inline distT="0" distB="0" distL="0" distR="0" wp14:anchorId="31D34748" wp14:editId="1162523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D640F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238DD65" w14:textId="77777777" w:rsidR="008B2CC1" w:rsidRPr="00DC289C" w:rsidRDefault="00825E46" w:rsidP="00DB0349">
      <w:pPr>
        <w:jc w:val="right"/>
        <w:rPr>
          <w:rFonts w:ascii="Arial Black" w:hAnsi="Arial Black"/>
          <w:caps/>
          <w:sz w:val="15"/>
          <w:szCs w:val="15"/>
          <w:lang w:val="fr-FR"/>
        </w:rPr>
      </w:pPr>
      <w:r w:rsidRPr="00DC289C">
        <w:rPr>
          <w:rFonts w:ascii="Arial Black" w:hAnsi="Arial Black"/>
          <w:caps/>
          <w:sz w:val="15"/>
          <w:lang w:val="fr-FR"/>
        </w:rPr>
        <w:t>DLT/DC</w:t>
      </w:r>
      <w:r w:rsidR="00F66968" w:rsidRPr="00DC289C">
        <w:rPr>
          <w:rFonts w:ascii="Arial Black" w:hAnsi="Arial Black"/>
          <w:caps/>
          <w:sz w:val="15"/>
          <w:szCs w:val="15"/>
          <w:lang w:val="fr-FR"/>
        </w:rPr>
        <w:t>/</w:t>
      </w:r>
      <w:bookmarkStart w:id="0" w:name="Code"/>
      <w:r w:rsidR="00700223" w:rsidRPr="00DC289C">
        <w:rPr>
          <w:rFonts w:ascii="Arial Black" w:hAnsi="Arial Black"/>
          <w:caps/>
          <w:sz w:val="15"/>
          <w:szCs w:val="15"/>
          <w:lang w:val="fr-FR"/>
        </w:rPr>
        <w:t>9</w:t>
      </w:r>
    </w:p>
    <w:bookmarkEnd w:id="0"/>
    <w:p w14:paraId="1A924635" w14:textId="209D277E" w:rsidR="008B2CC1" w:rsidRPr="00DC289C" w:rsidRDefault="00DB0349" w:rsidP="00DB0349">
      <w:pPr>
        <w:jc w:val="right"/>
        <w:rPr>
          <w:rFonts w:ascii="Arial Black" w:hAnsi="Arial Black"/>
          <w:caps/>
          <w:sz w:val="15"/>
          <w:szCs w:val="15"/>
          <w:lang w:val="fr-FR"/>
        </w:rPr>
      </w:pPr>
      <w:r w:rsidRPr="00DC289C">
        <w:rPr>
          <w:rFonts w:ascii="Arial Black" w:hAnsi="Arial Black"/>
          <w:caps/>
          <w:sz w:val="15"/>
          <w:szCs w:val="15"/>
          <w:lang w:val="fr-FR"/>
        </w:rPr>
        <w:t>Original</w:t>
      </w:r>
      <w:r w:rsidR="00C41570" w:rsidRPr="00DC289C">
        <w:rPr>
          <w:rFonts w:ascii="Arial Black" w:hAnsi="Arial Black"/>
          <w:caps/>
          <w:sz w:val="15"/>
          <w:szCs w:val="15"/>
          <w:lang w:val="fr-FR"/>
        </w:rPr>
        <w:t> :</w:t>
      </w:r>
      <w:r w:rsidRPr="00DC289C">
        <w:rPr>
          <w:rFonts w:ascii="Arial Black" w:hAnsi="Arial Black"/>
          <w:caps/>
          <w:sz w:val="15"/>
          <w:szCs w:val="15"/>
          <w:lang w:val="fr-FR"/>
        </w:rPr>
        <w:t xml:space="preserve"> </w:t>
      </w:r>
      <w:bookmarkStart w:id="1" w:name="Original"/>
      <w:r w:rsidR="00700223" w:rsidRPr="00DC289C">
        <w:rPr>
          <w:rFonts w:ascii="Arial Black" w:hAnsi="Arial Black"/>
          <w:caps/>
          <w:sz w:val="15"/>
          <w:szCs w:val="15"/>
          <w:lang w:val="fr-FR"/>
        </w:rPr>
        <w:t>anglais</w:t>
      </w:r>
    </w:p>
    <w:bookmarkEnd w:id="1"/>
    <w:p w14:paraId="789C22E9" w14:textId="61C7B2CE" w:rsidR="008B2CC1" w:rsidRPr="00DC289C" w:rsidRDefault="00DB0349" w:rsidP="00DB0349">
      <w:pPr>
        <w:spacing w:after="1200"/>
        <w:jc w:val="right"/>
        <w:rPr>
          <w:rFonts w:ascii="Arial Black" w:hAnsi="Arial Black"/>
          <w:caps/>
          <w:sz w:val="15"/>
          <w:szCs w:val="15"/>
          <w:lang w:val="fr-FR"/>
        </w:rPr>
      </w:pPr>
      <w:r w:rsidRPr="00DC289C">
        <w:rPr>
          <w:rFonts w:ascii="Arial Black" w:hAnsi="Arial Black"/>
          <w:caps/>
          <w:sz w:val="15"/>
          <w:szCs w:val="15"/>
          <w:lang w:val="fr-FR"/>
        </w:rPr>
        <w:t>date</w:t>
      </w:r>
      <w:r w:rsidR="00C41570" w:rsidRPr="00DC289C">
        <w:rPr>
          <w:rFonts w:ascii="Arial Black" w:hAnsi="Arial Black"/>
          <w:caps/>
          <w:sz w:val="15"/>
          <w:szCs w:val="15"/>
          <w:lang w:val="fr-FR"/>
        </w:rPr>
        <w:t> :</w:t>
      </w:r>
      <w:r w:rsidRPr="00DC289C">
        <w:rPr>
          <w:rFonts w:ascii="Arial Black" w:hAnsi="Arial Black"/>
          <w:caps/>
          <w:sz w:val="15"/>
          <w:szCs w:val="15"/>
          <w:lang w:val="fr-FR"/>
        </w:rPr>
        <w:t xml:space="preserve"> </w:t>
      </w:r>
      <w:bookmarkStart w:id="2" w:name="Date"/>
      <w:r w:rsidR="00700223" w:rsidRPr="00DC289C">
        <w:rPr>
          <w:rFonts w:ascii="Arial Black" w:hAnsi="Arial Black"/>
          <w:caps/>
          <w:sz w:val="15"/>
          <w:szCs w:val="15"/>
          <w:lang w:val="fr-FR"/>
        </w:rPr>
        <w:t>11 novembre 2024</w:t>
      </w:r>
    </w:p>
    <w:bookmarkEnd w:id="2"/>
    <w:p w14:paraId="18F445AC" w14:textId="48E5CF26" w:rsidR="00C40E15" w:rsidRPr="00DC289C" w:rsidRDefault="00825E46" w:rsidP="00DB0349">
      <w:pPr>
        <w:spacing w:after="600"/>
        <w:rPr>
          <w:b/>
          <w:sz w:val="28"/>
          <w:szCs w:val="28"/>
          <w:lang w:val="fr-FR"/>
        </w:rPr>
      </w:pPr>
      <w:r w:rsidRPr="00DC289C">
        <w:rPr>
          <w:b/>
          <w:sz w:val="28"/>
          <w:szCs w:val="28"/>
          <w:lang w:val="fr-FR"/>
        </w:rPr>
        <w:t xml:space="preserve">Conférence diplomatique </w:t>
      </w:r>
      <w:r w:rsidR="00B42E71" w:rsidRPr="00DC289C">
        <w:rPr>
          <w:b/>
          <w:sz w:val="28"/>
          <w:szCs w:val="28"/>
          <w:lang w:val="fr-FR"/>
        </w:rPr>
        <w:t xml:space="preserve">pour </w:t>
      </w:r>
      <w:r w:rsidRPr="00DC289C">
        <w:rPr>
          <w:b/>
          <w:sz w:val="28"/>
          <w:szCs w:val="28"/>
          <w:lang w:val="fr-FR"/>
        </w:rPr>
        <w:t>la conclusion et l</w:t>
      </w:r>
      <w:r w:rsidR="00C41570" w:rsidRPr="00DC289C">
        <w:rPr>
          <w:b/>
          <w:sz w:val="28"/>
          <w:szCs w:val="28"/>
          <w:lang w:val="fr-FR"/>
        </w:rPr>
        <w:t>’</w:t>
      </w:r>
      <w:r w:rsidRPr="00DC289C">
        <w:rPr>
          <w:b/>
          <w:sz w:val="28"/>
          <w:szCs w:val="28"/>
          <w:lang w:val="fr-FR"/>
        </w:rPr>
        <w:t>adoption d</w:t>
      </w:r>
      <w:r w:rsidR="00C41570" w:rsidRPr="00DC289C">
        <w:rPr>
          <w:b/>
          <w:sz w:val="28"/>
          <w:szCs w:val="28"/>
          <w:lang w:val="fr-FR"/>
        </w:rPr>
        <w:t>’</w:t>
      </w:r>
      <w:r w:rsidRPr="00DC289C">
        <w:rPr>
          <w:b/>
          <w:sz w:val="28"/>
          <w:szCs w:val="28"/>
          <w:lang w:val="fr-FR"/>
        </w:rPr>
        <w:t>un traité sur le droit des dessins et modèles (DLT)</w:t>
      </w:r>
    </w:p>
    <w:p w14:paraId="6E21A93B" w14:textId="5ECDBAB0" w:rsidR="008B2CC1" w:rsidRPr="00DC289C" w:rsidRDefault="00825E46" w:rsidP="00DB0349">
      <w:pPr>
        <w:spacing w:after="720"/>
        <w:rPr>
          <w:b/>
          <w:sz w:val="24"/>
          <w:szCs w:val="24"/>
          <w:lang w:val="fr-FR"/>
        </w:rPr>
      </w:pPr>
      <w:r w:rsidRPr="00DC289C">
        <w:rPr>
          <w:b/>
          <w:sz w:val="24"/>
          <w:szCs w:val="24"/>
          <w:lang w:val="fr-FR"/>
        </w:rPr>
        <w:t>Riyad, 11 – 2</w:t>
      </w:r>
      <w:r w:rsidR="00C41570" w:rsidRPr="00DC289C">
        <w:rPr>
          <w:b/>
          <w:sz w:val="24"/>
          <w:szCs w:val="24"/>
          <w:lang w:val="fr-FR"/>
        </w:rPr>
        <w:t>2 novembre 20</w:t>
      </w:r>
      <w:r w:rsidRPr="00DC289C">
        <w:rPr>
          <w:b/>
          <w:sz w:val="24"/>
          <w:szCs w:val="24"/>
          <w:lang w:val="fr-FR"/>
        </w:rPr>
        <w:t>24</w:t>
      </w:r>
    </w:p>
    <w:p w14:paraId="1C661CCB" w14:textId="022F3DA9" w:rsidR="008B2CC1" w:rsidRPr="00DC289C" w:rsidRDefault="00700223" w:rsidP="00700223">
      <w:pPr>
        <w:spacing w:after="360"/>
        <w:rPr>
          <w:caps/>
          <w:sz w:val="24"/>
          <w:lang w:val="fr-FR"/>
        </w:rPr>
      </w:pPr>
      <w:bookmarkStart w:id="3" w:name="TitleOfDoc"/>
      <w:r w:rsidRPr="00DC289C">
        <w:rPr>
          <w:caps/>
          <w:sz w:val="24"/>
          <w:lang w:val="fr-FR"/>
        </w:rPr>
        <w:t>Résolutions complétant le traité proposé en vue de son adoption par la conférence diplomatique</w:t>
      </w:r>
    </w:p>
    <w:p w14:paraId="146B6201" w14:textId="2AAE15AB" w:rsidR="00525B63" w:rsidRPr="00DC289C" w:rsidRDefault="00700223" w:rsidP="00DB0349">
      <w:pPr>
        <w:spacing w:after="960"/>
        <w:rPr>
          <w:i/>
          <w:iCs/>
          <w:lang w:val="fr-FR"/>
        </w:rPr>
      </w:pPr>
      <w:bookmarkStart w:id="4" w:name="Prepared"/>
      <w:bookmarkEnd w:id="3"/>
      <w:r w:rsidRPr="00DC289C">
        <w:rPr>
          <w:i/>
          <w:lang w:val="fr-FR"/>
        </w:rPr>
        <w:t>Proposition présentée par les délégations du Japon et de la République de Corée</w:t>
      </w:r>
    </w:p>
    <w:bookmarkEnd w:id="4"/>
    <w:p w14:paraId="282A19BF" w14:textId="09FD03A6" w:rsidR="00700223" w:rsidRPr="00DC289C" w:rsidRDefault="00700223" w:rsidP="00700223">
      <w:pPr>
        <w:spacing w:after="220"/>
        <w:rPr>
          <w:lang w:val="fr-FR"/>
        </w:rPr>
      </w:pPr>
      <w:r w:rsidRPr="00DC289C">
        <w:rPr>
          <w:lang w:val="fr-FR"/>
        </w:rPr>
        <w:t>Les délégations du Japon et de la République de Corée ont transmis au secrétariat de la conférence diplomatique la proposition reproduite dans l</w:t>
      </w:r>
      <w:r w:rsidR="00C41570" w:rsidRPr="00DC289C">
        <w:rPr>
          <w:lang w:val="fr-FR"/>
        </w:rPr>
        <w:t>’</w:t>
      </w:r>
      <w:r w:rsidRPr="00DC289C">
        <w:rPr>
          <w:lang w:val="fr-FR"/>
        </w:rPr>
        <w:t>annexe du présent document.</w:t>
      </w:r>
    </w:p>
    <w:p w14:paraId="636E91F5" w14:textId="6DBAB2B8" w:rsidR="00700223" w:rsidRPr="00DC289C" w:rsidRDefault="00700223" w:rsidP="00700223">
      <w:pPr>
        <w:pStyle w:val="Endofdocument-Annex"/>
        <w:sectPr w:rsidR="00700223" w:rsidRPr="00DC289C" w:rsidSect="00C41570">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rsidRPr="00DC289C">
        <w:t>[L</w:t>
      </w:r>
      <w:r w:rsidR="00C41570" w:rsidRPr="00DC289C">
        <w:t>’</w:t>
      </w:r>
      <w:r w:rsidRPr="00DC289C">
        <w:t>annexe suit]</w:t>
      </w:r>
    </w:p>
    <w:p w14:paraId="70B0A725" w14:textId="39BB2817" w:rsidR="00C41570" w:rsidRPr="00DC289C" w:rsidRDefault="00700223" w:rsidP="00700223">
      <w:pPr>
        <w:pStyle w:val="TitleofDoc"/>
        <w:snapToGrid w:val="0"/>
        <w:spacing w:before="120" w:line="20" w:lineRule="atLeast"/>
        <w:rPr>
          <w:sz w:val="28"/>
        </w:rPr>
      </w:pPr>
      <w:r w:rsidRPr="00DC289C">
        <w:rPr>
          <w:sz w:val="28"/>
        </w:rPr>
        <w:lastRenderedPageBreak/>
        <w:t>RÉSOLUTION RELATIVE À L</w:t>
      </w:r>
      <w:r w:rsidR="00C41570" w:rsidRPr="00DC289C">
        <w:rPr>
          <w:sz w:val="28"/>
        </w:rPr>
        <w:t>’</w:t>
      </w:r>
      <w:r w:rsidRPr="00DC289C">
        <w:rPr>
          <w:sz w:val="28"/>
        </w:rPr>
        <w:t>ARTICLE</w:t>
      </w:r>
      <w:r w:rsidR="00BC16D5">
        <w:rPr>
          <w:sz w:val="28"/>
        </w:rPr>
        <w:t> </w:t>
      </w:r>
      <w:r w:rsidRPr="00DC289C">
        <w:rPr>
          <w:sz w:val="28"/>
        </w:rPr>
        <w:t>1.VIII)</w:t>
      </w:r>
    </w:p>
    <w:p w14:paraId="2A4E1EFD" w14:textId="54A014D4" w:rsidR="00700223" w:rsidRPr="00DC289C" w:rsidRDefault="00700223" w:rsidP="00BC16D5">
      <w:pPr>
        <w:pStyle w:val="TitleofDoc"/>
        <w:snapToGrid w:val="0"/>
        <w:spacing w:before="120" w:after="240" w:line="20" w:lineRule="atLeast"/>
        <w:rPr>
          <w:sz w:val="28"/>
          <w:szCs w:val="21"/>
        </w:rPr>
      </w:pPr>
      <w:r w:rsidRPr="00DC289C">
        <w:rPr>
          <w:sz w:val="28"/>
        </w:rPr>
        <w:t>CONCERNANT LA “PROCÉDURE DEVANT L</w:t>
      </w:r>
      <w:r w:rsidR="00C41570" w:rsidRPr="00DC289C">
        <w:rPr>
          <w:sz w:val="28"/>
        </w:rPr>
        <w:t>’</w:t>
      </w:r>
      <w:r w:rsidRPr="00DC289C">
        <w:rPr>
          <w:sz w:val="28"/>
        </w:rPr>
        <w:t>OFFICE”</w:t>
      </w:r>
    </w:p>
    <w:p w14:paraId="477E8529" w14:textId="77777777" w:rsidR="00700223" w:rsidRPr="00DC289C" w:rsidRDefault="00700223" w:rsidP="00BC16D5">
      <w:pPr>
        <w:spacing w:after="240"/>
        <w:jc w:val="center"/>
        <w:rPr>
          <w:rFonts w:ascii="Times New Roman" w:eastAsia="Yu Mincho" w:hAnsi="Times New Roman" w:cs="Times New Roman"/>
          <w:i/>
          <w:iCs/>
          <w:sz w:val="28"/>
          <w:szCs w:val="28"/>
          <w:lang w:val="fr-FR"/>
        </w:rPr>
      </w:pPr>
      <w:r w:rsidRPr="00DC289C">
        <w:rPr>
          <w:rFonts w:ascii="Times New Roman" w:hAnsi="Times New Roman"/>
          <w:i/>
          <w:sz w:val="28"/>
          <w:lang w:val="fr-FR"/>
        </w:rPr>
        <w:t>Proposition présentée par les délégations du Japon et de la République de Corée</w:t>
      </w:r>
    </w:p>
    <w:p w14:paraId="074ADC7C" w14:textId="3A522E0D" w:rsidR="00700223" w:rsidRPr="00DC289C" w:rsidRDefault="00700223" w:rsidP="00BC16D5">
      <w:pPr>
        <w:spacing w:after="240"/>
        <w:rPr>
          <w:rFonts w:ascii="Times New Roman" w:eastAsia="Yu Mincho" w:hAnsi="Times New Roman" w:cs="Times New Roman"/>
          <w:b/>
          <w:bCs/>
          <w:sz w:val="24"/>
          <w:lang w:val="fr-FR"/>
        </w:rPr>
      </w:pPr>
      <w:r w:rsidRPr="00DC289C">
        <w:rPr>
          <w:rFonts w:ascii="Times New Roman" w:hAnsi="Times New Roman"/>
          <w:b/>
          <w:sz w:val="24"/>
          <w:lang w:val="fr-FR"/>
        </w:rPr>
        <w:t xml:space="preserve">PRÉCISION CONCERNANT LA </w:t>
      </w:r>
      <w:r w:rsidR="00C41570" w:rsidRPr="00DC289C">
        <w:rPr>
          <w:rFonts w:ascii="Times New Roman" w:hAnsi="Times New Roman"/>
          <w:b/>
          <w:sz w:val="24"/>
          <w:lang w:val="fr-FR"/>
        </w:rPr>
        <w:t>“P</w:t>
      </w:r>
      <w:r w:rsidRPr="00DC289C">
        <w:rPr>
          <w:rFonts w:ascii="Times New Roman" w:hAnsi="Times New Roman"/>
          <w:b/>
          <w:sz w:val="24"/>
          <w:lang w:val="fr-FR"/>
        </w:rPr>
        <w:t>ROCÉDURE DEVANT L</w:t>
      </w:r>
      <w:r w:rsidR="00C41570" w:rsidRPr="00DC289C">
        <w:rPr>
          <w:rFonts w:ascii="Times New Roman" w:hAnsi="Times New Roman"/>
          <w:b/>
          <w:sz w:val="24"/>
          <w:lang w:val="fr-FR"/>
        </w:rPr>
        <w:t>’</w:t>
      </w:r>
      <w:r w:rsidRPr="00DC289C">
        <w:rPr>
          <w:rFonts w:ascii="Times New Roman" w:hAnsi="Times New Roman"/>
          <w:b/>
          <w:sz w:val="24"/>
          <w:lang w:val="fr-FR"/>
        </w:rPr>
        <w:t>OFFIC</w:t>
      </w:r>
      <w:r w:rsidR="00C41570" w:rsidRPr="00DC289C">
        <w:rPr>
          <w:rFonts w:ascii="Times New Roman" w:hAnsi="Times New Roman"/>
          <w:b/>
          <w:sz w:val="24"/>
          <w:lang w:val="fr-FR"/>
        </w:rPr>
        <w:t>E”</w:t>
      </w:r>
      <w:r w:rsidRPr="00DC289C">
        <w:rPr>
          <w:rFonts w:ascii="Times New Roman" w:hAnsi="Times New Roman"/>
          <w:b/>
          <w:sz w:val="24"/>
          <w:lang w:val="fr-FR"/>
        </w:rPr>
        <w:t xml:space="preserve"> CONFORMÉMENT AU PLT ET AU STLT</w:t>
      </w:r>
    </w:p>
    <w:p w14:paraId="309368EA" w14:textId="11794CF5" w:rsidR="00C41570" w:rsidRPr="00DC289C" w:rsidRDefault="00700223" w:rsidP="00BC16D5">
      <w:pPr>
        <w:autoSpaceDE w:val="0"/>
        <w:autoSpaceDN w:val="0"/>
        <w:adjustRightInd w:val="0"/>
        <w:spacing w:after="240"/>
        <w:ind w:firstLineChars="200" w:firstLine="480"/>
        <w:rPr>
          <w:rFonts w:ascii="Times New Roman" w:hAnsi="Times New Roman"/>
          <w:sz w:val="24"/>
          <w:lang w:val="fr-FR"/>
        </w:rPr>
      </w:pPr>
      <w:r w:rsidRPr="00DC289C">
        <w:rPr>
          <w:rFonts w:ascii="Times New Roman" w:hAnsi="Times New Roman"/>
          <w:sz w:val="24"/>
          <w:lang w:val="fr-FR"/>
        </w:rPr>
        <w:t>Dans la mesure où la proposition de base concernant le Traité sur le droit des dessins et modèles</w:t>
      </w:r>
      <w:r w:rsidR="00BC16D5">
        <w:rPr>
          <w:rFonts w:ascii="Times New Roman" w:hAnsi="Times New Roman"/>
          <w:sz w:val="24"/>
          <w:lang w:val="fr-FR"/>
        </w:rPr>
        <w:t> </w:t>
      </w:r>
      <w:r w:rsidRPr="00DC289C">
        <w:rPr>
          <w:rFonts w:ascii="Times New Roman" w:hAnsi="Times New Roman"/>
          <w:sz w:val="24"/>
          <w:lang w:val="fr-FR"/>
        </w:rPr>
        <w:t>(DLT) a la même structure et les mêmes objectifs que le Traité sur le droit des brevets</w:t>
      </w:r>
      <w:r w:rsidR="00BC16D5">
        <w:rPr>
          <w:rFonts w:ascii="Times New Roman" w:hAnsi="Times New Roman"/>
          <w:sz w:val="24"/>
          <w:lang w:val="fr-FR"/>
        </w:rPr>
        <w:t> </w:t>
      </w:r>
      <w:r w:rsidRPr="00DC289C">
        <w:rPr>
          <w:rFonts w:ascii="Times New Roman" w:hAnsi="Times New Roman"/>
          <w:sz w:val="24"/>
          <w:lang w:val="fr-FR"/>
        </w:rPr>
        <w:t>(PLT) et le Traité de Singapour sur le droit des marques</w:t>
      </w:r>
      <w:r w:rsidR="00BC16D5">
        <w:rPr>
          <w:rFonts w:ascii="Times New Roman" w:hAnsi="Times New Roman"/>
          <w:sz w:val="24"/>
          <w:lang w:val="fr-FR"/>
        </w:rPr>
        <w:t> </w:t>
      </w:r>
      <w:r w:rsidRPr="00DC289C">
        <w:rPr>
          <w:rFonts w:ascii="Times New Roman" w:hAnsi="Times New Roman"/>
          <w:sz w:val="24"/>
          <w:lang w:val="fr-FR"/>
        </w:rPr>
        <w:t>(STLT), nous sommes d</w:t>
      </w:r>
      <w:r w:rsidR="00C41570" w:rsidRPr="00DC289C">
        <w:rPr>
          <w:rFonts w:ascii="Times New Roman" w:hAnsi="Times New Roman"/>
          <w:sz w:val="24"/>
          <w:lang w:val="fr-FR"/>
        </w:rPr>
        <w:t>’</w:t>
      </w:r>
      <w:r w:rsidRPr="00DC289C">
        <w:rPr>
          <w:rFonts w:ascii="Times New Roman" w:hAnsi="Times New Roman"/>
          <w:sz w:val="24"/>
          <w:lang w:val="fr-FR"/>
        </w:rPr>
        <w:t>avis que l</w:t>
      </w:r>
      <w:r w:rsidR="00C41570" w:rsidRPr="00DC289C">
        <w:rPr>
          <w:rFonts w:ascii="Times New Roman" w:hAnsi="Times New Roman"/>
          <w:sz w:val="24"/>
          <w:lang w:val="fr-FR"/>
        </w:rPr>
        <w:t>’</w:t>
      </w:r>
      <w:r w:rsidRPr="00DC289C">
        <w:rPr>
          <w:rFonts w:ascii="Times New Roman" w:hAnsi="Times New Roman"/>
          <w:sz w:val="24"/>
          <w:lang w:val="fr-FR"/>
        </w:rPr>
        <w:t>expression “procédure devant l</w:t>
      </w:r>
      <w:r w:rsidR="00C41570" w:rsidRPr="00DC289C">
        <w:rPr>
          <w:rFonts w:ascii="Times New Roman" w:hAnsi="Times New Roman"/>
          <w:sz w:val="24"/>
          <w:lang w:val="fr-FR"/>
        </w:rPr>
        <w:t>’</w:t>
      </w:r>
      <w:r w:rsidRPr="00DC289C">
        <w:rPr>
          <w:rFonts w:ascii="Times New Roman" w:hAnsi="Times New Roman"/>
          <w:sz w:val="24"/>
          <w:lang w:val="fr-FR"/>
        </w:rPr>
        <w:t>office” figurant à l</w:t>
      </w:r>
      <w:r w:rsidR="00C41570" w:rsidRPr="00DC289C">
        <w:rPr>
          <w:rFonts w:ascii="Times New Roman" w:hAnsi="Times New Roman"/>
          <w:sz w:val="24"/>
          <w:lang w:val="fr-FR"/>
        </w:rPr>
        <w:t>’article 1</w:t>
      </w:r>
      <w:r w:rsidRPr="00DC289C">
        <w:rPr>
          <w:rFonts w:ascii="Times New Roman" w:hAnsi="Times New Roman"/>
          <w:sz w:val="24"/>
          <w:lang w:val="fr-FR"/>
        </w:rPr>
        <w:t>.viii)</w:t>
      </w:r>
      <w:r w:rsidR="00C41570" w:rsidRPr="00DC289C">
        <w:rPr>
          <w:rFonts w:ascii="Times New Roman" w:hAnsi="Times New Roman"/>
          <w:sz w:val="24"/>
          <w:lang w:val="fr-FR"/>
        </w:rPr>
        <w:t xml:space="preserve"> du DLT</w:t>
      </w:r>
      <w:r w:rsidRPr="00DC289C">
        <w:rPr>
          <w:rFonts w:ascii="Times New Roman" w:hAnsi="Times New Roman"/>
          <w:sz w:val="24"/>
          <w:lang w:val="fr-FR"/>
        </w:rPr>
        <w:t xml:space="preserve"> ne désigne pas les procédures judiciaires engagées en vertu de la législation applicable ou de la législation d</w:t>
      </w:r>
      <w:r w:rsidR="00C41570" w:rsidRPr="00DC289C">
        <w:rPr>
          <w:rFonts w:ascii="Times New Roman" w:hAnsi="Times New Roman"/>
          <w:sz w:val="24"/>
          <w:lang w:val="fr-FR"/>
        </w:rPr>
        <w:t>’</w:t>
      </w:r>
      <w:r w:rsidRPr="00DC289C">
        <w:rPr>
          <w:rFonts w:ascii="Times New Roman" w:hAnsi="Times New Roman"/>
          <w:sz w:val="24"/>
          <w:lang w:val="fr-FR"/>
        </w:rPr>
        <w:t>une Partie contractante.</w:t>
      </w:r>
    </w:p>
    <w:p w14:paraId="75A99360" w14:textId="5C9E26F2" w:rsidR="00700223" w:rsidRPr="0081397E" w:rsidRDefault="00700223" w:rsidP="00BC16D5">
      <w:pPr>
        <w:autoSpaceDE w:val="0"/>
        <w:autoSpaceDN w:val="0"/>
        <w:adjustRightInd w:val="0"/>
        <w:spacing w:after="240"/>
        <w:ind w:firstLineChars="200" w:firstLine="480"/>
        <w:rPr>
          <w:rFonts w:ascii="Times New Roman" w:eastAsia="MS Mincho" w:hAnsi="Times New Roman" w:cs="Times New Roman"/>
          <w:sz w:val="24"/>
          <w:szCs w:val="24"/>
          <w:lang w:val="fr-FR"/>
        </w:rPr>
      </w:pPr>
      <w:r w:rsidRPr="0081397E">
        <w:rPr>
          <w:rFonts w:ascii="Times New Roman" w:hAnsi="Times New Roman"/>
          <w:sz w:val="24"/>
          <w:lang w:val="fr-FR"/>
        </w:rPr>
        <w:t xml:space="preserve">Cette interprétation est conforme à la déclaration et à la résolution adoptées lors de la </w:t>
      </w:r>
      <w:r w:rsidR="0081397E" w:rsidRPr="0081397E">
        <w:rPr>
          <w:rFonts w:ascii="Times New Roman" w:hAnsi="Times New Roman"/>
          <w:sz w:val="24"/>
          <w:lang w:val="fr-FR"/>
        </w:rPr>
        <w:t>C</w:t>
      </w:r>
      <w:r w:rsidRPr="0081397E">
        <w:rPr>
          <w:rFonts w:ascii="Times New Roman" w:hAnsi="Times New Roman"/>
          <w:sz w:val="24"/>
          <w:lang w:val="fr-FR"/>
        </w:rPr>
        <w:t>onférence diplomatique pour l</w:t>
      </w:r>
      <w:r w:rsidR="00C41570" w:rsidRPr="0081397E">
        <w:rPr>
          <w:rFonts w:ascii="Times New Roman" w:hAnsi="Times New Roman"/>
          <w:sz w:val="24"/>
          <w:lang w:val="fr-FR"/>
        </w:rPr>
        <w:t>’</w:t>
      </w:r>
      <w:r w:rsidRPr="0081397E">
        <w:rPr>
          <w:rFonts w:ascii="Times New Roman" w:hAnsi="Times New Roman"/>
          <w:sz w:val="24"/>
          <w:lang w:val="fr-FR"/>
        </w:rPr>
        <w:t>adoption du Traité sur le droit des brevets (PLT)</w:t>
      </w:r>
      <w:r w:rsidRPr="0081397E">
        <w:rPr>
          <w:rStyle w:val="FootnoteReference"/>
          <w:rFonts w:ascii="Times New Roman" w:eastAsia="MS Mincho" w:hAnsi="Times New Roman" w:cs="Times New Roman"/>
          <w:sz w:val="24"/>
          <w:szCs w:val="24"/>
          <w:lang w:val="fr-FR"/>
        </w:rPr>
        <w:footnoteReference w:id="2"/>
      </w:r>
      <w:r w:rsidRPr="0081397E">
        <w:rPr>
          <w:rFonts w:ascii="Times New Roman" w:hAnsi="Times New Roman"/>
          <w:sz w:val="24"/>
          <w:vertAlign w:val="superscript"/>
          <w:lang w:val="fr-FR"/>
        </w:rPr>
        <w:t>,</w:t>
      </w:r>
      <w:r w:rsidRPr="0081397E">
        <w:rPr>
          <w:rStyle w:val="FootnoteReference"/>
          <w:rFonts w:ascii="Times New Roman" w:eastAsia="MS Mincho" w:hAnsi="Times New Roman" w:cs="Times New Roman"/>
          <w:sz w:val="24"/>
          <w:szCs w:val="24"/>
          <w:lang w:val="fr-FR"/>
        </w:rPr>
        <w:footnoteReference w:id="3"/>
      </w:r>
      <w:r w:rsidRPr="0081397E">
        <w:rPr>
          <w:rFonts w:ascii="Times New Roman" w:hAnsi="Times New Roman"/>
          <w:sz w:val="24"/>
          <w:lang w:val="fr-FR"/>
        </w:rPr>
        <w:t xml:space="preserve"> et de la </w:t>
      </w:r>
      <w:r w:rsidR="0081397E" w:rsidRPr="0081397E">
        <w:rPr>
          <w:rFonts w:ascii="Times New Roman" w:hAnsi="Times New Roman"/>
          <w:sz w:val="24"/>
          <w:lang w:val="fr-FR"/>
        </w:rPr>
        <w:t>C</w:t>
      </w:r>
      <w:r w:rsidRPr="0081397E">
        <w:rPr>
          <w:rFonts w:ascii="Times New Roman" w:hAnsi="Times New Roman"/>
          <w:sz w:val="24"/>
          <w:lang w:val="fr-FR"/>
        </w:rPr>
        <w:t>onférence diplomatique pour l</w:t>
      </w:r>
      <w:r w:rsidR="00C41570" w:rsidRPr="0081397E">
        <w:rPr>
          <w:rFonts w:ascii="Times New Roman" w:hAnsi="Times New Roman"/>
          <w:sz w:val="24"/>
          <w:lang w:val="fr-FR"/>
        </w:rPr>
        <w:t>’</w:t>
      </w:r>
      <w:r w:rsidRPr="0081397E">
        <w:rPr>
          <w:rFonts w:ascii="Times New Roman" w:hAnsi="Times New Roman"/>
          <w:sz w:val="24"/>
          <w:lang w:val="fr-FR"/>
        </w:rPr>
        <w:t>adoption d</w:t>
      </w:r>
      <w:r w:rsidR="00C41570" w:rsidRPr="0081397E">
        <w:rPr>
          <w:rFonts w:ascii="Times New Roman" w:hAnsi="Times New Roman"/>
          <w:sz w:val="24"/>
          <w:lang w:val="fr-FR"/>
        </w:rPr>
        <w:t>’</w:t>
      </w:r>
      <w:r w:rsidRPr="0081397E">
        <w:rPr>
          <w:rFonts w:ascii="Times New Roman" w:hAnsi="Times New Roman"/>
          <w:sz w:val="24"/>
          <w:lang w:val="fr-FR"/>
        </w:rPr>
        <w:t>un Traité révisé sur le droit des marques</w:t>
      </w:r>
      <w:r w:rsidRPr="0081397E">
        <w:rPr>
          <w:rFonts w:ascii="Times New Roman" w:hAnsi="Times New Roman" w:cs="Times New Roman"/>
          <w:sz w:val="24"/>
          <w:szCs w:val="24"/>
          <w:vertAlign w:val="superscript"/>
          <w:lang w:val="fr-FR"/>
        </w:rPr>
        <w:footnoteReference w:id="4"/>
      </w:r>
      <w:r w:rsidR="00DE1EB8" w:rsidRPr="0081397E">
        <w:rPr>
          <w:rFonts w:ascii="Times New Roman" w:hAnsi="Times New Roman"/>
          <w:sz w:val="24"/>
          <w:lang w:val="fr-FR"/>
        </w:rPr>
        <w:t>.</w:t>
      </w:r>
    </w:p>
    <w:p w14:paraId="44719DAC" w14:textId="1C384964" w:rsidR="00700223" w:rsidRPr="00DC289C" w:rsidRDefault="00700223" w:rsidP="00BC16D5">
      <w:pPr>
        <w:autoSpaceDE w:val="0"/>
        <w:autoSpaceDN w:val="0"/>
        <w:adjustRightInd w:val="0"/>
        <w:spacing w:after="240"/>
        <w:ind w:firstLineChars="200" w:firstLine="480"/>
        <w:rPr>
          <w:rFonts w:ascii="Times New Roman" w:eastAsia="MS Mincho" w:hAnsi="Times New Roman" w:cs="Times New Roman"/>
          <w:sz w:val="24"/>
          <w:szCs w:val="24"/>
          <w:lang w:val="fr-FR"/>
        </w:rPr>
      </w:pPr>
      <w:r w:rsidRPr="0081397E">
        <w:rPr>
          <w:rFonts w:ascii="Times New Roman" w:hAnsi="Times New Roman"/>
          <w:sz w:val="24"/>
          <w:lang w:val="fr-FR"/>
        </w:rPr>
        <w:t>En conséquence, la résolution ci</w:t>
      </w:r>
      <w:r w:rsidR="00BC16D5" w:rsidRPr="0081397E">
        <w:rPr>
          <w:rFonts w:ascii="Times New Roman" w:hAnsi="Times New Roman"/>
          <w:sz w:val="24"/>
          <w:lang w:val="fr-FR"/>
        </w:rPr>
        <w:noBreakHyphen/>
      </w:r>
      <w:r w:rsidRPr="0081397E">
        <w:rPr>
          <w:rFonts w:ascii="Times New Roman" w:hAnsi="Times New Roman"/>
          <w:sz w:val="24"/>
          <w:lang w:val="fr-FR"/>
        </w:rPr>
        <w:t xml:space="preserve">après de la </w:t>
      </w:r>
      <w:r w:rsidR="0081397E" w:rsidRPr="0081397E">
        <w:rPr>
          <w:rFonts w:ascii="Times New Roman" w:hAnsi="Times New Roman"/>
          <w:sz w:val="24"/>
          <w:lang w:val="fr-FR"/>
        </w:rPr>
        <w:t>C</w:t>
      </w:r>
      <w:r w:rsidRPr="0081397E">
        <w:rPr>
          <w:rFonts w:ascii="Times New Roman" w:hAnsi="Times New Roman"/>
          <w:sz w:val="24"/>
          <w:lang w:val="fr-FR"/>
        </w:rPr>
        <w:t>onférence diplomatique complétant le traité est proposée</w:t>
      </w:r>
      <w:r w:rsidR="00C41570" w:rsidRPr="0081397E">
        <w:rPr>
          <w:rFonts w:ascii="Times New Roman" w:hAnsi="Times New Roman"/>
          <w:sz w:val="24"/>
          <w:lang w:val="fr-FR"/>
        </w:rPr>
        <w:t> :</w:t>
      </w:r>
    </w:p>
    <w:p w14:paraId="7471CD29" w14:textId="2F50EE99" w:rsidR="00700223" w:rsidRPr="00DC289C" w:rsidRDefault="00700223" w:rsidP="00BC16D5">
      <w:pPr>
        <w:autoSpaceDE w:val="0"/>
        <w:autoSpaceDN w:val="0"/>
        <w:adjustRightInd w:val="0"/>
        <w:spacing w:after="240"/>
        <w:ind w:leftChars="200" w:left="440"/>
        <w:rPr>
          <w:rFonts w:ascii="Times New Roman" w:eastAsia="MS Mincho" w:hAnsi="Times New Roman" w:cs="Times New Roman"/>
          <w:i/>
          <w:iCs/>
          <w:sz w:val="24"/>
          <w:szCs w:val="24"/>
          <w:lang w:val="fr-FR"/>
        </w:rPr>
      </w:pPr>
      <w:r w:rsidRPr="00DC289C">
        <w:rPr>
          <w:rFonts w:ascii="Times New Roman" w:hAnsi="Times New Roman"/>
          <w:i/>
          <w:sz w:val="24"/>
          <w:lang w:val="fr-FR"/>
        </w:rPr>
        <w:t>“</w:t>
      </w:r>
      <w:r w:rsidRPr="008A583C">
        <w:rPr>
          <w:rFonts w:ascii="Times New Roman" w:hAnsi="Times New Roman"/>
          <w:i/>
          <w:color w:val="0070C0"/>
          <w:sz w:val="24"/>
          <w:u w:val="single"/>
          <w:lang w:val="fr-FR"/>
        </w:rPr>
        <w:t>Lors de l</w:t>
      </w:r>
      <w:r w:rsidR="00C41570" w:rsidRPr="008A583C">
        <w:rPr>
          <w:rFonts w:ascii="Times New Roman" w:hAnsi="Times New Roman"/>
          <w:i/>
          <w:color w:val="0070C0"/>
          <w:sz w:val="24"/>
          <w:u w:val="single"/>
          <w:lang w:val="fr-FR"/>
        </w:rPr>
        <w:t>’</w:t>
      </w:r>
      <w:r w:rsidRPr="008A583C">
        <w:rPr>
          <w:rFonts w:ascii="Times New Roman" w:hAnsi="Times New Roman"/>
          <w:i/>
          <w:color w:val="0070C0"/>
          <w:sz w:val="24"/>
          <w:u w:val="single"/>
          <w:lang w:val="fr-FR"/>
        </w:rPr>
        <w:t xml:space="preserve">adoption du traité, la conférence diplomatique a confirmé que les mots </w:t>
      </w:r>
      <w:r w:rsidR="008A583C" w:rsidRPr="008A583C">
        <w:rPr>
          <w:rFonts w:ascii="Times New Roman" w:hAnsi="Times New Roman"/>
          <w:i/>
          <w:color w:val="0070C0"/>
          <w:sz w:val="24"/>
          <w:u w:val="single"/>
          <w:lang w:val="fr-FR"/>
        </w:rPr>
        <w:t>‘</w:t>
      </w:r>
      <w:r w:rsidRPr="008A583C">
        <w:rPr>
          <w:rFonts w:ascii="Times New Roman" w:hAnsi="Times New Roman"/>
          <w:i/>
          <w:color w:val="0070C0"/>
          <w:sz w:val="24"/>
          <w:u w:val="single"/>
          <w:lang w:val="fr-FR"/>
        </w:rPr>
        <w:t>procédure devant l</w:t>
      </w:r>
      <w:r w:rsidR="00C41570" w:rsidRPr="008A583C">
        <w:rPr>
          <w:rFonts w:ascii="Times New Roman" w:hAnsi="Times New Roman"/>
          <w:i/>
          <w:color w:val="0070C0"/>
          <w:sz w:val="24"/>
          <w:u w:val="single"/>
          <w:lang w:val="fr-FR"/>
        </w:rPr>
        <w:t>’</w:t>
      </w:r>
      <w:r w:rsidRPr="008A583C">
        <w:rPr>
          <w:rFonts w:ascii="Times New Roman" w:hAnsi="Times New Roman"/>
          <w:i/>
          <w:color w:val="0070C0"/>
          <w:sz w:val="24"/>
          <w:u w:val="single"/>
          <w:lang w:val="fr-FR"/>
        </w:rPr>
        <w:t>office</w:t>
      </w:r>
      <w:r w:rsidR="008A583C" w:rsidRPr="008A583C">
        <w:rPr>
          <w:rFonts w:ascii="Times New Roman" w:hAnsi="Times New Roman"/>
          <w:i/>
          <w:color w:val="0070C0"/>
          <w:sz w:val="24"/>
          <w:u w:val="single"/>
          <w:lang w:val="fr-FR"/>
        </w:rPr>
        <w:t>’</w:t>
      </w:r>
      <w:r w:rsidRPr="008A583C">
        <w:rPr>
          <w:rFonts w:ascii="Times New Roman" w:hAnsi="Times New Roman"/>
          <w:i/>
          <w:color w:val="0070C0"/>
          <w:sz w:val="24"/>
          <w:u w:val="single"/>
          <w:lang w:val="fr-FR"/>
        </w:rPr>
        <w:t xml:space="preserve"> à l</w:t>
      </w:r>
      <w:r w:rsidR="00C41570" w:rsidRPr="008A583C">
        <w:rPr>
          <w:rFonts w:ascii="Times New Roman" w:hAnsi="Times New Roman"/>
          <w:i/>
          <w:color w:val="0070C0"/>
          <w:sz w:val="24"/>
          <w:u w:val="single"/>
          <w:lang w:val="fr-FR"/>
        </w:rPr>
        <w:t>’article 1</w:t>
      </w:r>
      <w:r w:rsidRPr="008A583C">
        <w:rPr>
          <w:rFonts w:ascii="Times New Roman" w:hAnsi="Times New Roman"/>
          <w:i/>
          <w:color w:val="0070C0"/>
          <w:sz w:val="24"/>
          <w:u w:val="single"/>
          <w:lang w:val="fr-FR"/>
        </w:rPr>
        <w:t>.viii) ne désigneraient pas les procédures judiciaires engagées en vertu de la législation applicable.</w:t>
      </w:r>
      <w:r w:rsidR="008A583C">
        <w:rPr>
          <w:rFonts w:ascii="Times New Roman" w:hAnsi="Times New Roman"/>
          <w:i/>
          <w:sz w:val="24"/>
          <w:lang w:val="fr-FR"/>
        </w:rPr>
        <w:t>”</w:t>
      </w:r>
      <w:r w:rsidRPr="00DC289C">
        <w:rPr>
          <w:rFonts w:ascii="Times New Roman" w:hAnsi="Times New Roman"/>
          <w:i/>
          <w:sz w:val="24"/>
          <w:lang w:val="fr-FR"/>
        </w:rPr>
        <w:cr/>
      </w:r>
    </w:p>
    <w:p w14:paraId="58612DCD" w14:textId="77777777" w:rsidR="00F84877" w:rsidRDefault="00700223" w:rsidP="00700223">
      <w:pPr>
        <w:spacing w:after="220"/>
        <w:jc w:val="both"/>
        <w:rPr>
          <w:lang w:val="fr-FR"/>
        </w:rPr>
        <w:sectPr w:rsidR="00F84877" w:rsidSect="00C4157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DC289C">
        <w:rPr>
          <w:lang w:val="fr-FR"/>
        </w:rPr>
        <w:br w:type="page"/>
      </w:r>
    </w:p>
    <w:p w14:paraId="28E9084A" w14:textId="702F0F0C" w:rsidR="00700223" w:rsidRPr="00DC289C" w:rsidRDefault="00700223" w:rsidP="00700223">
      <w:pPr>
        <w:pStyle w:val="TitleofDoc"/>
        <w:rPr>
          <w:sz w:val="28"/>
          <w:szCs w:val="21"/>
        </w:rPr>
      </w:pPr>
      <w:r w:rsidRPr="00DC289C">
        <w:rPr>
          <w:sz w:val="28"/>
        </w:rPr>
        <w:lastRenderedPageBreak/>
        <w:t>RÉSOLUTION RELATIVE AUX ARTICLES</w:t>
      </w:r>
      <w:r w:rsidR="00BC16D5">
        <w:rPr>
          <w:sz w:val="28"/>
        </w:rPr>
        <w:t> </w:t>
      </w:r>
      <w:r w:rsidRPr="00DC289C">
        <w:rPr>
          <w:sz w:val="28"/>
        </w:rPr>
        <w:t>15, 16 ET</w:t>
      </w:r>
      <w:r w:rsidR="00F84877">
        <w:rPr>
          <w:sz w:val="28"/>
        </w:rPr>
        <w:t> </w:t>
      </w:r>
      <w:r w:rsidRPr="00DC289C">
        <w:rPr>
          <w:sz w:val="28"/>
        </w:rPr>
        <w:t>19</w:t>
      </w:r>
    </w:p>
    <w:p w14:paraId="0EEFB762" w14:textId="77777777" w:rsidR="00700223" w:rsidRPr="00DC289C" w:rsidRDefault="00700223" w:rsidP="00F84877">
      <w:pPr>
        <w:pStyle w:val="TitleofDoc"/>
        <w:spacing w:before="960" w:after="720"/>
        <w:rPr>
          <w:i/>
          <w:caps w:val="0"/>
        </w:rPr>
      </w:pPr>
      <w:r w:rsidRPr="00DC289C">
        <w:rPr>
          <w:i/>
          <w:caps w:val="0"/>
        </w:rPr>
        <w:t>Proposition présentée par les délégations du Japon et de la République de Corée</w:t>
      </w:r>
    </w:p>
    <w:p w14:paraId="6EABEA2E" w14:textId="77777777" w:rsidR="00F84877" w:rsidRDefault="00F84877" w:rsidP="00F84877">
      <w:pPr>
        <w:jc w:val="both"/>
        <w:rPr>
          <w:rFonts w:asciiTheme="majorBidi" w:hAnsiTheme="majorBidi"/>
          <w:b/>
          <w:sz w:val="24"/>
          <w:lang w:val="fr-FR"/>
        </w:rPr>
        <w:sectPr w:rsidR="00F84877" w:rsidSect="00C41570">
          <w:endnotePr>
            <w:numFmt w:val="decimal"/>
          </w:endnotePr>
          <w:pgSz w:w="11907" w:h="16840" w:code="9"/>
          <w:pgMar w:top="567" w:right="1134" w:bottom="1418" w:left="1418" w:header="510" w:footer="1021" w:gutter="0"/>
          <w:pgNumType w:start="1"/>
          <w:cols w:space="720"/>
          <w:titlePg/>
          <w:docGrid w:linePitch="299"/>
        </w:sectPr>
      </w:pPr>
      <w:bookmarkStart w:id="6" w:name="_Hlk170404914"/>
    </w:p>
    <w:p w14:paraId="5443E317" w14:textId="77777777" w:rsidR="00F84877" w:rsidRDefault="00F84877" w:rsidP="00F84877">
      <w:pPr>
        <w:spacing w:after="120"/>
        <w:jc w:val="both"/>
        <w:rPr>
          <w:rFonts w:asciiTheme="majorBidi" w:hAnsiTheme="majorBidi"/>
          <w:b/>
          <w:sz w:val="24"/>
          <w:lang w:val="fr-FR"/>
        </w:rPr>
        <w:sectPr w:rsidR="00F84877" w:rsidSect="00F84877">
          <w:endnotePr>
            <w:numFmt w:val="decimal"/>
          </w:endnotePr>
          <w:type w:val="continuous"/>
          <w:pgSz w:w="11907" w:h="16840" w:code="9"/>
          <w:pgMar w:top="567" w:right="1134" w:bottom="1418" w:left="1418" w:header="510" w:footer="1021" w:gutter="0"/>
          <w:pgNumType w:start="1"/>
          <w:cols w:space="720"/>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00223" w:rsidRPr="00DC289C" w14:paraId="18898F74" w14:textId="77777777" w:rsidTr="00700223">
        <w:tc>
          <w:tcPr>
            <w:tcW w:w="9345" w:type="dxa"/>
            <w:shd w:val="clear" w:color="auto" w:fill="auto"/>
          </w:tcPr>
          <w:p w14:paraId="12607D95" w14:textId="483B867C" w:rsidR="00700223" w:rsidRPr="00DC289C" w:rsidRDefault="00700223" w:rsidP="00F84877">
            <w:pPr>
              <w:spacing w:after="240"/>
              <w:jc w:val="both"/>
              <w:rPr>
                <w:rFonts w:asciiTheme="majorBidi" w:hAnsiTheme="majorBidi" w:cstheme="majorBidi"/>
                <w:b/>
                <w:bCs/>
                <w:sz w:val="24"/>
                <w:szCs w:val="24"/>
                <w:lang w:val="fr-FR"/>
              </w:rPr>
            </w:pPr>
            <w:r w:rsidRPr="00DC289C">
              <w:rPr>
                <w:rFonts w:asciiTheme="majorBidi" w:hAnsiTheme="majorBidi"/>
                <w:b/>
                <w:sz w:val="24"/>
                <w:lang w:val="fr-FR"/>
              </w:rPr>
              <w:t xml:space="preserve">UNIQUEMENT POUR LES PARTIES CONTRACTANTES </w:t>
            </w:r>
            <w:bookmarkEnd w:id="6"/>
            <w:r w:rsidRPr="00DC289C">
              <w:rPr>
                <w:rFonts w:asciiTheme="majorBidi" w:hAnsiTheme="majorBidi"/>
                <w:b/>
                <w:sz w:val="24"/>
                <w:lang w:val="fr-FR"/>
              </w:rPr>
              <w:t>DOTÉES D</w:t>
            </w:r>
            <w:r w:rsidR="00C41570" w:rsidRPr="00DC289C">
              <w:rPr>
                <w:rFonts w:asciiTheme="majorBidi" w:hAnsiTheme="majorBidi"/>
                <w:b/>
                <w:sz w:val="24"/>
                <w:lang w:val="fr-FR"/>
              </w:rPr>
              <w:t>’</w:t>
            </w:r>
            <w:r w:rsidRPr="00DC289C">
              <w:rPr>
                <w:rFonts w:asciiTheme="majorBidi" w:hAnsiTheme="majorBidi"/>
                <w:b/>
                <w:sz w:val="24"/>
                <w:lang w:val="fr-FR"/>
              </w:rPr>
              <w:t>UN SYSTÈME DE DESSINS OU MODÈLES CONNEXES</w:t>
            </w:r>
          </w:p>
          <w:p w14:paraId="1793B4BE" w14:textId="2C87BCF6" w:rsidR="00700223" w:rsidRPr="00DC289C" w:rsidRDefault="00700223" w:rsidP="00ED2C03">
            <w:pPr>
              <w:ind w:firstLine="567"/>
              <w:jc w:val="both"/>
              <w:rPr>
                <w:rFonts w:asciiTheme="majorBidi" w:hAnsiTheme="majorBidi" w:cstheme="majorBidi"/>
                <w:sz w:val="24"/>
                <w:szCs w:val="24"/>
                <w:lang w:val="fr-FR"/>
              </w:rPr>
            </w:pPr>
            <w:r w:rsidRPr="00DC289C">
              <w:rPr>
                <w:rFonts w:asciiTheme="majorBidi" w:hAnsiTheme="majorBidi"/>
                <w:sz w:val="24"/>
                <w:lang w:val="fr-FR"/>
              </w:rPr>
              <w:t>Il est souligné que la proposition de résolution ci</w:t>
            </w:r>
            <w:r w:rsidR="00BC16D5">
              <w:rPr>
                <w:rFonts w:asciiTheme="majorBidi" w:hAnsiTheme="majorBidi"/>
                <w:sz w:val="24"/>
                <w:lang w:val="fr-FR"/>
              </w:rPr>
              <w:noBreakHyphen/>
            </w:r>
            <w:r w:rsidRPr="00DC289C">
              <w:rPr>
                <w:rFonts w:asciiTheme="majorBidi" w:hAnsiTheme="majorBidi"/>
                <w:sz w:val="24"/>
                <w:lang w:val="fr-FR"/>
              </w:rPr>
              <w:t>après pourrait, une fois adoptée, apporter des précisions dans l</w:t>
            </w:r>
            <w:r w:rsidR="00C41570" w:rsidRPr="00DC289C">
              <w:rPr>
                <w:rFonts w:asciiTheme="majorBidi" w:hAnsiTheme="majorBidi"/>
                <w:sz w:val="24"/>
                <w:lang w:val="fr-FR"/>
              </w:rPr>
              <w:t>’</w:t>
            </w:r>
            <w:r w:rsidRPr="00DC289C">
              <w:rPr>
                <w:rFonts w:asciiTheme="majorBidi" w:hAnsiTheme="majorBidi"/>
                <w:sz w:val="24"/>
                <w:lang w:val="fr-FR"/>
              </w:rPr>
              <w:t xml:space="preserve">interprétation des </w:t>
            </w:r>
            <w:r w:rsidR="00C41570" w:rsidRPr="00DC289C">
              <w:rPr>
                <w:rFonts w:asciiTheme="majorBidi" w:hAnsiTheme="majorBidi"/>
                <w:sz w:val="24"/>
                <w:lang w:val="fr-FR"/>
              </w:rPr>
              <w:t>articles 1</w:t>
            </w:r>
            <w:r w:rsidRPr="00DC289C">
              <w:rPr>
                <w:rFonts w:asciiTheme="majorBidi" w:hAnsiTheme="majorBidi"/>
                <w:sz w:val="24"/>
                <w:lang w:val="fr-FR"/>
              </w:rPr>
              <w:t>5, 16 et 19 du Traité sur le droit des dessins et modèles (DLT) uniquement pour les Parties contractantes dotées d</w:t>
            </w:r>
            <w:r w:rsidR="00C41570" w:rsidRPr="00DC289C">
              <w:rPr>
                <w:rFonts w:asciiTheme="majorBidi" w:hAnsiTheme="majorBidi"/>
                <w:sz w:val="24"/>
                <w:lang w:val="fr-FR"/>
              </w:rPr>
              <w:t>’</w:t>
            </w:r>
            <w:r w:rsidRPr="00DC289C">
              <w:rPr>
                <w:rFonts w:asciiTheme="majorBidi" w:hAnsiTheme="majorBidi"/>
                <w:sz w:val="24"/>
                <w:lang w:val="fr-FR"/>
              </w:rPr>
              <w:t>un “système de dessins ou modèles connexes</w:t>
            </w:r>
            <w:r w:rsidRPr="00DC289C">
              <w:rPr>
                <w:rStyle w:val="FootnoteReference"/>
                <w:rFonts w:asciiTheme="majorBidi" w:hAnsiTheme="majorBidi" w:cstheme="majorBidi"/>
                <w:i/>
                <w:iCs/>
                <w:color w:val="0070C0"/>
                <w:sz w:val="24"/>
                <w:szCs w:val="24"/>
                <w:u w:val="single"/>
                <w:lang w:val="fr-FR"/>
              </w:rPr>
              <w:footnoteReference w:id="5"/>
            </w:r>
            <w:r w:rsidRPr="00DC289C">
              <w:rPr>
                <w:rFonts w:asciiTheme="majorBidi" w:hAnsiTheme="majorBidi"/>
                <w:sz w:val="24"/>
                <w:lang w:val="fr-FR"/>
              </w:rPr>
              <w:t>” ou d</w:t>
            </w:r>
            <w:r w:rsidR="00C41570" w:rsidRPr="00DC289C">
              <w:rPr>
                <w:rFonts w:asciiTheme="majorBidi" w:hAnsiTheme="majorBidi"/>
                <w:sz w:val="24"/>
                <w:lang w:val="fr-FR"/>
              </w:rPr>
              <w:t>’</w:t>
            </w:r>
            <w:r w:rsidRPr="00DC289C">
              <w:rPr>
                <w:rFonts w:asciiTheme="majorBidi" w:hAnsiTheme="majorBidi"/>
                <w:sz w:val="24"/>
                <w:lang w:val="fr-FR"/>
              </w:rPr>
              <w:t>un système de protection similaire dans leur ressort juridique, mais ne concernerait ni l</w:t>
            </w:r>
            <w:r w:rsidR="00C41570" w:rsidRPr="00DC289C">
              <w:rPr>
                <w:rFonts w:asciiTheme="majorBidi" w:hAnsiTheme="majorBidi"/>
                <w:sz w:val="24"/>
                <w:lang w:val="fr-FR"/>
              </w:rPr>
              <w:t>’</w:t>
            </w:r>
            <w:r w:rsidRPr="00DC289C">
              <w:rPr>
                <w:rFonts w:asciiTheme="majorBidi" w:hAnsiTheme="majorBidi"/>
                <w:sz w:val="24"/>
                <w:lang w:val="fr-FR"/>
              </w:rPr>
              <w:t>application ni les effets</w:t>
            </w:r>
            <w:r w:rsidR="00C41570" w:rsidRPr="00DC289C">
              <w:rPr>
                <w:rFonts w:asciiTheme="majorBidi" w:hAnsiTheme="majorBidi"/>
                <w:sz w:val="24"/>
                <w:lang w:val="fr-FR"/>
              </w:rPr>
              <w:t xml:space="preserve"> du DLT</w:t>
            </w:r>
            <w:r w:rsidRPr="00DC289C">
              <w:rPr>
                <w:rFonts w:asciiTheme="majorBidi" w:hAnsiTheme="majorBidi"/>
                <w:sz w:val="24"/>
                <w:lang w:val="fr-FR"/>
              </w:rPr>
              <w:t xml:space="preserve"> </w:t>
            </w:r>
            <w:r w:rsidR="00C41570" w:rsidRPr="00DC289C">
              <w:rPr>
                <w:rFonts w:asciiTheme="majorBidi" w:hAnsiTheme="majorBidi"/>
                <w:sz w:val="24"/>
                <w:lang w:val="fr-FR"/>
              </w:rPr>
              <w:t>à l’égard</w:t>
            </w:r>
            <w:r w:rsidRPr="00DC289C">
              <w:rPr>
                <w:rFonts w:asciiTheme="majorBidi" w:hAnsiTheme="majorBidi"/>
                <w:sz w:val="24"/>
                <w:lang w:val="fr-FR"/>
              </w:rPr>
              <w:t xml:space="preserve"> des Parties contractantes dépourvues d</w:t>
            </w:r>
            <w:r w:rsidR="00C41570" w:rsidRPr="00DC289C">
              <w:rPr>
                <w:rFonts w:asciiTheme="majorBidi" w:hAnsiTheme="majorBidi"/>
                <w:sz w:val="24"/>
                <w:lang w:val="fr-FR"/>
              </w:rPr>
              <w:t>’</w:t>
            </w:r>
            <w:r w:rsidRPr="00DC289C">
              <w:rPr>
                <w:rFonts w:asciiTheme="majorBidi" w:hAnsiTheme="majorBidi"/>
                <w:sz w:val="24"/>
                <w:lang w:val="fr-FR"/>
              </w:rPr>
              <w:t xml:space="preserve">un tel système.  </w:t>
            </w:r>
          </w:p>
        </w:tc>
      </w:tr>
    </w:tbl>
    <w:p w14:paraId="05F8EA73" w14:textId="77777777" w:rsidR="00C41570" w:rsidRPr="00DC289C" w:rsidRDefault="00700223" w:rsidP="00F84877">
      <w:pPr>
        <w:autoSpaceDE w:val="0"/>
        <w:autoSpaceDN w:val="0"/>
        <w:adjustRightInd w:val="0"/>
        <w:spacing w:before="240" w:after="240"/>
        <w:jc w:val="both"/>
        <w:rPr>
          <w:rFonts w:asciiTheme="majorBidi" w:hAnsiTheme="majorBidi"/>
          <w:b/>
          <w:bCs/>
          <w:sz w:val="24"/>
          <w:lang w:val="fr-FR"/>
        </w:rPr>
      </w:pPr>
      <w:bookmarkStart w:id="7" w:name="_Hlk163848764"/>
      <w:r w:rsidRPr="00DC289C">
        <w:rPr>
          <w:rFonts w:asciiTheme="majorBidi" w:hAnsiTheme="majorBidi"/>
          <w:b/>
          <w:bCs/>
          <w:sz w:val="24"/>
          <w:lang w:val="fr-FR"/>
        </w:rPr>
        <w:t>PROPOSITION DE RÉSOLUTION DE LA CONFÉRENCE DIPLOMATIQUE COMPLÉTANT LE TRAITÉ</w:t>
      </w:r>
    </w:p>
    <w:p w14:paraId="74FDDFF9" w14:textId="4E3113FA" w:rsidR="00700223" w:rsidRPr="00DC289C" w:rsidRDefault="00700223" w:rsidP="00F84877">
      <w:pPr>
        <w:autoSpaceDE w:val="0"/>
        <w:autoSpaceDN w:val="0"/>
        <w:adjustRightInd w:val="0"/>
        <w:spacing w:after="240"/>
        <w:ind w:firstLine="567"/>
        <w:jc w:val="both"/>
        <w:rPr>
          <w:rFonts w:asciiTheme="majorBidi" w:hAnsiTheme="majorBidi" w:cstheme="majorBidi"/>
          <w:sz w:val="24"/>
          <w:szCs w:val="24"/>
          <w:lang w:val="fr-FR"/>
        </w:rPr>
      </w:pPr>
      <w:r w:rsidRPr="00DC289C">
        <w:rPr>
          <w:rFonts w:asciiTheme="majorBidi" w:hAnsiTheme="majorBidi"/>
          <w:sz w:val="24"/>
          <w:lang w:val="fr-FR"/>
        </w:rPr>
        <w:t>La résolution ci</w:t>
      </w:r>
      <w:r w:rsidR="00BC16D5">
        <w:rPr>
          <w:rFonts w:asciiTheme="majorBidi" w:hAnsiTheme="majorBidi"/>
          <w:sz w:val="24"/>
          <w:lang w:val="fr-FR"/>
        </w:rPr>
        <w:noBreakHyphen/>
      </w:r>
      <w:r w:rsidRPr="00DC289C">
        <w:rPr>
          <w:rFonts w:asciiTheme="majorBidi" w:hAnsiTheme="majorBidi"/>
          <w:sz w:val="24"/>
          <w:lang w:val="fr-FR"/>
        </w:rPr>
        <w:t>après de la conférence diplomatique complétant le Traité sur le droit des dessins et modèles est proposée concernant l</w:t>
      </w:r>
      <w:r w:rsidR="00C41570" w:rsidRPr="00DC289C">
        <w:rPr>
          <w:rFonts w:asciiTheme="majorBidi" w:hAnsiTheme="majorBidi"/>
          <w:sz w:val="24"/>
          <w:lang w:val="fr-FR"/>
        </w:rPr>
        <w:t>’article 1</w:t>
      </w:r>
      <w:r w:rsidRPr="00DC289C">
        <w:rPr>
          <w:rFonts w:asciiTheme="majorBidi" w:hAnsiTheme="majorBidi"/>
          <w:sz w:val="24"/>
          <w:lang w:val="fr-FR"/>
        </w:rPr>
        <w:t>5 (Requête en inscription d</w:t>
      </w:r>
      <w:r w:rsidR="00C41570" w:rsidRPr="00DC289C">
        <w:rPr>
          <w:rFonts w:asciiTheme="majorBidi" w:hAnsiTheme="majorBidi"/>
          <w:sz w:val="24"/>
          <w:lang w:val="fr-FR"/>
        </w:rPr>
        <w:t>’</w:t>
      </w:r>
      <w:r w:rsidRPr="00DC289C">
        <w:rPr>
          <w:rFonts w:asciiTheme="majorBidi" w:hAnsiTheme="majorBidi"/>
          <w:sz w:val="24"/>
          <w:lang w:val="fr-FR"/>
        </w:rPr>
        <w:t>une licence), l</w:t>
      </w:r>
      <w:r w:rsidR="00C41570" w:rsidRPr="00DC289C">
        <w:rPr>
          <w:rFonts w:asciiTheme="majorBidi" w:hAnsiTheme="majorBidi"/>
          <w:sz w:val="24"/>
          <w:lang w:val="fr-FR"/>
        </w:rPr>
        <w:t>’article 1</w:t>
      </w:r>
      <w:r w:rsidRPr="00DC289C">
        <w:rPr>
          <w:rFonts w:asciiTheme="majorBidi" w:hAnsiTheme="majorBidi"/>
          <w:sz w:val="24"/>
          <w:lang w:val="fr-FR"/>
        </w:rPr>
        <w:t>6 (Requête en modification ou radiation de l</w:t>
      </w:r>
      <w:r w:rsidR="00C41570" w:rsidRPr="00DC289C">
        <w:rPr>
          <w:rFonts w:asciiTheme="majorBidi" w:hAnsiTheme="majorBidi"/>
          <w:sz w:val="24"/>
          <w:lang w:val="fr-FR"/>
        </w:rPr>
        <w:t>’</w:t>
      </w:r>
      <w:r w:rsidRPr="00DC289C">
        <w:rPr>
          <w:rFonts w:asciiTheme="majorBidi" w:hAnsiTheme="majorBidi"/>
          <w:sz w:val="24"/>
          <w:lang w:val="fr-FR"/>
        </w:rPr>
        <w:t>inscription d</w:t>
      </w:r>
      <w:r w:rsidR="00C41570" w:rsidRPr="00DC289C">
        <w:rPr>
          <w:rFonts w:asciiTheme="majorBidi" w:hAnsiTheme="majorBidi"/>
          <w:sz w:val="24"/>
          <w:lang w:val="fr-FR"/>
        </w:rPr>
        <w:t>’</w:t>
      </w:r>
      <w:r w:rsidRPr="00DC289C">
        <w:rPr>
          <w:rFonts w:asciiTheme="majorBidi" w:hAnsiTheme="majorBidi"/>
          <w:sz w:val="24"/>
          <w:lang w:val="fr-FR"/>
        </w:rPr>
        <w:t>une licence) et l</w:t>
      </w:r>
      <w:r w:rsidR="00C41570" w:rsidRPr="00DC289C">
        <w:rPr>
          <w:rFonts w:asciiTheme="majorBidi" w:hAnsiTheme="majorBidi"/>
          <w:sz w:val="24"/>
          <w:lang w:val="fr-FR"/>
        </w:rPr>
        <w:t>’article 1</w:t>
      </w:r>
      <w:r w:rsidRPr="00DC289C">
        <w:rPr>
          <w:rFonts w:asciiTheme="majorBidi" w:hAnsiTheme="majorBidi"/>
          <w:sz w:val="24"/>
          <w:lang w:val="fr-FR"/>
        </w:rPr>
        <w:t>9 (Requête en inscription d</w:t>
      </w:r>
      <w:r w:rsidR="00C41570" w:rsidRPr="00DC289C">
        <w:rPr>
          <w:rFonts w:asciiTheme="majorBidi" w:hAnsiTheme="majorBidi"/>
          <w:sz w:val="24"/>
          <w:lang w:val="fr-FR"/>
        </w:rPr>
        <w:t>’</w:t>
      </w:r>
      <w:r w:rsidRPr="00DC289C">
        <w:rPr>
          <w:rFonts w:asciiTheme="majorBidi" w:hAnsiTheme="majorBidi"/>
          <w:sz w:val="24"/>
          <w:lang w:val="fr-FR"/>
        </w:rPr>
        <w:t>un changement de titulaire).</w:t>
      </w:r>
    </w:p>
    <w:p w14:paraId="1F9A5CD4" w14:textId="10D6CC65" w:rsidR="00700223" w:rsidRPr="00DC289C" w:rsidRDefault="00700223" w:rsidP="00F84877">
      <w:pPr>
        <w:autoSpaceDE w:val="0"/>
        <w:autoSpaceDN w:val="0"/>
        <w:adjustRightInd w:val="0"/>
        <w:spacing w:after="240"/>
        <w:ind w:leftChars="200" w:left="440"/>
        <w:jc w:val="both"/>
        <w:rPr>
          <w:rFonts w:asciiTheme="majorBidi" w:hAnsiTheme="majorBidi" w:cstheme="majorBidi"/>
          <w:i/>
          <w:iCs/>
          <w:color w:val="0070C0"/>
          <w:sz w:val="24"/>
          <w:szCs w:val="24"/>
          <w:u w:val="single"/>
          <w:lang w:val="fr-FR"/>
        </w:rPr>
      </w:pPr>
      <w:r w:rsidRPr="00DC289C">
        <w:rPr>
          <w:rFonts w:asciiTheme="majorBidi" w:hAnsiTheme="majorBidi"/>
          <w:i/>
          <w:sz w:val="24"/>
          <w:lang w:val="fr-FR"/>
        </w:rPr>
        <w:t>“</w:t>
      </w:r>
      <w:r w:rsidRPr="00DC289C">
        <w:rPr>
          <w:rFonts w:asciiTheme="majorBidi" w:hAnsiTheme="majorBidi"/>
          <w:i/>
          <w:color w:val="0070C0"/>
          <w:sz w:val="24"/>
          <w:u w:val="single"/>
          <w:lang w:val="fr-FR"/>
        </w:rPr>
        <w:t>Lors de l</w:t>
      </w:r>
      <w:r w:rsidR="00C41570" w:rsidRPr="00DC289C">
        <w:rPr>
          <w:rFonts w:asciiTheme="majorBidi" w:hAnsiTheme="majorBidi"/>
          <w:i/>
          <w:color w:val="0070C0"/>
          <w:sz w:val="24"/>
          <w:u w:val="single"/>
          <w:lang w:val="fr-FR"/>
        </w:rPr>
        <w:t>’</w:t>
      </w:r>
      <w:r w:rsidRPr="00DC289C">
        <w:rPr>
          <w:rFonts w:asciiTheme="majorBidi" w:hAnsiTheme="majorBidi"/>
          <w:i/>
          <w:color w:val="0070C0"/>
          <w:sz w:val="24"/>
          <w:u w:val="single"/>
          <w:lang w:val="fr-FR"/>
        </w:rPr>
        <w:t xml:space="preserve">adoption des </w:t>
      </w:r>
      <w:r w:rsidR="00C41570" w:rsidRPr="00DC289C">
        <w:rPr>
          <w:rFonts w:asciiTheme="majorBidi" w:hAnsiTheme="majorBidi"/>
          <w:i/>
          <w:color w:val="0070C0"/>
          <w:sz w:val="24"/>
          <w:u w:val="single"/>
          <w:lang w:val="fr-FR"/>
        </w:rPr>
        <w:t>articles 1</w:t>
      </w:r>
      <w:r w:rsidRPr="00DC289C">
        <w:rPr>
          <w:rFonts w:asciiTheme="majorBidi" w:hAnsiTheme="majorBidi"/>
          <w:i/>
          <w:color w:val="0070C0"/>
          <w:sz w:val="24"/>
          <w:u w:val="single"/>
          <w:lang w:val="fr-FR"/>
        </w:rPr>
        <w:t>5.4), 16.3) et 19.6), la conférence diplomatique a confirmé que ces paragraphes n</w:t>
      </w:r>
      <w:r w:rsidR="00C41570" w:rsidRPr="00DC289C">
        <w:rPr>
          <w:rFonts w:asciiTheme="majorBidi" w:hAnsiTheme="majorBidi"/>
          <w:i/>
          <w:color w:val="0070C0"/>
          <w:sz w:val="24"/>
          <w:u w:val="single"/>
          <w:lang w:val="fr-FR"/>
        </w:rPr>
        <w:t>’</w:t>
      </w:r>
      <w:r w:rsidRPr="00DC289C">
        <w:rPr>
          <w:rFonts w:asciiTheme="majorBidi" w:hAnsiTheme="majorBidi"/>
          <w:i/>
          <w:color w:val="0070C0"/>
          <w:sz w:val="24"/>
          <w:u w:val="single"/>
          <w:lang w:val="fr-FR"/>
        </w:rPr>
        <w:t>excluent pas la possibilité qu</w:t>
      </w:r>
      <w:r w:rsidR="00C41570" w:rsidRPr="00DC289C">
        <w:rPr>
          <w:rFonts w:asciiTheme="majorBidi" w:hAnsiTheme="majorBidi"/>
          <w:i/>
          <w:color w:val="0070C0"/>
          <w:sz w:val="24"/>
          <w:u w:val="single"/>
          <w:lang w:val="fr-FR"/>
        </w:rPr>
        <w:t>’</w:t>
      </w:r>
      <w:r w:rsidRPr="00DC289C">
        <w:rPr>
          <w:rFonts w:asciiTheme="majorBidi" w:hAnsiTheme="majorBidi"/>
          <w:i/>
          <w:color w:val="0070C0"/>
          <w:sz w:val="24"/>
          <w:u w:val="single"/>
          <w:lang w:val="fr-FR"/>
        </w:rPr>
        <w:t>une Partie contractante dotée d</w:t>
      </w:r>
      <w:r w:rsidR="00C41570" w:rsidRPr="00DC289C">
        <w:rPr>
          <w:rFonts w:asciiTheme="majorBidi" w:hAnsiTheme="majorBidi"/>
          <w:i/>
          <w:color w:val="0070C0"/>
          <w:sz w:val="24"/>
          <w:u w:val="single"/>
          <w:lang w:val="fr-FR"/>
        </w:rPr>
        <w:t>’</w:t>
      </w:r>
      <w:r w:rsidRPr="00DC289C">
        <w:rPr>
          <w:rFonts w:asciiTheme="majorBidi" w:hAnsiTheme="majorBidi"/>
          <w:i/>
          <w:color w:val="0070C0"/>
          <w:sz w:val="24"/>
          <w:u w:val="single"/>
          <w:lang w:val="fr-FR"/>
        </w:rPr>
        <w:t>un système de dessins ou modèles connexes exige qu</w:t>
      </w:r>
      <w:r w:rsidR="00C41570" w:rsidRPr="00DC289C">
        <w:rPr>
          <w:rFonts w:asciiTheme="majorBidi" w:hAnsiTheme="majorBidi"/>
          <w:i/>
          <w:color w:val="0070C0"/>
          <w:sz w:val="24"/>
          <w:u w:val="single"/>
          <w:lang w:val="fr-FR"/>
        </w:rPr>
        <w:t>’</w:t>
      </w:r>
      <w:r w:rsidRPr="00DC289C">
        <w:rPr>
          <w:rFonts w:asciiTheme="majorBidi" w:hAnsiTheme="majorBidi"/>
          <w:i/>
          <w:color w:val="0070C0"/>
          <w:sz w:val="24"/>
          <w:u w:val="single"/>
          <w:lang w:val="fr-FR"/>
        </w:rPr>
        <w:t>une demande collective soit présentée pour des enregistrements connexes conformément à sa législation applicable</w:t>
      </w:r>
      <w:r w:rsidRPr="00F84877">
        <w:rPr>
          <w:rFonts w:asciiTheme="majorBidi" w:hAnsiTheme="majorBidi"/>
          <w:i/>
          <w:sz w:val="24"/>
          <w:u w:val="single"/>
          <w:lang w:val="fr-FR"/>
        </w:rPr>
        <w:t>.</w:t>
      </w:r>
      <w:r w:rsidRPr="00DC289C">
        <w:rPr>
          <w:rFonts w:asciiTheme="majorBidi" w:hAnsiTheme="majorBidi"/>
          <w:i/>
          <w:sz w:val="24"/>
          <w:lang w:val="fr-FR"/>
        </w:rPr>
        <w:t>”</w:t>
      </w:r>
    </w:p>
    <w:bookmarkEnd w:id="7"/>
    <w:p w14:paraId="017A01D1" w14:textId="77777777" w:rsidR="00700223" w:rsidRPr="00DC289C" w:rsidRDefault="00700223" w:rsidP="00F84877">
      <w:pPr>
        <w:autoSpaceDE w:val="0"/>
        <w:autoSpaceDN w:val="0"/>
        <w:adjustRightInd w:val="0"/>
        <w:spacing w:after="240"/>
        <w:rPr>
          <w:rFonts w:asciiTheme="majorBidi" w:hAnsiTheme="majorBidi" w:cstheme="majorBidi"/>
          <w:b/>
          <w:bCs/>
          <w:sz w:val="24"/>
          <w:szCs w:val="24"/>
          <w:lang w:val="fr-FR"/>
        </w:rPr>
      </w:pPr>
      <w:r w:rsidRPr="00DC289C">
        <w:rPr>
          <w:rFonts w:asciiTheme="majorBidi" w:hAnsiTheme="majorBidi"/>
          <w:b/>
          <w:sz w:val="24"/>
          <w:lang w:val="fr-FR"/>
        </w:rPr>
        <w:t>CONTEXTE</w:t>
      </w:r>
    </w:p>
    <w:p w14:paraId="251B7FEF" w14:textId="63D3C782" w:rsidR="00C41570" w:rsidRPr="00DC289C" w:rsidRDefault="00700223" w:rsidP="00F84877">
      <w:pPr>
        <w:autoSpaceDE w:val="0"/>
        <w:autoSpaceDN w:val="0"/>
        <w:adjustRightInd w:val="0"/>
        <w:spacing w:after="240"/>
        <w:ind w:firstLine="567"/>
        <w:jc w:val="both"/>
        <w:rPr>
          <w:rFonts w:asciiTheme="majorBidi" w:hAnsiTheme="majorBidi"/>
          <w:sz w:val="24"/>
          <w:lang w:val="fr-FR"/>
        </w:rPr>
      </w:pPr>
      <w:r w:rsidRPr="00DC289C">
        <w:rPr>
          <w:rFonts w:asciiTheme="majorBidi" w:hAnsiTheme="majorBidi"/>
          <w:sz w:val="24"/>
          <w:lang w:val="fr-FR"/>
        </w:rPr>
        <w:t>La raison pour laquelle la demande collective est exigée dans certains ressorts juridiques est liée à l</w:t>
      </w:r>
      <w:r w:rsidR="00C41570" w:rsidRPr="00DC289C">
        <w:rPr>
          <w:rFonts w:asciiTheme="majorBidi" w:hAnsiTheme="majorBidi"/>
          <w:sz w:val="24"/>
          <w:lang w:val="fr-FR"/>
        </w:rPr>
        <w:t>’</w:t>
      </w:r>
      <w:r w:rsidRPr="00DC289C">
        <w:rPr>
          <w:rFonts w:asciiTheme="majorBidi" w:hAnsiTheme="majorBidi"/>
          <w:sz w:val="24"/>
          <w:lang w:val="fr-FR"/>
        </w:rPr>
        <w:t>existence d</w:t>
      </w:r>
      <w:r w:rsidR="00C41570" w:rsidRPr="00DC289C">
        <w:rPr>
          <w:rFonts w:asciiTheme="majorBidi" w:hAnsiTheme="majorBidi"/>
          <w:sz w:val="24"/>
          <w:lang w:val="fr-FR"/>
        </w:rPr>
        <w:t>’</w:t>
      </w:r>
      <w:r w:rsidRPr="00DC289C">
        <w:rPr>
          <w:rFonts w:asciiTheme="majorBidi" w:hAnsiTheme="majorBidi"/>
          <w:sz w:val="24"/>
          <w:lang w:val="fr-FR"/>
        </w:rPr>
        <w:t>un “système de dessin ou modèle connexe</w:t>
      </w:r>
      <w:r w:rsidRPr="00DC289C">
        <w:rPr>
          <w:rFonts w:asciiTheme="majorBidi" w:hAnsiTheme="majorBidi" w:cstheme="majorBidi"/>
          <w:sz w:val="24"/>
          <w:szCs w:val="24"/>
          <w:vertAlign w:val="superscript"/>
          <w:lang w:val="fr-FR"/>
        </w:rPr>
        <w:footnoteReference w:id="6"/>
      </w:r>
      <w:r w:rsidRPr="00DC289C">
        <w:rPr>
          <w:rFonts w:asciiTheme="majorBidi" w:hAnsiTheme="majorBidi"/>
          <w:sz w:val="24"/>
          <w:lang w:val="fr-FR"/>
        </w:rPr>
        <w:t>” ou d</w:t>
      </w:r>
      <w:r w:rsidR="00C41570" w:rsidRPr="00DC289C">
        <w:rPr>
          <w:rFonts w:asciiTheme="majorBidi" w:hAnsiTheme="majorBidi"/>
          <w:sz w:val="24"/>
          <w:lang w:val="fr-FR"/>
        </w:rPr>
        <w:t>’</w:t>
      </w:r>
      <w:r w:rsidRPr="00DC289C">
        <w:rPr>
          <w:rFonts w:asciiTheme="majorBidi" w:hAnsiTheme="majorBidi"/>
          <w:sz w:val="24"/>
          <w:lang w:val="fr-FR"/>
        </w:rPr>
        <w:t>un système de protection similaire en vertu de la législation applicable.</w:t>
      </w:r>
    </w:p>
    <w:p w14:paraId="60312091" w14:textId="758FDE08" w:rsidR="00C41570" w:rsidRPr="00DC289C" w:rsidRDefault="00700223" w:rsidP="00F84877">
      <w:pPr>
        <w:autoSpaceDE w:val="0"/>
        <w:autoSpaceDN w:val="0"/>
        <w:adjustRightInd w:val="0"/>
        <w:spacing w:after="120"/>
        <w:ind w:firstLine="567"/>
        <w:jc w:val="both"/>
        <w:rPr>
          <w:rFonts w:asciiTheme="majorBidi" w:hAnsiTheme="majorBidi"/>
          <w:sz w:val="24"/>
          <w:lang w:val="fr-FR"/>
        </w:rPr>
      </w:pPr>
      <w:r w:rsidRPr="00DC289C">
        <w:rPr>
          <w:rFonts w:asciiTheme="majorBidi" w:hAnsiTheme="majorBidi"/>
          <w:sz w:val="24"/>
          <w:lang w:val="fr-FR"/>
        </w:rPr>
        <w:lastRenderedPageBreak/>
        <w:t>Au Japon, par exemple, le système protège les multiples variantes créées à partir d</w:t>
      </w:r>
      <w:r w:rsidR="00C41570" w:rsidRPr="00DC289C">
        <w:rPr>
          <w:rFonts w:asciiTheme="majorBidi" w:hAnsiTheme="majorBidi"/>
          <w:sz w:val="24"/>
          <w:lang w:val="fr-FR"/>
        </w:rPr>
        <w:t>’</w:t>
      </w:r>
      <w:r w:rsidRPr="00DC289C">
        <w:rPr>
          <w:rFonts w:asciiTheme="majorBidi" w:hAnsiTheme="majorBidi"/>
          <w:sz w:val="24"/>
          <w:lang w:val="fr-FR"/>
        </w:rPr>
        <w:t>un concept unique de dessins ou modèles ayant une valeur équivalen</w:t>
      </w:r>
      <w:r w:rsidR="00DC289C" w:rsidRPr="00DC289C">
        <w:rPr>
          <w:rFonts w:asciiTheme="majorBidi" w:hAnsiTheme="majorBidi"/>
          <w:sz w:val="24"/>
          <w:lang w:val="fr-FR"/>
        </w:rPr>
        <w:t>te.  Le</w:t>
      </w:r>
      <w:r w:rsidRPr="00DC289C">
        <w:rPr>
          <w:rFonts w:asciiTheme="majorBidi" w:hAnsiTheme="majorBidi"/>
          <w:sz w:val="24"/>
          <w:lang w:val="fr-FR"/>
        </w:rPr>
        <w:t>s créateurs ou les titulaires peuvent tirer parti du système pour accroître l</w:t>
      </w:r>
      <w:r w:rsidR="00C41570" w:rsidRPr="00DC289C">
        <w:rPr>
          <w:rFonts w:asciiTheme="majorBidi" w:hAnsiTheme="majorBidi"/>
          <w:sz w:val="24"/>
          <w:lang w:val="fr-FR"/>
        </w:rPr>
        <w:t>’</w:t>
      </w:r>
      <w:r w:rsidRPr="00DC289C">
        <w:rPr>
          <w:rFonts w:asciiTheme="majorBidi" w:hAnsiTheme="majorBidi"/>
          <w:sz w:val="24"/>
          <w:lang w:val="fr-FR"/>
        </w:rPr>
        <w:t>étendue de la protection.</w:t>
      </w:r>
    </w:p>
    <w:p w14:paraId="438161A2" w14:textId="30781CE3" w:rsidR="00C41570" w:rsidRPr="00DC289C" w:rsidRDefault="00700223" w:rsidP="00F84877">
      <w:pPr>
        <w:autoSpaceDE w:val="0"/>
        <w:autoSpaceDN w:val="0"/>
        <w:adjustRightInd w:val="0"/>
        <w:spacing w:after="120"/>
        <w:ind w:firstLine="567"/>
        <w:jc w:val="both"/>
        <w:rPr>
          <w:rFonts w:asciiTheme="majorBidi" w:hAnsiTheme="majorBidi"/>
          <w:sz w:val="24"/>
          <w:lang w:val="fr-FR"/>
        </w:rPr>
      </w:pPr>
      <w:r w:rsidRPr="00DC289C">
        <w:rPr>
          <w:rFonts w:asciiTheme="majorBidi" w:hAnsiTheme="majorBidi"/>
          <w:sz w:val="24"/>
          <w:lang w:val="fr-FR"/>
        </w:rPr>
        <w:t>En principe, les “doubles brevets” sont néanmoins interdits en vertu de la loi japonaise sur les dessins et modèles, ou le dessin ou modèle similaire doit être rejeté compte tenu du dessin ou modèle antérieur similai</w:t>
      </w:r>
      <w:r w:rsidR="00DC289C" w:rsidRPr="00DC289C">
        <w:rPr>
          <w:rFonts w:asciiTheme="majorBidi" w:hAnsiTheme="majorBidi"/>
          <w:sz w:val="24"/>
          <w:lang w:val="fr-FR"/>
        </w:rPr>
        <w:t>re.  Ai</w:t>
      </w:r>
      <w:r w:rsidRPr="00DC289C">
        <w:rPr>
          <w:rFonts w:asciiTheme="majorBidi" w:hAnsiTheme="majorBidi"/>
          <w:sz w:val="24"/>
          <w:lang w:val="fr-FR"/>
        </w:rPr>
        <w:t>nsi que l</w:t>
      </w:r>
      <w:r w:rsidR="00C41570" w:rsidRPr="00DC289C">
        <w:rPr>
          <w:rFonts w:asciiTheme="majorBidi" w:hAnsiTheme="majorBidi"/>
          <w:sz w:val="24"/>
          <w:lang w:val="fr-FR"/>
        </w:rPr>
        <w:t>’</w:t>
      </w:r>
      <w:r w:rsidRPr="00DC289C">
        <w:rPr>
          <w:rFonts w:asciiTheme="majorBidi" w:hAnsiTheme="majorBidi"/>
          <w:sz w:val="24"/>
          <w:lang w:val="fr-FR"/>
        </w:rPr>
        <w:t>indique l</w:t>
      </w:r>
      <w:r w:rsidR="00C41570" w:rsidRPr="00DC289C">
        <w:rPr>
          <w:rFonts w:asciiTheme="majorBidi" w:hAnsiTheme="majorBidi"/>
          <w:sz w:val="24"/>
          <w:lang w:val="fr-FR"/>
        </w:rPr>
        <w:t>’</w:t>
      </w:r>
      <w:r w:rsidRPr="00DC289C">
        <w:rPr>
          <w:rFonts w:asciiTheme="majorBidi" w:hAnsiTheme="majorBidi"/>
          <w:sz w:val="24"/>
          <w:lang w:val="fr-FR"/>
        </w:rPr>
        <w:t>image ci</w:t>
      </w:r>
      <w:r w:rsidR="00BC16D5">
        <w:rPr>
          <w:rFonts w:asciiTheme="majorBidi" w:hAnsiTheme="majorBidi"/>
          <w:sz w:val="24"/>
          <w:lang w:val="fr-FR"/>
        </w:rPr>
        <w:noBreakHyphen/>
      </w:r>
      <w:r w:rsidRPr="00DC289C">
        <w:rPr>
          <w:rFonts w:asciiTheme="majorBidi" w:hAnsiTheme="majorBidi"/>
          <w:sz w:val="24"/>
          <w:lang w:val="fr-FR"/>
        </w:rPr>
        <w:t>après, il y a conflit entre les deux</w:t>
      </w:r>
      <w:r w:rsidR="00DE1EB8" w:rsidRPr="00DC289C">
        <w:rPr>
          <w:rFonts w:asciiTheme="majorBidi" w:hAnsiTheme="majorBidi"/>
          <w:sz w:val="24"/>
          <w:lang w:val="fr-FR"/>
        </w:rPr>
        <w:t> </w:t>
      </w:r>
      <w:r w:rsidRPr="00DC289C">
        <w:rPr>
          <w:rFonts w:asciiTheme="majorBidi" w:hAnsiTheme="majorBidi"/>
          <w:sz w:val="24"/>
          <w:lang w:val="fr-FR"/>
        </w:rPr>
        <w:t>dessins et modèles industriels (le dessin ou modèle principal et le dessin ou modèle conne</w:t>
      </w:r>
      <w:r w:rsidR="00DC289C" w:rsidRPr="00DC289C">
        <w:rPr>
          <w:rFonts w:asciiTheme="majorBidi" w:hAnsiTheme="majorBidi"/>
          <w:sz w:val="24"/>
          <w:lang w:val="fr-FR"/>
        </w:rPr>
        <w:t>xe).  En</w:t>
      </w:r>
      <w:r w:rsidRPr="00DC289C">
        <w:rPr>
          <w:rFonts w:asciiTheme="majorBidi" w:hAnsiTheme="majorBidi"/>
          <w:sz w:val="24"/>
          <w:lang w:val="fr-FR"/>
        </w:rPr>
        <w:t xml:space="preserve"> conséquence, le “système de dessin ou modèle connexe” constitue une exception à cette interdiction.</w:t>
      </w:r>
    </w:p>
    <w:p w14:paraId="4A8EE056" w14:textId="169CFB5E" w:rsidR="00700223" w:rsidRPr="00DC289C" w:rsidRDefault="00C41570" w:rsidP="00F84877">
      <w:pPr>
        <w:autoSpaceDE w:val="0"/>
        <w:autoSpaceDN w:val="0"/>
        <w:adjustRightInd w:val="0"/>
        <w:spacing w:before="240" w:after="240"/>
        <w:jc w:val="center"/>
        <w:rPr>
          <w:szCs w:val="22"/>
          <w:lang w:val="fr-FR"/>
        </w:rPr>
      </w:pPr>
      <w:r w:rsidRPr="00DC289C">
        <w:rPr>
          <w:noProof/>
          <w:lang w:val="fr-FR"/>
        </w:rPr>
        <w:drawing>
          <wp:inline distT="0" distB="0" distL="0" distR="0" wp14:anchorId="1F63F2C8" wp14:editId="6BA35F18">
            <wp:extent cx="4680000" cy="2142144"/>
            <wp:effectExtent l="0" t="0" r="6350" b="0"/>
            <wp:docPr id="15969084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08424" name="Picture 1">
                      <a:extLst>
                        <a:ext uri="{C183D7F6-B498-43B3-948B-1728B52AA6E4}">
                          <adec:decorative xmlns:adec="http://schemas.microsoft.com/office/drawing/2017/decorative" val="1"/>
                        </a:ext>
                      </a:extLst>
                    </pic:cNvPr>
                    <pic:cNvPicPr/>
                  </pic:nvPicPr>
                  <pic:blipFill>
                    <a:blip r:embed="rId13"/>
                    <a:stretch>
                      <a:fillRect/>
                    </a:stretch>
                  </pic:blipFill>
                  <pic:spPr>
                    <a:xfrm>
                      <a:off x="0" y="0"/>
                      <a:ext cx="4680000" cy="2142144"/>
                    </a:xfrm>
                    <a:prstGeom prst="rect">
                      <a:avLst/>
                    </a:prstGeom>
                  </pic:spPr>
                </pic:pic>
              </a:graphicData>
            </a:graphic>
          </wp:inline>
        </w:drawing>
      </w:r>
    </w:p>
    <w:p w14:paraId="6B365E1A" w14:textId="2BEA5EED" w:rsidR="00700223" w:rsidRPr="00F84877" w:rsidRDefault="00700223" w:rsidP="00700223">
      <w:pPr>
        <w:autoSpaceDE w:val="0"/>
        <w:autoSpaceDN w:val="0"/>
        <w:adjustRightInd w:val="0"/>
        <w:ind w:firstLine="567"/>
        <w:rPr>
          <w:rFonts w:ascii="Times New Roman" w:hAnsi="Times New Roman" w:cs="Times New Roman"/>
          <w:sz w:val="24"/>
          <w:szCs w:val="28"/>
          <w:lang w:val="fr-FR"/>
        </w:rPr>
      </w:pPr>
      <w:r w:rsidRPr="00F84877">
        <w:rPr>
          <w:rFonts w:ascii="Times New Roman" w:hAnsi="Times New Roman" w:cs="Times New Roman"/>
          <w:sz w:val="24"/>
          <w:szCs w:val="22"/>
          <w:lang w:val="fr-FR"/>
        </w:rPr>
        <w:t>Ce système particulier est soumis à certaines restrictio</w:t>
      </w:r>
      <w:r w:rsidR="00DC289C" w:rsidRPr="00F84877">
        <w:rPr>
          <w:rFonts w:ascii="Times New Roman" w:hAnsi="Times New Roman" w:cs="Times New Roman"/>
          <w:sz w:val="24"/>
          <w:szCs w:val="22"/>
          <w:lang w:val="fr-FR"/>
        </w:rPr>
        <w:t>ns.  Le</w:t>
      </w:r>
      <w:r w:rsidRPr="00F84877">
        <w:rPr>
          <w:rFonts w:ascii="Times New Roman" w:hAnsi="Times New Roman" w:cs="Times New Roman"/>
          <w:sz w:val="24"/>
          <w:szCs w:val="22"/>
          <w:lang w:val="fr-FR"/>
        </w:rPr>
        <w:t xml:space="preserve"> dessin ou modèle principal et les dessins et modèles connexes ne peuvent pas être séparés pendant leur cycle de v</w:t>
      </w:r>
      <w:r w:rsidR="00DC289C" w:rsidRPr="00F84877">
        <w:rPr>
          <w:rFonts w:ascii="Times New Roman" w:hAnsi="Times New Roman" w:cs="Times New Roman"/>
          <w:sz w:val="24"/>
          <w:szCs w:val="22"/>
          <w:lang w:val="fr-FR"/>
        </w:rPr>
        <w:t>ie.  En</w:t>
      </w:r>
      <w:r w:rsidRPr="00F84877">
        <w:rPr>
          <w:rFonts w:ascii="Times New Roman" w:hAnsi="Times New Roman" w:cs="Times New Roman"/>
          <w:sz w:val="24"/>
          <w:szCs w:val="22"/>
          <w:lang w:val="fr-FR"/>
        </w:rPr>
        <w:t xml:space="preserve"> d</w:t>
      </w:r>
      <w:r w:rsidR="00C41570" w:rsidRPr="00F84877">
        <w:rPr>
          <w:rFonts w:ascii="Times New Roman" w:hAnsi="Times New Roman" w:cs="Times New Roman"/>
          <w:sz w:val="24"/>
          <w:szCs w:val="22"/>
          <w:lang w:val="fr-FR"/>
        </w:rPr>
        <w:t>’</w:t>
      </w:r>
      <w:r w:rsidRPr="00F84877">
        <w:rPr>
          <w:rFonts w:ascii="Times New Roman" w:hAnsi="Times New Roman" w:cs="Times New Roman"/>
          <w:sz w:val="24"/>
          <w:szCs w:val="22"/>
          <w:lang w:val="fr-FR"/>
        </w:rPr>
        <w:t>autres termes, le dessin ou modèle principal et les dessins et modèles connexes doivent toujours être enregistrés sous le nom du même titulaire, et le dessin ou modèle principal ne doit pas être transféré séparément des dessins ou modèles connex</w:t>
      </w:r>
      <w:r w:rsidR="00DC289C" w:rsidRPr="00F84877">
        <w:rPr>
          <w:rFonts w:ascii="Times New Roman" w:hAnsi="Times New Roman" w:cs="Times New Roman"/>
          <w:sz w:val="24"/>
          <w:szCs w:val="22"/>
          <w:lang w:val="fr-FR"/>
        </w:rPr>
        <w:t>es.  C’e</w:t>
      </w:r>
      <w:r w:rsidRPr="00F84877">
        <w:rPr>
          <w:rFonts w:ascii="Times New Roman" w:hAnsi="Times New Roman" w:cs="Times New Roman"/>
          <w:sz w:val="24"/>
          <w:szCs w:val="22"/>
          <w:lang w:val="fr-FR"/>
        </w:rPr>
        <w:t>st pourquoi les pays qui sont dotés de ce système doivent exiger la demande</w:t>
      </w:r>
      <w:r w:rsidRPr="00F84877">
        <w:rPr>
          <w:rFonts w:ascii="Times New Roman" w:hAnsi="Times New Roman" w:cs="Times New Roman"/>
          <w:i/>
          <w:sz w:val="24"/>
          <w:szCs w:val="22"/>
          <w:lang w:val="fr-FR"/>
        </w:rPr>
        <w:t xml:space="preserve"> </w:t>
      </w:r>
      <w:r w:rsidRPr="00F84877">
        <w:rPr>
          <w:rFonts w:ascii="Times New Roman" w:hAnsi="Times New Roman" w:cs="Times New Roman"/>
          <w:sz w:val="24"/>
          <w:szCs w:val="22"/>
          <w:lang w:val="fr-FR"/>
        </w:rPr>
        <w:t>collective d</w:t>
      </w:r>
      <w:r w:rsidR="00C41570" w:rsidRPr="00F84877">
        <w:rPr>
          <w:rFonts w:ascii="Times New Roman" w:hAnsi="Times New Roman" w:cs="Times New Roman"/>
          <w:sz w:val="24"/>
          <w:szCs w:val="22"/>
          <w:lang w:val="fr-FR"/>
        </w:rPr>
        <w:t>’</w:t>
      </w:r>
      <w:r w:rsidRPr="00F84877">
        <w:rPr>
          <w:rFonts w:ascii="Times New Roman" w:hAnsi="Times New Roman" w:cs="Times New Roman"/>
          <w:sz w:val="24"/>
          <w:szCs w:val="22"/>
          <w:lang w:val="fr-FR"/>
        </w:rPr>
        <w:t xml:space="preserve">enregistrement </w:t>
      </w:r>
      <w:r w:rsidR="00C41570" w:rsidRPr="00F84877">
        <w:rPr>
          <w:rFonts w:ascii="Times New Roman" w:hAnsi="Times New Roman" w:cs="Times New Roman"/>
          <w:sz w:val="24"/>
          <w:szCs w:val="22"/>
          <w:lang w:val="fr-FR"/>
        </w:rPr>
        <w:t>à l’égard</w:t>
      </w:r>
      <w:r w:rsidRPr="00F84877">
        <w:rPr>
          <w:rFonts w:ascii="Times New Roman" w:hAnsi="Times New Roman" w:cs="Times New Roman"/>
          <w:sz w:val="24"/>
          <w:szCs w:val="22"/>
          <w:lang w:val="fr-FR"/>
        </w:rPr>
        <w:t xml:space="preserve"> du dessin ou modèle principal et des dessins et modèles connexes.</w:t>
      </w:r>
    </w:p>
    <w:p w14:paraId="769B7410" w14:textId="20CBEC90" w:rsidR="000F5E56" w:rsidRPr="00DC289C" w:rsidRDefault="00700223" w:rsidP="00700223">
      <w:pPr>
        <w:pStyle w:val="Endofdocument-Annex"/>
      </w:pPr>
      <w:r w:rsidRPr="00DC289C">
        <w:t>[Fin de l</w:t>
      </w:r>
      <w:r w:rsidR="00C41570" w:rsidRPr="00DC289C">
        <w:t>’</w:t>
      </w:r>
      <w:r w:rsidRPr="00DC289C">
        <w:t>annexe et du document]</w:t>
      </w:r>
    </w:p>
    <w:sectPr w:rsidR="000F5E56" w:rsidRPr="00DC289C" w:rsidSect="00F84877">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D97F8" w14:textId="77777777" w:rsidR="00700223" w:rsidRDefault="00700223">
      <w:r>
        <w:separator/>
      </w:r>
    </w:p>
  </w:endnote>
  <w:endnote w:type="continuationSeparator" w:id="0">
    <w:p w14:paraId="16AE2756" w14:textId="77777777" w:rsidR="00700223" w:rsidRPr="009D30E6" w:rsidRDefault="00700223" w:rsidP="00D45252">
      <w:pPr>
        <w:rPr>
          <w:sz w:val="17"/>
          <w:szCs w:val="17"/>
        </w:rPr>
      </w:pPr>
      <w:r w:rsidRPr="009D30E6">
        <w:rPr>
          <w:sz w:val="17"/>
          <w:szCs w:val="17"/>
        </w:rPr>
        <w:separator/>
      </w:r>
    </w:p>
    <w:p w14:paraId="3227C28C" w14:textId="77777777" w:rsidR="00700223" w:rsidRPr="009D30E6" w:rsidRDefault="00700223" w:rsidP="00D45252">
      <w:pPr>
        <w:spacing w:after="60"/>
        <w:rPr>
          <w:sz w:val="17"/>
          <w:szCs w:val="17"/>
        </w:rPr>
      </w:pPr>
      <w:r w:rsidRPr="009D30E6">
        <w:rPr>
          <w:sz w:val="17"/>
          <w:szCs w:val="17"/>
        </w:rPr>
        <w:t>[Suite de la note de la page précédente]</w:t>
      </w:r>
    </w:p>
  </w:endnote>
  <w:endnote w:type="continuationNotice" w:id="1">
    <w:p w14:paraId="71D1836F" w14:textId="77777777" w:rsidR="00700223" w:rsidRPr="009D30E6" w:rsidRDefault="0070022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0D69C" w14:textId="77777777" w:rsidR="00700223" w:rsidRDefault="00700223">
      <w:r>
        <w:separator/>
      </w:r>
    </w:p>
  </w:footnote>
  <w:footnote w:type="continuationSeparator" w:id="0">
    <w:p w14:paraId="5E29AA4C" w14:textId="77777777" w:rsidR="00700223" w:rsidRDefault="00700223" w:rsidP="007461F1">
      <w:r>
        <w:separator/>
      </w:r>
    </w:p>
    <w:p w14:paraId="7F771CF7" w14:textId="77777777" w:rsidR="00700223" w:rsidRPr="009D30E6" w:rsidRDefault="00700223" w:rsidP="007461F1">
      <w:pPr>
        <w:spacing w:after="60"/>
        <w:rPr>
          <w:sz w:val="17"/>
          <w:szCs w:val="17"/>
        </w:rPr>
      </w:pPr>
      <w:r w:rsidRPr="009D30E6">
        <w:rPr>
          <w:sz w:val="17"/>
          <w:szCs w:val="17"/>
        </w:rPr>
        <w:t>[Suite de la note de la page précédente]</w:t>
      </w:r>
    </w:p>
  </w:footnote>
  <w:footnote w:type="continuationNotice" w:id="1">
    <w:p w14:paraId="5306FE16" w14:textId="77777777" w:rsidR="00700223" w:rsidRPr="009D30E6" w:rsidRDefault="00700223" w:rsidP="007461F1">
      <w:pPr>
        <w:spacing w:before="60"/>
        <w:jc w:val="right"/>
        <w:rPr>
          <w:sz w:val="17"/>
          <w:szCs w:val="17"/>
        </w:rPr>
      </w:pPr>
      <w:r w:rsidRPr="009D30E6">
        <w:rPr>
          <w:sz w:val="17"/>
          <w:szCs w:val="17"/>
        </w:rPr>
        <w:t>[Suite de la note page suivante]</w:t>
      </w:r>
    </w:p>
  </w:footnote>
  <w:footnote w:id="2">
    <w:p w14:paraId="7C45B85F" w14:textId="48ED1608" w:rsidR="00700223" w:rsidRPr="008A583C" w:rsidRDefault="00700223" w:rsidP="00700223">
      <w:pPr>
        <w:pStyle w:val="FootnoteText"/>
        <w:tabs>
          <w:tab w:val="left" w:pos="567"/>
        </w:tabs>
        <w:rPr>
          <w:rFonts w:ascii="Times New Roman" w:hAnsi="Times New Roman" w:cs="Times New Roman"/>
          <w:szCs w:val="18"/>
        </w:rPr>
      </w:pPr>
      <w:r w:rsidRPr="008A583C">
        <w:rPr>
          <w:rStyle w:val="FootnoteReference"/>
          <w:rFonts w:ascii="Times New Roman" w:hAnsi="Times New Roman" w:cs="Times New Roman"/>
          <w:szCs w:val="18"/>
        </w:rPr>
        <w:footnoteRef/>
      </w:r>
      <w:r w:rsidRPr="008A583C">
        <w:rPr>
          <w:rFonts w:ascii="Times New Roman" w:hAnsi="Times New Roman" w:cs="Times New Roman"/>
          <w:szCs w:val="18"/>
        </w:rPr>
        <w:t xml:space="preserve"> </w:t>
      </w:r>
      <w:r w:rsidR="008A583C" w:rsidRPr="008A583C">
        <w:rPr>
          <w:rFonts w:ascii="Times New Roman" w:hAnsi="Times New Roman" w:cs="Times New Roman"/>
          <w:szCs w:val="18"/>
        </w:rPr>
        <w:tab/>
      </w:r>
      <w:r w:rsidRPr="008A583C">
        <w:rPr>
          <w:rFonts w:ascii="Times New Roman" w:hAnsi="Times New Roman" w:cs="Times New Roman"/>
          <w:szCs w:val="18"/>
        </w:rPr>
        <w:t>DÉCLARATIONS COMMUNES DE LA CONFÉRENCE DIPLOMATIQUE CONCERNANT LE TRAITÉ SUR LE DROIT DES BREVETS ET LE RÈGLEMENT D</w:t>
      </w:r>
      <w:r w:rsidR="003959B3" w:rsidRPr="008A583C">
        <w:rPr>
          <w:rFonts w:ascii="Times New Roman" w:hAnsi="Times New Roman" w:cs="Times New Roman"/>
          <w:szCs w:val="18"/>
        </w:rPr>
        <w:t>’</w:t>
      </w:r>
      <w:r w:rsidRPr="008A583C">
        <w:rPr>
          <w:rFonts w:ascii="Times New Roman" w:hAnsi="Times New Roman" w:cs="Times New Roman"/>
          <w:szCs w:val="18"/>
        </w:rPr>
        <w:t>EXÉCUTION DU TRAITÉ SUR LE DROIT DES BREVETS</w:t>
      </w:r>
    </w:p>
    <w:p w14:paraId="529EA165" w14:textId="53341B06" w:rsidR="00700223" w:rsidRPr="008A583C" w:rsidRDefault="00700223" w:rsidP="008A583C">
      <w:pPr>
        <w:pStyle w:val="FootnoteText"/>
        <w:tabs>
          <w:tab w:val="left" w:pos="567"/>
        </w:tabs>
        <w:spacing w:after="180"/>
        <w:rPr>
          <w:rFonts w:ascii="Times New Roman" w:hAnsi="Times New Roman" w:cs="Times New Roman"/>
          <w:szCs w:val="18"/>
        </w:rPr>
      </w:pPr>
      <w:r w:rsidRPr="008A583C">
        <w:rPr>
          <w:rFonts w:ascii="Times New Roman" w:hAnsi="Times New Roman" w:cs="Times New Roman"/>
          <w:szCs w:val="18"/>
        </w:rPr>
        <w:t>“</w:t>
      </w:r>
      <w:r w:rsidRPr="008A583C">
        <w:rPr>
          <w:rFonts w:ascii="Times New Roman" w:hAnsi="Times New Roman" w:cs="Times New Roman"/>
          <w:i/>
          <w:szCs w:val="18"/>
        </w:rPr>
        <w:t>1.</w:t>
      </w:r>
      <w:r w:rsidR="00E42B11">
        <w:rPr>
          <w:rFonts w:ascii="Times New Roman" w:hAnsi="Times New Roman" w:cs="Times New Roman"/>
          <w:i/>
          <w:szCs w:val="18"/>
        </w:rPr>
        <w:tab/>
      </w:r>
      <w:r w:rsidRPr="00F84877">
        <w:rPr>
          <w:rFonts w:ascii="Times New Roman" w:hAnsi="Times New Roman" w:cs="Times New Roman"/>
          <w:i/>
          <w:iCs/>
          <w:szCs w:val="18"/>
        </w:rPr>
        <w:t>Lors de l</w:t>
      </w:r>
      <w:r w:rsidR="003959B3" w:rsidRPr="00F84877">
        <w:rPr>
          <w:rFonts w:ascii="Times New Roman" w:hAnsi="Times New Roman" w:cs="Times New Roman"/>
          <w:i/>
          <w:iCs/>
          <w:szCs w:val="18"/>
        </w:rPr>
        <w:t>’</w:t>
      </w:r>
      <w:r w:rsidRPr="00F84877">
        <w:rPr>
          <w:rFonts w:ascii="Times New Roman" w:hAnsi="Times New Roman" w:cs="Times New Roman"/>
          <w:i/>
          <w:iCs/>
          <w:szCs w:val="18"/>
        </w:rPr>
        <w:t>adoption de l</w:t>
      </w:r>
      <w:r w:rsidR="003959B3" w:rsidRPr="00F84877">
        <w:rPr>
          <w:rFonts w:ascii="Times New Roman" w:hAnsi="Times New Roman" w:cs="Times New Roman"/>
          <w:i/>
          <w:iCs/>
          <w:szCs w:val="18"/>
        </w:rPr>
        <w:t>’</w:t>
      </w:r>
      <w:r w:rsidRPr="00F84877">
        <w:rPr>
          <w:rFonts w:ascii="Times New Roman" w:hAnsi="Times New Roman" w:cs="Times New Roman"/>
          <w:i/>
          <w:iCs/>
          <w:szCs w:val="18"/>
        </w:rPr>
        <w:t xml:space="preserve">article 1.xiv), la conférence diplomatique est convenue que les mots </w:t>
      </w:r>
      <w:r w:rsidR="008A583C" w:rsidRPr="00F84877">
        <w:rPr>
          <w:rFonts w:ascii="Times New Roman" w:hAnsi="Times New Roman" w:cs="Times New Roman"/>
          <w:i/>
          <w:iCs/>
          <w:szCs w:val="18"/>
        </w:rPr>
        <w:t>‘</w:t>
      </w:r>
      <w:r w:rsidRPr="00F84877">
        <w:rPr>
          <w:rFonts w:ascii="Times New Roman" w:hAnsi="Times New Roman" w:cs="Times New Roman"/>
          <w:i/>
          <w:iCs/>
          <w:szCs w:val="18"/>
        </w:rPr>
        <w:t>procédure devant l</w:t>
      </w:r>
      <w:r w:rsidR="003959B3" w:rsidRPr="00F84877">
        <w:rPr>
          <w:rFonts w:ascii="Times New Roman" w:hAnsi="Times New Roman" w:cs="Times New Roman"/>
          <w:i/>
          <w:iCs/>
          <w:szCs w:val="18"/>
        </w:rPr>
        <w:t>’</w:t>
      </w:r>
      <w:r w:rsidRPr="00F84877">
        <w:rPr>
          <w:rFonts w:ascii="Times New Roman" w:hAnsi="Times New Roman" w:cs="Times New Roman"/>
          <w:i/>
          <w:iCs/>
          <w:szCs w:val="18"/>
        </w:rPr>
        <w:t>office</w:t>
      </w:r>
      <w:r w:rsidR="008A583C" w:rsidRPr="00F84877">
        <w:rPr>
          <w:rFonts w:ascii="Times New Roman" w:hAnsi="Times New Roman" w:cs="Times New Roman"/>
          <w:i/>
          <w:iCs/>
          <w:szCs w:val="18"/>
        </w:rPr>
        <w:t>’</w:t>
      </w:r>
      <w:r w:rsidRPr="00F84877">
        <w:rPr>
          <w:rFonts w:ascii="Times New Roman" w:hAnsi="Times New Roman" w:cs="Times New Roman"/>
          <w:i/>
          <w:iCs/>
          <w:szCs w:val="18"/>
        </w:rPr>
        <w:t xml:space="preserve"> ne désigneraient pas les procédures judiciaires engagées en vertu de la législation applicable.</w:t>
      </w:r>
      <w:r w:rsidRPr="008A583C">
        <w:rPr>
          <w:rFonts w:ascii="Times New Roman" w:hAnsi="Times New Roman" w:cs="Times New Roman"/>
          <w:szCs w:val="18"/>
        </w:rPr>
        <w:t>”</w:t>
      </w:r>
    </w:p>
  </w:footnote>
  <w:footnote w:id="3">
    <w:p w14:paraId="2AA29089" w14:textId="4A72FEE8" w:rsidR="00700223" w:rsidRPr="008A583C" w:rsidRDefault="00700223" w:rsidP="008A583C">
      <w:pPr>
        <w:pStyle w:val="FootnoteText"/>
        <w:tabs>
          <w:tab w:val="left" w:pos="567"/>
        </w:tabs>
        <w:rPr>
          <w:rFonts w:ascii="Times New Roman" w:hAnsi="Times New Roman" w:cs="Times New Roman"/>
          <w:szCs w:val="18"/>
        </w:rPr>
      </w:pPr>
      <w:r w:rsidRPr="008A583C">
        <w:rPr>
          <w:rStyle w:val="FootnoteReference"/>
          <w:rFonts w:ascii="Times New Roman" w:hAnsi="Times New Roman" w:cs="Times New Roman"/>
          <w:szCs w:val="18"/>
        </w:rPr>
        <w:footnoteRef/>
      </w:r>
      <w:r w:rsidRPr="008A583C">
        <w:rPr>
          <w:rFonts w:ascii="Times New Roman" w:hAnsi="Times New Roman" w:cs="Times New Roman"/>
          <w:szCs w:val="18"/>
        </w:rPr>
        <w:t xml:space="preserve"> </w:t>
      </w:r>
      <w:r w:rsidR="008A583C" w:rsidRPr="008A583C">
        <w:rPr>
          <w:rFonts w:ascii="Times New Roman" w:hAnsi="Times New Roman" w:cs="Times New Roman"/>
          <w:szCs w:val="18"/>
        </w:rPr>
        <w:tab/>
      </w:r>
      <w:r w:rsidRPr="008A583C">
        <w:rPr>
          <w:rFonts w:ascii="Times New Roman" w:hAnsi="Times New Roman" w:cs="Times New Roman"/>
          <w:szCs w:val="18"/>
        </w:rPr>
        <w:t>Pour les précisions apportées à la “procédure devant l</w:t>
      </w:r>
      <w:r w:rsidR="003959B3" w:rsidRPr="008A583C">
        <w:rPr>
          <w:rFonts w:ascii="Times New Roman" w:hAnsi="Times New Roman" w:cs="Times New Roman"/>
          <w:szCs w:val="18"/>
        </w:rPr>
        <w:t>’</w:t>
      </w:r>
      <w:r w:rsidRPr="008A583C">
        <w:rPr>
          <w:rFonts w:ascii="Times New Roman" w:hAnsi="Times New Roman" w:cs="Times New Roman"/>
          <w:szCs w:val="18"/>
        </w:rPr>
        <w:t>office” lors de la conférence diplomatique pour l</w:t>
      </w:r>
      <w:r w:rsidR="003959B3" w:rsidRPr="008A583C">
        <w:rPr>
          <w:rFonts w:ascii="Times New Roman" w:hAnsi="Times New Roman" w:cs="Times New Roman"/>
          <w:szCs w:val="18"/>
        </w:rPr>
        <w:t>’</w:t>
      </w:r>
      <w:r w:rsidRPr="008A583C">
        <w:rPr>
          <w:rFonts w:ascii="Times New Roman" w:hAnsi="Times New Roman" w:cs="Times New Roman"/>
          <w:szCs w:val="18"/>
        </w:rPr>
        <w:t xml:space="preserve">adoption du Traité sur le droit des brevets, voir les </w:t>
      </w:r>
      <w:r w:rsidR="003959B3" w:rsidRPr="008A583C">
        <w:rPr>
          <w:rFonts w:ascii="Times New Roman" w:hAnsi="Times New Roman" w:cs="Times New Roman"/>
          <w:szCs w:val="18"/>
        </w:rPr>
        <w:t>paragraphes 2</w:t>
      </w:r>
      <w:r w:rsidRPr="008A583C">
        <w:rPr>
          <w:rFonts w:ascii="Times New Roman" w:hAnsi="Times New Roman" w:cs="Times New Roman"/>
          <w:szCs w:val="18"/>
        </w:rPr>
        <w:t>401 à 2408 de ses Actes.</w:t>
      </w:r>
    </w:p>
    <w:p w14:paraId="398FA060" w14:textId="3BA8F3B9" w:rsidR="00700223" w:rsidRPr="008A583C" w:rsidRDefault="00700223" w:rsidP="008A583C">
      <w:pPr>
        <w:pStyle w:val="FootnoteText"/>
        <w:tabs>
          <w:tab w:val="left" w:pos="567"/>
        </w:tabs>
        <w:ind w:leftChars="257" w:left="565"/>
        <w:rPr>
          <w:rFonts w:ascii="Times New Roman" w:hAnsi="Times New Roman" w:cs="Times New Roman"/>
          <w:spacing w:val="-2"/>
          <w:szCs w:val="18"/>
        </w:rPr>
      </w:pPr>
      <w:r w:rsidRPr="008A583C">
        <w:rPr>
          <w:rFonts w:ascii="Times New Roman" w:hAnsi="Times New Roman" w:cs="Times New Roman"/>
          <w:spacing w:val="-2"/>
          <w:szCs w:val="18"/>
        </w:rPr>
        <w:t>ACTES DE LA CONFÉRENCE DIPLOMATIQUE POUR L</w:t>
      </w:r>
      <w:r w:rsidR="003959B3" w:rsidRPr="008A583C">
        <w:rPr>
          <w:rFonts w:ascii="Times New Roman" w:hAnsi="Times New Roman" w:cs="Times New Roman"/>
          <w:spacing w:val="-2"/>
          <w:szCs w:val="18"/>
        </w:rPr>
        <w:t>’</w:t>
      </w:r>
      <w:r w:rsidRPr="008A583C">
        <w:rPr>
          <w:rFonts w:ascii="Times New Roman" w:hAnsi="Times New Roman" w:cs="Times New Roman"/>
          <w:spacing w:val="-2"/>
          <w:szCs w:val="18"/>
        </w:rPr>
        <w:t>ADOPTION DU TRAITÉ SUR LE DROIT DES BREVETS</w:t>
      </w:r>
    </w:p>
    <w:p w14:paraId="56085D16" w14:textId="0A8DAA66" w:rsidR="00700223" w:rsidRPr="008A583C" w:rsidRDefault="0017665A" w:rsidP="008A583C">
      <w:pPr>
        <w:pStyle w:val="FootnoteText"/>
        <w:tabs>
          <w:tab w:val="left" w:pos="567"/>
        </w:tabs>
        <w:ind w:leftChars="257" w:left="565"/>
        <w:rPr>
          <w:rFonts w:ascii="Times New Roman" w:hAnsi="Times New Roman" w:cs="Times New Roman"/>
          <w:szCs w:val="18"/>
        </w:rPr>
      </w:pPr>
      <w:hyperlink r:id="rId1" w:history="1">
        <w:r w:rsidR="00700223" w:rsidRPr="008A583C">
          <w:rPr>
            <w:rStyle w:val="Hyperlink"/>
            <w:rFonts w:ascii="Times New Roman" w:hAnsi="Times New Roman" w:cs="Times New Roman"/>
            <w:szCs w:val="18"/>
          </w:rPr>
          <w:t>https://www.wipo.int/export/sites/www/treaties/en/docs/prep</w:t>
        </w:r>
        <w:r w:rsidR="003959B3" w:rsidRPr="008A583C">
          <w:rPr>
            <w:rStyle w:val="Hyperlink"/>
            <w:rFonts w:ascii="Times New Roman" w:hAnsi="Times New Roman" w:cs="Times New Roman"/>
            <w:szCs w:val="18"/>
          </w:rPr>
          <w:t>-</w:t>
        </w:r>
        <w:r w:rsidR="00700223" w:rsidRPr="008A583C">
          <w:rPr>
            <w:rStyle w:val="Hyperlink"/>
            <w:rFonts w:ascii="Times New Roman" w:hAnsi="Times New Roman" w:cs="Times New Roman"/>
            <w:szCs w:val="18"/>
          </w:rPr>
          <w:t>docs/2000_june_Geneva_327</w:t>
        </w:r>
        <w:r w:rsidR="003959B3" w:rsidRPr="008A583C">
          <w:rPr>
            <w:rStyle w:val="Hyperlink"/>
            <w:rFonts w:ascii="Times New Roman" w:hAnsi="Times New Roman" w:cs="Times New Roman"/>
            <w:szCs w:val="18"/>
          </w:rPr>
          <w:t>-</w:t>
        </w:r>
        <w:r w:rsidR="00700223" w:rsidRPr="008A583C">
          <w:rPr>
            <w:rStyle w:val="Hyperlink"/>
            <w:rFonts w:ascii="Times New Roman" w:hAnsi="Times New Roman" w:cs="Times New Roman"/>
            <w:szCs w:val="18"/>
          </w:rPr>
          <w:t>en.pdf</w:t>
        </w:r>
      </w:hyperlink>
    </w:p>
    <w:p w14:paraId="75C18502" w14:textId="4A5E774B" w:rsidR="00700223" w:rsidRPr="008A583C" w:rsidRDefault="00700223" w:rsidP="008A583C">
      <w:pPr>
        <w:pStyle w:val="FootnoteText"/>
        <w:tabs>
          <w:tab w:val="left" w:pos="567"/>
        </w:tabs>
        <w:spacing w:after="180"/>
        <w:rPr>
          <w:rFonts w:ascii="Times New Roman" w:hAnsi="Times New Roman" w:cs="Times New Roman"/>
          <w:szCs w:val="18"/>
        </w:rPr>
      </w:pPr>
      <w:r w:rsidRPr="008A583C">
        <w:rPr>
          <w:rFonts w:ascii="Times New Roman" w:hAnsi="Times New Roman" w:cs="Times New Roman"/>
          <w:i/>
          <w:szCs w:val="18"/>
        </w:rPr>
        <w:t>“2402.</w:t>
      </w:r>
      <w:r w:rsidR="00E42B11">
        <w:rPr>
          <w:rFonts w:ascii="Times New Roman" w:hAnsi="Times New Roman" w:cs="Times New Roman"/>
          <w:i/>
          <w:szCs w:val="18"/>
        </w:rPr>
        <w:tab/>
      </w:r>
      <w:r w:rsidRPr="008A583C">
        <w:rPr>
          <w:rFonts w:ascii="Times New Roman" w:hAnsi="Times New Roman" w:cs="Times New Roman"/>
          <w:i/>
          <w:szCs w:val="18"/>
        </w:rPr>
        <w:t>M.</w:t>
      </w:r>
      <w:r w:rsidR="00DE1EB8" w:rsidRPr="008A583C">
        <w:rPr>
          <w:rFonts w:ascii="Times New Roman" w:hAnsi="Times New Roman" w:cs="Times New Roman"/>
          <w:i/>
          <w:szCs w:val="18"/>
        </w:rPr>
        <w:t> </w:t>
      </w:r>
      <w:r w:rsidRPr="008A583C">
        <w:rPr>
          <w:rFonts w:ascii="Times New Roman" w:hAnsi="Times New Roman" w:cs="Times New Roman"/>
          <w:i/>
          <w:szCs w:val="18"/>
        </w:rPr>
        <w:t>HERALD (Australie) a déclaré que les délégations qui avaient exprimé leur intérêt pour les déclarations communes proposées par la délégation de la Suisse souhaitaient proposer le libellé suivant</w:t>
      </w:r>
      <w:r w:rsidR="003959B3" w:rsidRPr="008A583C">
        <w:rPr>
          <w:rFonts w:ascii="Times New Roman" w:hAnsi="Times New Roman" w:cs="Times New Roman"/>
          <w:i/>
          <w:szCs w:val="18"/>
        </w:rPr>
        <w:t> :</w:t>
      </w:r>
      <w:r w:rsidRPr="008A583C">
        <w:rPr>
          <w:rFonts w:ascii="Times New Roman" w:hAnsi="Times New Roman" w:cs="Times New Roman"/>
          <w:i/>
          <w:szCs w:val="18"/>
        </w:rPr>
        <w:t xml:space="preserve"> Lors de l</w:t>
      </w:r>
      <w:r w:rsidR="003959B3" w:rsidRPr="008A583C">
        <w:rPr>
          <w:rFonts w:ascii="Times New Roman" w:hAnsi="Times New Roman" w:cs="Times New Roman"/>
          <w:i/>
          <w:szCs w:val="18"/>
        </w:rPr>
        <w:t>’</w:t>
      </w:r>
      <w:r w:rsidRPr="008A583C">
        <w:rPr>
          <w:rFonts w:ascii="Times New Roman" w:hAnsi="Times New Roman" w:cs="Times New Roman"/>
          <w:i/>
          <w:szCs w:val="18"/>
        </w:rPr>
        <w:t>adoption de l</w:t>
      </w:r>
      <w:r w:rsidR="003959B3" w:rsidRPr="008A583C">
        <w:rPr>
          <w:rFonts w:ascii="Times New Roman" w:hAnsi="Times New Roman" w:cs="Times New Roman"/>
          <w:i/>
          <w:szCs w:val="18"/>
        </w:rPr>
        <w:t>’</w:t>
      </w:r>
      <w:r w:rsidRPr="008A583C">
        <w:rPr>
          <w:rFonts w:ascii="Times New Roman" w:hAnsi="Times New Roman" w:cs="Times New Roman"/>
          <w:i/>
          <w:szCs w:val="18"/>
        </w:rPr>
        <w:t xml:space="preserve">article 1.viii) à xiv) du présent traité, il a été convenu que les mots </w:t>
      </w:r>
      <w:r w:rsidR="00DC289C" w:rsidRPr="008A583C">
        <w:rPr>
          <w:rFonts w:ascii="Times New Roman" w:hAnsi="Times New Roman" w:cs="Times New Roman"/>
          <w:i/>
          <w:szCs w:val="18"/>
        </w:rPr>
        <w:t>‘</w:t>
      </w:r>
      <w:r w:rsidRPr="008A583C">
        <w:rPr>
          <w:rFonts w:ascii="Times New Roman" w:hAnsi="Times New Roman" w:cs="Times New Roman"/>
          <w:i/>
          <w:szCs w:val="18"/>
        </w:rPr>
        <w:t>procédure devant l</w:t>
      </w:r>
      <w:r w:rsidR="003959B3" w:rsidRPr="008A583C">
        <w:rPr>
          <w:rFonts w:ascii="Times New Roman" w:hAnsi="Times New Roman" w:cs="Times New Roman"/>
          <w:i/>
          <w:szCs w:val="18"/>
        </w:rPr>
        <w:t>’</w:t>
      </w:r>
      <w:r w:rsidRPr="008A583C">
        <w:rPr>
          <w:rFonts w:ascii="Times New Roman" w:hAnsi="Times New Roman" w:cs="Times New Roman"/>
          <w:i/>
          <w:szCs w:val="18"/>
        </w:rPr>
        <w:t>office</w:t>
      </w:r>
      <w:r w:rsidR="00DC289C" w:rsidRPr="008A583C">
        <w:rPr>
          <w:rFonts w:ascii="Times New Roman" w:hAnsi="Times New Roman" w:cs="Times New Roman"/>
          <w:i/>
          <w:szCs w:val="18"/>
        </w:rPr>
        <w:t>’</w:t>
      </w:r>
      <w:r w:rsidRPr="008A583C">
        <w:rPr>
          <w:rFonts w:ascii="Times New Roman" w:hAnsi="Times New Roman" w:cs="Times New Roman"/>
          <w:i/>
          <w:szCs w:val="18"/>
        </w:rPr>
        <w:t xml:space="preserve"> ne désigneraient pas les procédures judiciaires engagées en vertu de la législation applicable.” </w:t>
      </w:r>
      <w:r w:rsidR="00DE1EB8" w:rsidRPr="008A583C">
        <w:rPr>
          <w:rFonts w:ascii="Times New Roman" w:hAnsi="Times New Roman" w:cs="Times New Roman"/>
          <w:i/>
          <w:szCs w:val="18"/>
        </w:rPr>
        <w:t xml:space="preserve"> </w:t>
      </w:r>
      <w:r w:rsidRPr="008A583C">
        <w:rPr>
          <w:rFonts w:ascii="Times New Roman" w:hAnsi="Times New Roman" w:cs="Times New Roman"/>
          <w:i/>
          <w:szCs w:val="18"/>
          <w:u w:val="single"/>
        </w:rPr>
        <w:t>Cette déclaration tenait compte de la diversité des systèmes juridiques entre les offices.</w:t>
      </w:r>
      <w:r w:rsidR="00DE1EB8" w:rsidRPr="008A583C">
        <w:rPr>
          <w:rFonts w:ascii="Times New Roman" w:hAnsi="Times New Roman" w:cs="Times New Roman"/>
          <w:i/>
          <w:szCs w:val="18"/>
          <w:u w:val="single"/>
        </w:rPr>
        <w:t xml:space="preserve"> </w:t>
      </w:r>
      <w:r w:rsidRPr="008A583C">
        <w:rPr>
          <w:rFonts w:ascii="Times New Roman" w:hAnsi="Times New Roman" w:cs="Times New Roman"/>
          <w:i/>
          <w:szCs w:val="18"/>
          <w:u w:val="single"/>
        </w:rPr>
        <w:t xml:space="preserve"> En particulier, dans de nombreux pays, il existait une division distincte entre les </w:t>
      </w:r>
      <w:r w:rsidR="003959B3" w:rsidRPr="008A583C">
        <w:rPr>
          <w:rFonts w:ascii="Times New Roman" w:hAnsi="Times New Roman" w:cs="Times New Roman"/>
          <w:i/>
          <w:szCs w:val="18"/>
          <w:u w:val="single"/>
        </w:rPr>
        <w:t>“t</w:t>
      </w:r>
      <w:r w:rsidRPr="008A583C">
        <w:rPr>
          <w:rFonts w:ascii="Times New Roman" w:hAnsi="Times New Roman" w:cs="Times New Roman"/>
          <w:i/>
          <w:szCs w:val="18"/>
          <w:u w:val="single"/>
        </w:rPr>
        <w:t>ribunau</w:t>
      </w:r>
      <w:r w:rsidR="003959B3" w:rsidRPr="008A583C">
        <w:rPr>
          <w:rFonts w:ascii="Times New Roman" w:hAnsi="Times New Roman" w:cs="Times New Roman"/>
          <w:i/>
          <w:szCs w:val="18"/>
          <w:u w:val="single"/>
        </w:rPr>
        <w:t>x”</w:t>
      </w:r>
      <w:r w:rsidRPr="008A583C">
        <w:rPr>
          <w:rFonts w:ascii="Times New Roman" w:hAnsi="Times New Roman" w:cs="Times New Roman"/>
          <w:i/>
          <w:szCs w:val="18"/>
          <w:u w:val="single"/>
        </w:rPr>
        <w:t xml:space="preserve"> et l</w:t>
      </w:r>
      <w:r w:rsidR="003959B3" w:rsidRPr="008A583C">
        <w:rPr>
          <w:rFonts w:ascii="Times New Roman" w:hAnsi="Times New Roman" w:cs="Times New Roman"/>
          <w:i/>
          <w:szCs w:val="18"/>
          <w:u w:val="single"/>
        </w:rPr>
        <w:t>’“o</w:t>
      </w:r>
      <w:r w:rsidRPr="008A583C">
        <w:rPr>
          <w:rFonts w:ascii="Times New Roman" w:hAnsi="Times New Roman" w:cs="Times New Roman"/>
          <w:i/>
          <w:szCs w:val="18"/>
          <w:u w:val="single"/>
        </w:rPr>
        <w:t>ffic</w:t>
      </w:r>
      <w:r w:rsidR="003959B3" w:rsidRPr="008A583C">
        <w:rPr>
          <w:rFonts w:ascii="Times New Roman" w:hAnsi="Times New Roman" w:cs="Times New Roman"/>
          <w:i/>
          <w:szCs w:val="18"/>
          <w:u w:val="single"/>
        </w:rPr>
        <w:t>e”</w:t>
      </w:r>
      <w:r w:rsidRPr="008A583C">
        <w:rPr>
          <w:rFonts w:ascii="Times New Roman" w:hAnsi="Times New Roman" w:cs="Times New Roman"/>
          <w:i/>
          <w:szCs w:val="18"/>
          <w:u w:val="single"/>
        </w:rPr>
        <w:t xml:space="preserve">. </w:t>
      </w:r>
      <w:r w:rsidR="00DE1EB8" w:rsidRPr="008A583C">
        <w:rPr>
          <w:rFonts w:ascii="Times New Roman" w:hAnsi="Times New Roman" w:cs="Times New Roman"/>
          <w:i/>
          <w:szCs w:val="18"/>
          <w:u w:val="single"/>
        </w:rPr>
        <w:t xml:space="preserve"> </w:t>
      </w:r>
      <w:r w:rsidRPr="008A583C">
        <w:rPr>
          <w:rFonts w:ascii="Times New Roman" w:hAnsi="Times New Roman" w:cs="Times New Roman"/>
          <w:i/>
          <w:szCs w:val="18"/>
          <w:u w:val="single"/>
        </w:rPr>
        <w:t>Dans d</w:t>
      </w:r>
      <w:r w:rsidR="003959B3" w:rsidRPr="008A583C">
        <w:rPr>
          <w:rFonts w:ascii="Times New Roman" w:hAnsi="Times New Roman" w:cs="Times New Roman"/>
          <w:i/>
          <w:szCs w:val="18"/>
          <w:u w:val="single"/>
        </w:rPr>
        <w:t>’</w:t>
      </w:r>
      <w:r w:rsidRPr="008A583C">
        <w:rPr>
          <w:rFonts w:ascii="Times New Roman" w:hAnsi="Times New Roman" w:cs="Times New Roman"/>
          <w:i/>
          <w:szCs w:val="18"/>
          <w:u w:val="single"/>
        </w:rPr>
        <w:t>autres pays, la distinction était moins claire dans la mesure où les organes judiciaires faisaient officiellement partie de l</w:t>
      </w:r>
      <w:r w:rsidR="003959B3" w:rsidRPr="008A583C">
        <w:rPr>
          <w:rFonts w:ascii="Times New Roman" w:hAnsi="Times New Roman" w:cs="Times New Roman"/>
          <w:i/>
          <w:szCs w:val="18"/>
          <w:u w:val="single"/>
        </w:rPr>
        <w:t>’</w:t>
      </w:r>
      <w:r w:rsidRPr="008A583C">
        <w:rPr>
          <w:rFonts w:ascii="Times New Roman" w:hAnsi="Times New Roman" w:cs="Times New Roman"/>
          <w:i/>
          <w:szCs w:val="18"/>
          <w:u w:val="single"/>
        </w:rPr>
        <w:t>office</w:t>
      </w:r>
      <w:r w:rsidR="00DE1EB8" w:rsidRPr="008A583C">
        <w:rPr>
          <w:rFonts w:ascii="Times New Roman" w:hAnsi="Times New Roman" w:cs="Times New Roman"/>
          <w:i/>
          <w:szCs w:val="18"/>
          <w:u w:val="single"/>
        </w:rPr>
        <w:t xml:space="preserve">. </w:t>
      </w:r>
      <w:r w:rsidRPr="008A583C">
        <w:rPr>
          <w:rFonts w:ascii="Times New Roman" w:hAnsi="Times New Roman" w:cs="Times New Roman"/>
          <w:i/>
          <w:szCs w:val="18"/>
          <w:u w:val="single"/>
        </w:rPr>
        <w:t xml:space="preserve"> Les mots </w:t>
      </w:r>
      <w:r w:rsidR="003959B3" w:rsidRPr="008A583C">
        <w:rPr>
          <w:rFonts w:ascii="Times New Roman" w:hAnsi="Times New Roman" w:cs="Times New Roman"/>
          <w:i/>
          <w:szCs w:val="18"/>
          <w:u w:val="single"/>
        </w:rPr>
        <w:t>“p</w:t>
      </w:r>
      <w:r w:rsidRPr="008A583C">
        <w:rPr>
          <w:rFonts w:ascii="Times New Roman" w:hAnsi="Times New Roman" w:cs="Times New Roman"/>
          <w:i/>
          <w:szCs w:val="18"/>
          <w:u w:val="single"/>
        </w:rPr>
        <w:t>rocédures judiciaire</w:t>
      </w:r>
      <w:r w:rsidR="003959B3" w:rsidRPr="008A583C">
        <w:rPr>
          <w:rFonts w:ascii="Times New Roman" w:hAnsi="Times New Roman" w:cs="Times New Roman"/>
          <w:i/>
          <w:szCs w:val="18"/>
          <w:u w:val="single"/>
        </w:rPr>
        <w:t>s”</w:t>
      </w:r>
      <w:r w:rsidRPr="008A583C">
        <w:rPr>
          <w:rFonts w:ascii="Times New Roman" w:hAnsi="Times New Roman" w:cs="Times New Roman"/>
          <w:i/>
          <w:szCs w:val="18"/>
          <w:u w:val="single"/>
        </w:rPr>
        <w:t xml:space="preserve"> visaient à inclure les procédures des organes internes lorsque ces organes étaient couverts par le droit administratif général, mais non lorsqu</w:t>
      </w:r>
      <w:r w:rsidR="003959B3" w:rsidRPr="008A583C">
        <w:rPr>
          <w:rFonts w:ascii="Times New Roman" w:hAnsi="Times New Roman" w:cs="Times New Roman"/>
          <w:i/>
          <w:szCs w:val="18"/>
          <w:u w:val="single"/>
        </w:rPr>
        <w:t>’</w:t>
      </w:r>
      <w:r w:rsidRPr="008A583C">
        <w:rPr>
          <w:rFonts w:ascii="Times New Roman" w:hAnsi="Times New Roman" w:cs="Times New Roman"/>
          <w:i/>
          <w:szCs w:val="18"/>
          <w:u w:val="single"/>
        </w:rPr>
        <w:t>ils étaient couverts par le droit judiciaire général.</w:t>
      </w:r>
    </w:p>
  </w:footnote>
  <w:footnote w:id="4">
    <w:p w14:paraId="1C189431" w14:textId="5B9AE5F5" w:rsidR="00700223" w:rsidRPr="008A583C" w:rsidRDefault="00700223" w:rsidP="00700223">
      <w:pPr>
        <w:pStyle w:val="FootnoteText"/>
        <w:tabs>
          <w:tab w:val="left" w:pos="567"/>
        </w:tabs>
        <w:rPr>
          <w:rFonts w:ascii="Times New Roman" w:hAnsi="Times New Roman" w:cs="Times New Roman"/>
          <w:szCs w:val="18"/>
        </w:rPr>
      </w:pPr>
      <w:r w:rsidRPr="008A583C">
        <w:rPr>
          <w:rStyle w:val="FootnoteReference"/>
          <w:rFonts w:ascii="Times New Roman" w:hAnsi="Times New Roman" w:cs="Times New Roman"/>
          <w:szCs w:val="18"/>
        </w:rPr>
        <w:footnoteRef/>
      </w:r>
      <w:r w:rsidRPr="008A583C">
        <w:rPr>
          <w:rFonts w:ascii="Times New Roman" w:hAnsi="Times New Roman" w:cs="Times New Roman"/>
          <w:szCs w:val="18"/>
        </w:rPr>
        <w:t xml:space="preserve"> </w:t>
      </w:r>
      <w:r w:rsidR="008A583C">
        <w:rPr>
          <w:rFonts w:ascii="Times New Roman" w:hAnsi="Times New Roman" w:cs="Times New Roman"/>
          <w:szCs w:val="18"/>
        </w:rPr>
        <w:tab/>
      </w:r>
      <w:r w:rsidRPr="008A583C">
        <w:rPr>
          <w:rFonts w:ascii="Times New Roman" w:hAnsi="Times New Roman" w:cs="Times New Roman"/>
          <w:szCs w:val="18"/>
        </w:rPr>
        <w:t>RÉSOLUTION DE LA CONFÉRENCE DIPLOMATIQUE COMPLÉTANT LE TRAITÉ DE SINGAPOUR SUR LE DROIT DES MARQUES ET SON RÈGLEMENT D</w:t>
      </w:r>
      <w:r w:rsidR="003959B3" w:rsidRPr="008A583C">
        <w:rPr>
          <w:rFonts w:ascii="Times New Roman" w:hAnsi="Times New Roman" w:cs="Times New Roman"/>
          <w:szCs w:val="18"/>
        </w:rPr>
        <w:t>’</w:t>
      </w:r>
      <w:r w:rsidRPr="008A583C">
        <w:rPr>
          <w:rFonts w:ascii="Times New Roman" w:hAnsi="Times New Roman" w:cs="Times New Roman"/>
          <w:szCs w:val="18"/>
        </w:rPr>
        <w:t>EXÉCUTION</w:t>
      </w:r>
    </w:p>
    <w:p w14:paraId="0C945CD4" w14:textId="6E2054A8" w:rsidR="00700223" w:rsidRPr="008A583C" w:rsidRDefault="00700223" w:rsidP="008A583C">
      <w:pPr>
        <w:pStyle w:val="FootnoteText"/>
        <w:tabs>
          <w:tab w:val="left" w:pos="567"/>
        </w:tabs>
        <w:ind w:leftChars="257" w:left="565"/>
        <w:rPr>
          <w:rFonts w:ascii="Times New Roman" w:hAnsi="Times New Roman" w:cs="Times New Roman"/>
          <w:szCs w:val="18"/>
        </w:rPr>
      </w:pPr>
      <w:r w:rsidRPr="008A583C">
        <w:rPr>
          <w:rFonts w:ascii="Times New Roman" w:hAnsi="Times New Roman" w:cs="Times New Roman"/>
          <w:szCs w:val="18"/>
        </w:rPr>
        <w:t>“</w:t>
      </w:r>
      <w:r w:rsidRPr="008A583C">
        <w:rPr>
          <w:rFonts w:ascii="Times New Roman" w:hAnsi="Times New Roman" w:cs="Times New Roman"/>
          <w:i/>
          <w:szCs w:val="18"/>
        </w:rPr>
        <w:t xml:space="preserve">2. </w:t>
      </w:r>
      <w:r w:rsidR="00DE1EB8" w:rsidRPr="008A583C">
        <w:rPr>
          <w:rFonts w:ascii="Times New Roman" w:hAnsi="Times New Roman" w:cs="Times New Roman"/>
          <w:i/>
          <w:szCs w:val="18"/>
        </w:rPr>
        <w:t xml:space="preserve"> </w:t>
      </w:r>
      <w:r w:rsidRPr="00F84877">
        <w:rPr>
          <w:rFonts w:ascii="Times New Roman" w:hAnsi="Times New Roman" w:cs="Times New Roman"/>
          <w:i/>
          <w:iCs/>
          <w:szCs w:val="18"/>
        </w:rPr>
        <w:t>Lors de l</w:t>
      </w:r>
      <w:r w:rsidR="003959B3" w:rsidRPr="00F84877">
        <w:rPr>
          <w:rFonts w:ascii="Times New Roman" w:hAnsi="Times New Roman" w:cs="Times New Roman"/>
          <w:i/>
          <w:iCs/>
          <w:szCs w:val="18"/>
        </w:rPr>
        <w:t>’</w:t>
      </w:r>
      <w:r w:rsidRPr="00F84877">
        <w:rPr>
          <w:rFonts w:ascii="Times New Roman" w:hAnsi="Times New Roman" w:cs="Times New Roman"/>
          <w:i/>
          <w:iCs/>
          <w:szCs w:val="18"/>
        </w:rPr>
        <w:t xml:space="preserve">adoption du traité, la conférence diplomatique est convenue que les mots </w:t>
      </w:r>
      <w:r w:rsidR="008A583C" w:rsidRPr="00F84877">
        <w:rPr>
          <w:rFonts w:ascii="Times New Roman" w:hAnsi="Times New Roman" w:cs="Times New Roman"/>
          <w:i/>
          <w:iCs/>
          <w:szCs w:val="18"/>
        </w:rPr>
        <w:t>‘</w:t>
      </w:r>
      <w:r w:rsidRPr="00F84877">
        <w:rPr>
          <w:rFonts w:ascii="Times New Roman" w:hAnsi="Times New Roman" w:cs="Times New Roman"/>
          <w:i/>
          <w:iCs/>
          <w:szCs w:val="18"/>
        </w:rPr>
        <w:t>procédure devant l</w:t>
      </w:r>
      <w:r w:rsidR="003959B3" w:rsidRPr="00F84877">
        <w:rPr>
          <w:rFonts w:ascii="Times New Roman" w:hAnsi="Times New Roman" w:cs="Times New Roman"/>
          <w:i/>
          <w:iCs/>
          <w:szCs w:val="18"/>
        </w:rPr>
        <w:t>’</w:t>
      </w:r>
      <w:r w:rsidRPr="00F84877">
        <w:rPr>
          <w:rFonts w:ascii="Times New Roman" w:hAnsi="Times New Roman" w:cs="Times New Roman"/>
          <w:i/>
          <w:iCs/>
          <w:szCs w:val="18"/>
        </w:rPr>
        <w:t>office</w:t>
      </w:r>
      <w:r w:rsidR="008A583C" w:rsidRPr="00F84877">
        <w:rPr>
          <w:rFonts w:ascii="Times New Roman" w:hAnsi="Times New Roman" w:cs="Times New Roman"/>
          <w:i/>
          <w:iCs/>
          <w:szCs w:val="18"/>
        </w:rPr>
        <w:t>’</w:t>
      </w:r>
      <w:r w:rsidRPr="00F84877">
        <w:rPr>
          <w:rFonts w:ascii="Times New Roman" w:hAnsi="Times New Roman" w:cs="Times New Roman"/>
          <w:i/>
          <w:iCs/>
          <w:szCs w:val="18"/>
        </w:rPr>
        <w:t xml:space="preserve"> à l</w:t>
      </w:r>
      <w:r w:rsidR="003959B3" w:rsidRPr="00F84877">
        <w:rPr>
          <w:rFonts w:ascii="Times New Roman" w:hAnsi="Times New Roman" w:cs="Times New Roman"/>
          <w:i/>
          <w:iCs/>
          <w:szCs w:val="18"/>
        </w:rPr>
        <w:t>’article 1</w:t>
      </w:r>
      <w:r w:rsidRPr="00F84877">
        <w:rPr>
          <w:rFonts w:ascii="Times New Roman" w:hAnsi="Times New Roman" w:cs="Times New Roman"/>
          <w:i/>
          <w:iCs/>
          <w:szCs w:val="18"/>
        </w:rPr>
        <w:t>.viii) ne désigneraient pas les procédures judiciaires engagées en vertu de la législation d</w:t>
      </w:r>
      <w:r w:rsidR="003959B3" w:rsidRPr="00F84877">
        <w:rPr>
          <w:rFonts w:ascii="Times New Roman" w:hAnsi="Times New Roman" w:cs="Times New Roman"/>
          <w:i/>
          <w:iCs/>
          <w:szCs w:val="18"/>
        </w:rPr>
        <w:t>’</w:t>
      </w:r>
      <w:r w:rsidRPr="00F84877">
        <w:rPr>
          <w:rFonts w:ascii="Times New Roman" w:hAnsi="Times New Roman" w:cs="Times New Roman"/>
          <w:i/>
          <w:iCs/>
          <w:szCs w:val="18"/>
        </w:rPr>
        <w:t>une Partie contractante.</w:t>
      </w:r>
      <w:r w:rsidRPr="008A583C">
        <w:rPr>
          <w:rFonts w:ascii="Times New Roman" w:hAnsi="Times New Roman" w:cs="Times New Roman"/>
          <w:szCs w:val="18"/>
        </w:rPr>
        <w:t>”</w:t>
      </w:r>
    </w:p>
  </w:footnote>
  <w:footnote w:id="5">
    <w:p w14:paraId="32B9F0C8" w14:textId="4B6BD746" w:rsidR="00700223" w:rsidRPr="008A583C" w:rsidRDefault="00700223" w:rsidP="00700223">
      <w:pPr>
        <w:pStyle w:val="FootnoteText"/>
        <w:tabs>
          <w:tab w:val="left" w:pos="567"/>
        </w:tabs>
        <w:jc w:val="both"/>
        <w:rPr>
          <w:rFonts w:ascii="Times New Roman" w:hAnsi="Times New Roman" w:cs="Times New Roman"/>
          <w:szCs w:val="18"/>
        </w:rPr>
      </w:pPr>
      <w:r w:rsidRPr="008A583C">
        <w:rPr>
          <w:rStyle w:val="FootnoteReference"/>
          <w:rFonts w:ascii="Times New Roman" w:hAnsi="Times New Roman" w:cs="Times New Roman"/>
          <w:szCs w:val="18"/>
        </w:rPr>
        <w:footnoteRef/>
      </w:r>
      <w:r w:rsidRPr="008A583C">
        <w:rPr>
          <w:rFonts w:ascii="Times New Roman" w:hAnsi="Times New Roman" w:cs="Times New Roman"/>
          <w:szCs w:val="18"/>
        </w:rPr>
        <w:t xml:space="preserve"> </w:t>
      </w:r>
      <w:r w:rsidR="00F84877">
        <w:rPr>
          <w:rFonts w:ascii="Times New Roman" w:hAnsi="Times New Roman" w:cs="Times New Roman"/>
          <w:szCs w:val="18"/>
        </w:rPr>
        <w:tab/>
      </w:r>
      <w:r w:rsidRPr="008A583C">
        <w:rPr>
          <w:rFonts w:ascii="Times New Roman" w:hAnsi="Times New Roman" w:cs="Times New Roman"/>
          <w:szCs w:val="18"/>
        </w:rPr>
        <w:t xml:space="preserve">Des informations sur les systèmes de dessins et modèles connexes dans certains pays sont également disponibles dans le Guide des utilisateurs du système de </w:t>
      </w:r>
      <w:r w:rsidR="003959B3" w:rsidRPr="008A583C">
        <w:rPr>
          <w:rFonts w:ascii="Times New Roman" w:hAnsi="Times New Roman" w:cs="Times New Roman"/>
          <w:szCs w:val="18"/>
        </w:rPr>
        <w:t>La Haye</w:t>
      </w:r>
      <w:r w:rsidRPr="008A583C">
        <w:rPr>
          <w:rFonts w:ascii="Times New Roman" w:hAnsi="Times New Roman" w:cs="Times New Roman"/>
          <w:szCs w:val="18"/>
        </w:rPr>
        <w:t>.</w:t>
      </w:r>
    </w:p>
    <w:p w14:paraId="5C23E2EE" w14:textId="50DABFCD" w:rsidR="003959B3" w:rsidRPr="008A583C" w:rsidRDefault="0017665A" w:rsidP="00F84877">
      <w:pPr>
        <w:pStyle w:val="FootnoteText"/>
        <w:tabs>
          <w:tab w:val="left" w:pos="567"/>
        </w:tabs>
        <w:ind w:leftChars="257" w:left="565"/>
        <w:rPr>
          <w:rFonts w:ascii="Times New Roman" w:hAnsi="Times New Roman" w:cs="Times New Roman"/>
          <w:szCs w:val="18"/>
        </w:rPr>
      </w:pPr>
      <w:hyperlink r:id="rId2" w:anchor="r16" w:history="1">
        <w:r w:rsidR="00700223" w:rsidRPr="008A583C">
          <w:rPr>
            <w:rStyle w:val="Hyperlink"/>
            <w:rFonts w:ascii="Times New Roman" w:hAnsi="Times New Roman" w:cs="Times New Roman"/>
            <w:szCs w:val="18"/>
          </w:rPr>
          <w:t>https://www.wipo.int/hague/en/guide/ia.html#r16</w:t>
        </w:r>
      </w:hyperlink>
    </w:p>
    <w:p w14:paraId="7C97CFDE" w14:textId="423ABDF1" w:rsidR="00700223" w:rsidRPr="008A583C" w:rsidRDefault="00700223" w:rsidP="00F84877">
      <w:pPr>
        <w:pStyle w:val="FootnoteText"/>
        <w:ind w:leftChars="257" w:left="565"/>
        <w:rPr>
          <w:rFonts w:ascii="Times New Roman" w:hAnsi="Times New Roman" w:cs="Times New Roman"/>
          <w:szCs w:val="18"/>
        </w:rPr>
      </w:pPr>
      <w:r w:rsidRPr="008A583C">
        <w:rPr>
          <w:rFonts w:ascii="Times New Roman" w:hAnsi="Times New Roman" w:cs="Times New Roman"/>
          <w:szCs w:val="18"/>
        </w:rPr>
        <w:t>Déposer une demande internationale auprès du Bureau international</w:t>
      </w:r>
      <w:r w:rsidR="003959B3" w:rsidRPr="008A583C">
        <w:rPr>
          <w:rFonts w:ascii="Times New Roman" w:hAnsi="Times New Roman" w:cs="Times New Roman"/>
          <w:szCs w:val="18"/>
        </w:rPr>
        <w:t xml:space="preserve"> – </w:t>
      </w:r>
      <w:proofErr w:type="spellStart"/>
      <w:r w:rsidRPr="008A583C">
        <w:rPr>
          <w:rFonts w:ascii="Times New Roman" w:hAnsi="Times New Roman" w:cs="Times New Roman"/>
          <w:szCs w:val="18"/>
        </w:rPr>
        <w:t>eHague</w:t>
      </w:r>
      <w:proofErr w:type="spellEnd"/>
      <w:r w:rsidRPr="008A583C">
        <w:rPr>
          <w:rFonts w:ascii="Times New Roman" w:hAnsi="Times New Roman" w:cs="Times New Roman"/>
          <w:szCs w:val="18"/>
        </w:rPr>
        <w:t xml:space="preserve"> ou formulaire</w:t>
      </w:r>
      <w:r w:rsidR="00BC16D5" w:rsidRPr="008A583C">
        <w:rPr>
          <w:rFonts w:ascii="Times New Roman" w:hAnsi="Times New Roman" w:cs="Times New Roman"/>
          <w:szCs w:val="18"/>
        </w:rPr>
        <w:t> </w:t>
      </w:r>
      <w:r w:rsidRPr="008A583C">
        <w:rPr>
          <w:rFonts w:ascii="Times New Roman" w:hAnsi="Times New Roman" w:cs="Times New Roman"/>
          <w:szCs w:val="18"/>
        </w:rPr>
        <w:t>DM/1</w:t>
      </w:r>
    </w:p>
    <w:p w14:paraId="670E8350" w14:textId="2737C269" w:rsidR="00700223" w:rsidRPr="008A583C" w:rsidRDefault="00700223" w:rsidP="00F84877">
      <w:pPr>
        <w:pStyle w:val="FootnoteText"/>
        <w:ind w:leftChars="257" w:left="565"/>
        <w:rPr>
          <w:rFonts w:ascii="Times New Roman" w:hAnsi="Times New Roman" w:cs="Times New Roman"/>
          <w:szCs w:val="18"/>
        </w:rPr>
      </w:pPr>
      <w:r w:rsidRPr="008A583C">
        <w:rPr>
          <w:rFonts w:ascii="Times New Roman" w:hAnsi="Times New Roman" w:cs="Times New Roman"/>
          <w:szCs w:val="18"/>
        </w:rPr>
        <w:t>Rubrique</w:t>
      </w:r>
      <w:r w:rsidR="00BC16D5" w:rsidRPr="008A583C">
        <w:rPr>
          <w:rFonts w:ascii="Times New Roman" w:hAnsi="Times New Roman" w:cs="Times New Roman"/>
          <w:szCs w:val="18"/>
        </w:rPr>
        <w:t> </w:t>
      </w:r>
      <w:r w:rsidRPr="008A583C">
        <w:rPr>
          <w:rFonts w:ascii="Times New Roman" w:hAnsi="Times New Roman" w:cs="Times New Roman"/>
          <w:szCs w:val="18"/>
        </w:rPr>
        <w:t>16, Japon et République de Corée</w:t>
      </w:r>
      <w:r w:rsidR="003959B3" w:rsidRPr="008A583C">
        <w:rPr>
          <w:rFonts w:ascii="Times New Roman" w:hAnsi="Times New Roman" w:cs="Times New Roman"/>
          <w:szCs w:val="18"/>
        </w:rPr>
        <w:t> :</w:t>
      </w:r>
      <w:r w:rsidRPr="008A583C">
        <w:rPr>
          <w:rFonts w:ascii="Times New Roman" w:hAnsi="Times New Roman" w:cs="Times New Roman"/>
          <w:szCs w:val="18"/>
        </w:rPr>
        <w:t xml:space="preserve"> Dessins et modèles principaux et connexes</w:t>
      </w:r>
    </w:p>
  </w:footnote>
  <w:footnote w:id="6">
    <w:p w14:paraId="32D08415" w14:textId="2A9193D5" w:rsidR="00700223" w:rsidRPr="008A583C" w:rsidRDefault="00700223" w:rsidP="00700223">
      <w:pPr>
        <w:pStyle w:val="FootnoteText"/>
        <w:tabs>
          <w:tab w:val="left" w:pos="567"/>
        </w:tabs>
        <w:jc w:val="both"/>
        <w:rPr>
          <w:rFonts w:ascii="Times New Roman" w:hAnsi="Times New Roman" w:cs="Times New Roman"/>
          <w:szCs w:val="18"/>
        </w:rPr>
      </w:pPr>
      <w:r w:rsidRPr="008A583C">
        <w:rPr>
          <w:rStyle w:val="FootnoteReference"/>
          <w:rFonts w:ascii="Times New Roman" w:hAnsi="Times New Roman" w:cs="Times New Roman"/>
          <w:szCs w:val="18"/>
        </w:rPr>
        <w:footnoteRef/>
      </w:r>
      <w:r w:rsidR="00F84877">
        <w:rPr>
          <w:rFonts w:ascii="Times New Roman" w:hAnsi="Times New Roman" w:cs="Times New Roman"/>
          <w:szCs w:val="18"/>
        </w:rPr>
        <w:t xml:space="preserve"> </w:t>
      </w:r>
      <w:r w:rsidR="00F84877">
        <w:rPr>
          <w:rFonts w:ascii="Times New Roman" w:hAnsi="Times New Roman" w:cs="Times New Roman"/>
          <w:szCs w:val="18"/>
        </w:rPr>
        <w:tab/>
      </w:r>
      <w:r w:rsidRPr="008A583C">
        <w:rPr>
          <w:rFonts w:ascii="Times New Roman" w:hAnsi="Times New Roman" w:cs="Times New Roman"/>
          <w:szCs w:val="18"/>
        </w:rPr>
        <w:t>Les créateurs créent souvent, simultanément ou par étapes, plusieurs variantes d</w:t>
      </w:r>
      <w:r w:rsidR="003959B3" w:rsidRPr="008A583C">
        <w:rPr>
          <w:rFonts w:ascii="Times New Roman" w:hAnsi="Times New Roman" w:cs="Times New Roman"/>
          <w:szCs w:val="18"/>
        </w:rPr>
        <w:t>’</w:t>
      </w:r>
      <w:r w:rsidRPr="008A583C">
        <w:rPr>
          <w:rFonts w:ascii="Times New Roman" w:hAnsi="Times New Roman" w:cs="Times New Roman"/>
          <w:szCs w:val="18"/>
        </w:rPr>
        <w:t>un dessin ou modèle et, dans ce cas, les créations du créateur ne peuvent pas bénéficier d</w:t>
      </w:r>
      <w:r w:rsidR="003959B3" w:rsidRPr="008A583C">
        <w:rPr>
          <w:rFonts w:ascii="Times New Roman" w:hAnsi="Times New Roman" w:cs="Times New Roman"/>
          <w:szCs w:val="18"/>
        </w:rPr>
        <w:t>’</w:t>
      </w:r>
      <w:r w:rsidRPr="008A583C">
        <w:rPr>
          <w:rFonts w:ascii="Times New Roman" w:hAnsi="Times New Roman" w:cs="Times New Roman"/>
          <w:szCs w:val="18"/>
        </w:rPr>
        <w:t>une protection efficace si le deuxième dessin ou modèle, et les dessins et modèles suivants, ne sont pas protégés en raison de l</w:t>
      </w:r>
      <w:r w:rsidR="003959B3" w:rsidRPr="008A583C">
        <w:rPr>
          <w:rFonts w:ascii="Times New Roman" w:hAnsi="Times New Roman" w:cs="Times New Roman"/>
          <w:szCs w:val="18"/>
        </w:rPr>
        <w:t>’</w:t>
      </w:r>
      <w:r w:rsidRPr="008A583C">
        <w:rPr>
          <w:rFonts w:ascii="Times New Roman" w:hAnsi="Times New Roman" w:cs="Times New Roman"/>
          <w:szCs w:val="18"/>
        </w:rPr>
        <w:t xml:space="preserve">interdiction des “doubles brevets”. </w:t>
      </w:r>
      <w:r w:rsidR="00DE1EB8" w:rsidRPr="008A583C">
        <w:rPr>
          <w:rFonts w:ascii="Times New Roman" w:hAnsi="Times New Roman" w:cs="Times New Roman"/>
          <w:szCs w:val="18"/>
        </w:rPr>
        <w:t xml:space="preserve"> </w:t>
      </w:r>
      <w:r w:rsidRPr="008A583C">
        <w:rPr>
          <w:rFonts w:ascii="Times New Roman" w:hAnsi="Times New Roman" w:cs="Times New Roman"/>
          <w:szCs w:val="18"/>
        </w:rPr>
        <w:t>C</w:t>
      </w:r>
      <w:r w:rsidR="003959B3" w:rsidRPr="008A583C">
        <w:rPr>
          <w:rFonts w:ascii="Times New Roman" w:hAnsi="Times New Roman" w:cs="Times New Roman"/>
          <w:szCs w:val="18"/>
        </w:rPr>
        <w:t>’</w:t>
      </w:r>
      <w:r w:rsidRPr="008A583C">
        <w:rPr>
          <w:rFonts w:ascii="Times New Roman" w:hAnsi="Times New Roman" w:cs="Times New Roman"/>
          <w:szCs w:val="18"/>
        </w:rPr>
        <w:t>est pourquoi le Japon prévoit un système de dessin ou modèle connexe pour permettre l</w:t>
      </w:r>
      <w:r w:rsidR="003959B3" w:rsidRPr="008A583C">
        <w:rPr>
          <w:rFonts w:ascii="Times New Roman" w:hAnsi="Times New Roman" w:cs="Times New Roman"/>
          <w:szCs w:val="18"/>
        </w:rPr>
        <w:t>’</w:t>
      </w:r>
      <w:r w:rsidRPr="008A583C">
        <w:rPr>
          <w:rFonts w:ascii="Times New Roman" w:hAnsi="Times New Roman" w:cs="Times New Roman"/>
          <w:szCs w:val="18"/>
        </w:rPr>
        <w:t>enregistrement de ces variantes et éviter les effets négatifs de l</w:t>
      </w:r>
      <w:r w:rsidR="003959B3" w:rsidRPr="008A583C">
        <w:rPr>
          <w:rFonts w:ascii="Times New Roman" w:hAnsi="Times New Roman" w:cs="Times New Roman"/>
          <w:szCs w:val="18"/>
        </w:rPr>
        <w:t>’</w:t>
      </w:r>
      <w:r w:rsidRPr="008A583C">
        <w:rPr>
          <w:rFonts w:ascii="Times New Roman" w:hAnsi="Times New Roman" w:cs="Times New Roman"/>
          <w:szCs w:val="18"/>
        </w:rPr>
        <w:t>interdiction des “doubles brevets”, sous réserve de certaines restrictions.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7E250" w14:textId="77777777" w:rsidR="00700223" w:rsidRDefault="00700223" w:rsidP="00477D6B">
    <w:pPr>
      <w:jc w:val="right"/>
    </w:pPr>
    <w:r>
      <w:t>DLT/DC/9</w:t>
    </w:r>
  </w:p>
  <w:p w14:paraId="2061D1E2" w14:textId="77777777" w:rsidR="00700223" w:rsidRDefault="00700223" w:rsidP="00477D6B">
    <w:pPr>
      <w:jc w:val="right"/>
    </w:pPr>
    <w:r>
      <w:t>Annexe, page </w:t>
    </w:r>
    <w:r>
      <w:fldChar w:fldCharType="begin"/>
    </w:r>
    <w:r>
      <w:instrText xml:space="preserve"> PAGE  \* MERGEFORMAT </w:instrText>
    </w:r>
    <w:r>
      <w:fldChar w:fldCharType="separate"/>
    </w:r>
    <w:r>
      <w:t>2</w:t>
    </w:r>
    <w:r>
      <w:fldChar w:fldCharType="end"/>
    </w:r>
  </w:p>
  <w:p w14:paraId="63BD9521" w14:textId="77777777" w:rsidR="00700223" w:rsidRDefault="00700223" w:rsidP="00477D6B">
    <w:pPr>
      <w:jc w:val="right"/>
    </w:pPr>
  </w:p>
  <w:p w14:paraId="7B0EFE82" w14:textId="77777777" w:rsidR="00700223" w:rsidRDefault="0070022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AA1AC" w14:textId="06D59BEA" w:rsidR="00700223" w:rsidRDefault="00700223" w:rsidP="00700223">
    <w:pPr>
      <w:pStyle w:val="Header"/>
      <w:tabs>
        <w:tab w:val="clear" w:pos="4536"/>
        <w:tab w:val="clear" w:pos="9072"/>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7ED60" w14:textId="77777777" w:rsidR="00F16975" w:rsidRDefault="00700223" w:rsidP="00477D6B">
    <w:pPr>
      <w:jc w:val="right"/>
    </w:pPr>
    <w:bookmarkStart w:id="5" w:name="Code2"/>
    <w:bookmarkEnd w:id="5"/>
    <w:r>
      <w:t>DLT/DC/9</w:t>
    </w:r>
  </w:p>
  <w:p w14:paraId="6A22578D" w14:textId="5389F57F" w:rsidR="004F4E31" w:rsidRDefault="00700223" w:rsidP="00700223">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7C946" w14:textId="1BF2D59F" w:rsidR="00700223" w:rsidRDefault="00700223" w:rsidP="00700223">
    <w:pPr>
      <w:pStyle w:val="Header"/>
      <w:tabs>
        <w:tab w:val="clear" w:pos="4536"/>
        <w:tab w:val="clear" w:pos="9072"/>
      </w:tabs>
      <w:jc w:val="right"/>
      <w:rPr>
        <w:lang w:val="fr-FR"/>
      </w:rPr>
    </w:pPr>
    <w:r>
      <w:rPr>
        <w:lang w:val="fr-FR"/>
      </w:rPr>
      <w:t>DLT/DC/9</w:t>
    </w:r>
  </w:p>
  <w:p w14:paraId="081E3486" w14:textId="5E03AFDF" w:rsidR="00700223" w:rsidRPr="00700223" w:rsidRDefault="00700223" w:rsidP="00700223">
    <w:pPr>
      <w:pStyle w:val="Header"/>
      <w:tabs>
        <w:tab w:val="clear" w:pos="4536"/>
        <w:tab w:val="clear" w:pos="9072"/>
      </w:tabs>
      <w:spacing w:after="48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4238924">
    <w:abstractNumId w:val="2"/>
  </w:num>
  <w:num w:numId="2" w16cid:durableId="302345202">
    <w:abstractNumId w:val="4"/>
  </w:num>
  <w:num w:numId="3" w16cid:durableId="2100177298">
    <w:abstractNumId w:val="0"/>
  </w:num>
  <w:num w:numId="4" w16cid:durableId="800996051">
    <w:abstractNumId w:val="5"/>
  </w:num>
  <w:num w:numId="5" w16cid:durableId="1819884291">
    <w:abstractNumId w:val="1"/>
  </w:num>
  <w:num w:numId="6" w16cid:durableId="875629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23"/>
    <w:rsid w:val="00011B7D"/>
    <w:rsid w:val="00075432"/>
    <w:rsid w:val="000F5E56"/>
    <w:rsid w:val="001362EE"/>
    <w:rsid w:val="0017665A"/>
    <w:rsid w:val="001832A6"/>
    <w:rsid w:val="00195C6E"/>
    <w:rsid w:val="001B266A"/>
    <w:rsid w:val="001D3D56"/>
    <w:rsid w:val="00237BE2"/>
    <w:rsid w:val="00240654"/>
    <w:rsid w:val="002634C4"/>
    <w:rsid w:val="00265E59"/>
    <w:rsid w:val="002D4918"/>
    <w:rsid w:val="002E4D1A"/>
    <w:rsid w:val="002F16BC"/>
    <w:rsid w:val="002F4E68"/>
    <w:rsid w:val="00315FCA"/>
    <w:rsid w:val="003845C1"/>
    <w:rsid w:val="003959B3"/>
    <w:rsid w:val="003A1BCD"/>
    <w:rsid w:val="004008A2"/>
    <w:rsid w:val="004025DF"/>
    <w:rsid w:val="0042348E"/>
    <w:rsid w:val="00423E3E"/>
    <w:rsid w:val="00427AF4"/>
    <w:rsid w:val="004647DA"/>
    <w:rsid w:val="00477D6B"/>
    <w:rsid w:val="004D6471"/>
    <w:rsid w:val="004F4E31"/>
    <w:rsid w:val="00525B63"/>
    <w:rsid w:val="00547476"/>
    <w:rsid w:val="00561DB8"/>
    <w:rsid w:val="00567A4C"/>
    <w:rsid w:val="005E6516"/>
    <w:rsid w:val="00605827"/>
    <w:rsid w:val="00676936"/>
    <w:rsid w:val="006B0DB5"/>
    <w:rsid w:val="006E4243"/>
    <w:rsid w:val="00700223"/>
    <w:rsid w:val="007461F1"/>
    <w:rsid w:val="007B2215"/>
    <w:rsid w:val="007D6961"/>
    <w:rsid w:val="007F07CB"/>
    <w:rsid w:val="00810CEF"/>
    <w:rsid w:val="0081208D"/>
    <w:rsid w:val="0081397E"/>
    <w:rsid w:val="00825E46"/>
    <w:rsid w:val="008264F6"/>
    <w:rsid w:val="00842A13"/>
    <w:rsid w:val="00847705"/>
    <w:rsid w:val="008A583C"/>
    <w:rsid w:val="008B2CC1"/>
    <w:rsid w:val="008E7930"/>
    <w:rsid w:val="0090731E"/>
    <w:rsid w:val="00956B11"/>
    <w:rsid w:val="00966A22"/>
    <w:rsid w:val="00974CD6"/>
    <w:rsid w:val="009848B9"/>
    <w:rsid w:val="009D30E6"/>
    <w:rsid w:val="009E3F6F"/>
    <w:rsid w:val="009F499F"/>
    <w:rsid w:val="009F6F74"/>
    <w:rsid w:val="00A02BD3"/>
    <w:rsid w:val="00A10318"/>
    <w:rsid w:val="00AA1F20"/>
    <w:rsid w:val="00AC0AE4"/>
    <w:rsid w:val="00AD61DB"/>
    <w:rsid w:val="00B42E71"/>
    <w:rsid w:val="00B438E7"/>
    <w:rsid w:val="00B87BCF"/>
    <w:rsid w:val="00BA62D4"/>
    <w:rsid w:val="00BB1177"/>
    <w:rsid w:val="00BC16D5"/>
    <w:rsid w:val="00C3552C"/>
    <w:rsid w:val="00C40E15"/>
    <w:rsid w:val="00C41570"/>
    <w:rsid w:val="00C664C8"/>
    <w:rsid w:val="00C76A79"/>
    <w:rsid w:val="00CA15F5"/>
    <w:rsid w:val="00CF0460"/>
    <w:rsid w:val="00D45252"/>
    <w:rsid w:val="00D71B4D"/>
    <w:rsid w:val="00D75C1E"/>
    <w:rsid w:val="00D93D55"/>
    <w:rsid w:val="00DB0349"/>
    <w:rsid w:val="00DC289C"/>
    <w:rsid w:val="00DD6A16"/>
    <w:rsid w:val="00DE1EB8"/>
    <w:rsid w:val="00E0091A"/>
    <w:rsid w:val="00E203AA"/>
    <w:rsid w:val="00E42B11"/>
    <w:rsid w:val="00E527A5"/>
    <w:rsid w:val="00E76456"/>
    <w:rsid w:val="00EE71CB"/>
    <w:rsid w:val="00F16975"/>
    <w:rsid w:val="00F373C9"/>
    <w:rsid w:val="00F66152"/>
    <w:rsid w:val="00F66968"/>
    <w:rsid w:val="00F8487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BE573"/>
  <w15:docId w15:val="{3C259D32-0857-4993-B1E2-B4C90AC6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700223"/>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700223"/>
    <w:rPr>
      <w:rFonts w:ascii="Arial" w:eastAsia="SimSun" w:hAnsi="Arial" w:cs="Arial"/>
      <w:sz w:val="22"/>
      <w:lang w:eastAsia="zh-CN"/>
    </w:rPr>
  </w:style>
  <w:style w:type="character" w:styleId="Hyperlink">
    <w:name w:val="Hyperlink"/>
    <w:basedOn w:val="DefaultParagraphFont"/>
    <w:uiPriority w:val="99"/>
    <w:unhideWhenUsed/>
    <w:rsid w:val="00700223"/>
    <w:rPr>
      <w:color w:val="0000FF"/>
      <w:u w:val="single"/>
    </w:rPr>
  </w:style>
  <w:style w:type="character" w:customStyle="1" w:styleId="FootnoteTextChar">
    <w:name w:val="Footnote Text Char"/>
    <w:basedOn w:val="DefaultParagraphFont"/>
    <w:link w:val="FootnoteText"/>
    <w:uiPriority w:val="99"/>
    <w:rsid w:val="00700223"/>
    <w:rPr>
      <w:rFonts w:ascii="Arial" w:eastAsia="SimSun" w:hAnsi="Arial" w:cs="Arial"/>
      <w:sz w:val="18"/>
      <w:lang w:eastAsia="zh-CN"/>
    </w:rPr>
  </w:style>
  <w:style w:type="character" w:styleId="FootnoteReference">
    <w:name w:val="footnote reference"/>
    <w:basedOn w:val="DefaultParagraphFont"/>
    <w:uiPriority w:val="99"/>
    <w:semiHidden/>
    <w:unhideWhenUsed/>
    <w:rsid w:val="00700223"/>
    <w:rPr>
      <w:vertAlign w:val="superscript"/>
    </w:rPr>
  </w:style>
  <w:style w:type="paragraph" w:customStyle="1" w:styleId="TitleofDoc">
    <w:name w:val="Title of Doc"/>
    <w:basedOn w:val="Normal"/>
    <w:rsid w:val="00700223"/>
    <w:pPr>
      <w:spacing w:before="1200"/>
      <w:jc w:val="center"/>
    </w:pPr>
    <w:rPr>
      <w:rFonts w:ascii="Times New Roman" w:eastAsia="Yu Mincho" w:hAnsi="Times New Roman" w:cs="Times New Roman"/>
      <w:caps/>
      <w:sz w:val="24"/>
      <w:lang w:val="fr-FR" w:eastAsia="ja-JP"/>
    </w:rPr>
  </w:style>
  <w:style w:type="paragraph" w:customStyle="1" w:styleId="Endofdocument">
    <w:name w:val="End of document"/>
    <w:basedOn w:val="Normal"/>
    <w:rsid w:val="00700223"/>
    <w:pPr>
      <w:ind w:left="4536"/>
      <w:jc w:val="center"/>
    </w:pPr>
    <w:rPr>
      <w:rFonts w:ascii="Times New Roman" w:eastAsia="Yu Mincho" w:hAnsi="Times New Roman" w:cs="Times New Roman"/>
      <w:sz w:val="24"/>
      <w:lang w:val="fr-FR" w:eastAsia="ja-JP"/>
    </w:rPr>
  </w:style>
  <w:style w:type="character" w:styleId="FollowedHyperlink">
    <w:name w:val="FollowedHyperlink"/>
    <w:basedOn w:val="DefaultParagraphFont"/>
    <w:semiHidden/>
    <w:unhideWhenUsed/>
    <w:rsid w:val="00E42B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hague/fr/guide/ia.html" TargetMode="External"/><Relationship Id="rId1" Type="http://schemas.openxmlformats.org/officeDocument/2006/relationships/hyperlink" Target="https://www.wipo.int/export/sites/www/treaties/en/docs/prep-docs/2000_june_Geneva_327-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6C66D-FD9E-4FA2-ABB0-CE34F811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(F)</Template>
  <TotalTime>34</TotalTime>
  <Pages>4</Pages>
  <Words>770</Words>
  <Characters>4262</Characters>
  <Application>Microsoft Office Word</Application>
  <DocSecurity>0</DocSecurity>
  <Lines>118</Lines>
  <Paragraphs>71</Paragraphs>
  <ScaleCrop>false</ScaleCrop>
  <HeadingPairs>
    <vt:vector size="2" baseType="variant">
      <vt:variant>
        <vt:lpstr>Title</vt:lpstr>
      </vt:variant>
      <vt:variant>
        <vt:i4>1</vt:i4>
      </vt:variant>
    </vt:vector>
  </HeadingPairs>
  <TitlesOfParts>
    <vt:vector size="1" baseType="lpstr">
      <vt:lpstr>DLT/DC/9</vt:lpstr>
    </vt:vector>
  </TitlesOfParts>
  <Company>WIPO</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DLT/DC/9</dc:title>
  <dc:creator>OLIVIÉ Karen</dc:creator>
  <cp:keywords>FOR OFFICIAL USE ONLY</cp:keywords>
  <cp:lastModifiedBy>AHADI Ahmad</cp:lastModifiedBy>
  <cp:revision>10</cp:revision>
  <cp:lastPrinted>2024-11-06T10:30:00Z</cp:lastPrinted>
  <dcterms:created xsi:type="dcterms:W3CDTF">2024-10-31T07:25:00Z</dcterms:created>
  <dcterms:modified xsi:type="dcterms:W3CDTF">2024-11-06T10:30:00Z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