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49572" w14:textId="77777777" w:rsidR="008B2CC1" w:rsidRPr="00231F2D" w:rsidRDefault="00DB0349" w:rsidP="00304E7C">
      <w:pPr>
        <w:spacing w:after="120"/>
        <w:jc w:val="right"/>
        <w:rPr>
          <w:lang w:val="fr-FR"/>
        </w:rPr>
      </w:pPr>
      <w:r w:rsidRPr="00231F2D">
        <w:rPr>
          <w:noProof/>
          <w:lang w:val="fr-FR" w:eastAsia="en-US"/>
        </w:rPr>
        <w:drawing>
          <wp:inline distT="0" distB="0" distL="0" distR="0" wp14:anchorId="271B330B" wp14:editId="5981F527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231F2D">
        <w:rPr>
          <w:rFonts w:ascii="Arial Black" w:hAnsi="Arial Black"/>
          <w:caps/>
          <w:noProof/>
          <w:sz w:val="15"/>
          <w:szCs w:val="15"/>
          <w:lang w:val="fr-FR" w:eastAsia="en-US"/>
        </w:rPr>
        <mc:AlternateContent>
          <mc:Choice Requires="wps">
            <w:drawing>
              <wp:inline distT="0" distB="0" distL="0" distR="0" wp14:anchorId="69A6AFEF" wp14:editId="3AB84AB4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E46577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1DE62E01" w14:textId="77777777" w:rsidR="008B2CC1" w:rsidRPr="00231F2D" w:rsidRDefault="00825E46" w:rsidP="00304E7C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231F2D">
        <w:rPr>
          <w:rFonts w:ascii="Arial Black" w:hAnsi="Arial Black"/>
          <w:caps/>
          <w:sz w:val="15"/>
          <w:lang w:val="fr-FR"/>
        </w:rPr>
        <w:t>DLT/DC</w:t>
      </w:r>
      <w:r w:rsidR="00F66968" w:rsidRPr="00231F2D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r w:rsidR="00EA1DDD" w:rsidRPr="00231F2D">
        <w:rPr>
          <w:rFonts w:ascii="Arial Black" w:hAnsi="Arial Black"/>
          <w:caps/>
          <w:sz w:val="15"/>
          <w:szCs w:val="15"/>
          <w:lang w:val="fr-FR"/>
        </w:rPr>
        <w:t>10</w:t>
      </w:r>
    </w:p>
    <w:bookmarkEnd w:id="0"/>
    <w:p w14:paraId="227F8BF2" w14:textId="597C16A4" w:rsidR="008B2CC1" w:rsidRPr="00231F2D" w:rsidRDefault="00DB0349" w:rsidP="00304E7C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231F2D">
        <w:rPr>
          <w:rFonts w:ascii="Arial Black" w:hAnsi="Arial Black"/>
          <w:caps/>
          <w:sz w:val="15"/>
          <w:szCs w:val="15"/>
          <w:lang w:val="fr-FR"/>
        </w:rPr>
        <w:t>Original</w:t>
      </w:r>
      <w:r w:rsidR="00BD6A39" w:rsidRPr="00231F2D">
        <w:rPr>
          <w:rFonts w:ascii="Arial Black" w:hAnsi="Arial Black"/>
          <w:caps/>
          <w:sz w:val="15"/>
          <w:szCs w:val="15"/>
          <w:lang w:val="fr-FR"/>
        </w:rPr>
        <w:t> :</w:t>
      </w:r>
      <w:r w:rsidRPr="00231F2D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EA1DDD" w:rsidRPr="00231F2D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12288381" w14:textId="4F916DE7" w:rsidR="008B2CC1" w:rsidRPr="00231F2D" w:rsidRDefault="00DB0349" w:rsidP="00304E7C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231F2D">
        <w:rPr>
          <w:rFonts w:ascii="Arial Black" w:hAnsi="Arial Black"/>
          <w:caps/>
          <w:sz w:val="15"/>
          <w:szCs w:val="15"/>
          <w:lang w:val="fr-FR"/>
        </w:rPr>
        <w:t>date</w:t>
      </w:r>
      <w:r w:rsidR="00BD6A39" w:rsidRPr="00231F2D">
        <w:rPr>
          <w:rFonts w:ascii="Arial Black" w:hAnsi="Arial Black"/>
          <w:caps/>
          <w:sz w:val="15"/>
          <w:szCs w:val="15"/>
          <w:lang w:val="fr-FR"/>
        </w:rPr>
        <w:t> :</w:t>
      </w:r>
      <w:r w:rsidRPr="00231F2D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EA1DDD" w:rsidRPr="00231F2D">
        <w:rPr>
          <w:rFonts w:ascii="Arial Black" w:hAnsi="Arial Black"/>
          <w:caps/>
          <w:sz w:val="15"/>
          <w:szCs w:val="15"/>
          <w:lang w:val="fr-FR"/>
        </w:rPr>
        <w:t>11 novembre 2024</w:t>
      </w:r>
    </w:p>
    <w:bookmarkEnd w:id="2"/>
    <w:p w14:paraId="3749B55E" w14:textId="6B9C55A3" w:rsidR="00C40E15" w:rsidRPr="00231F2D" w:rsidRDefault="00825E46" w:rsidP="00304E7C">
      <w:pPr>
        <w:spacing w:after="600"/>
        <w:rPr>
          <w:b/>
          <w:sz w:val="28"/>
          <w:szCs w:val="28"/>
          <w:lang w:val="fr-FR"/>
        </w:rPr>
      </w:pPr>
      <w:r w:rsidRPr="00231F2D">
        <w:rPr>
          <w:b/>
          <w:sz w:val="28"/>
          <w:szCs w:val="28"/>
          <w:lang w:val="fr-FR"/>
        </w:rPr>
        <w:t xml:space="preserve">Conférence diplomatique </w:t>
      </w:r>
      <w:r w:rsidR="00B42E71" w:rsidRPr="00231F2D">
        <w:rPr>
          <w:b/>
          <w:sz w:val="28"/>
          <w:szCs w:val="28"/>
          <w:lang w:val="fr-FR"/>
        </w:rPr>
        <w:t xml:space="preserve">pour </w:t>
      </w:r>
      <w:r w:rsidRPr="00231F2D">
        <w:rPr>
          <w:b/>
          <w:sz w:val="28"/>
          <w:szCs w:val="28"/>
          <w:lang w:val="fr-FR"/>
        </w:rPr>
        <w:t>la conclusion et l</w:t>
      </w:r>
      <w:r w:rsidR="00BD6A39" w:rsidRPr="00231F2D">
        <w:rPr>
          <w:b/>
          <w:sz w:val="28"/>
          <w:szCs w:val="28"/>
          <w:lang w:val="fr-FR"/>
        </w:rPr>
        <w:t>’</w:t>
      </w:r>
      <w:r w:rsidRPr="00231F2D">
        <w:rPr>
          <w:b/>
          <w:sz w:val="28"/>
          <w:szCs w:val="28"/>
          <w:lang w:val="fr-FR"/>
        </w:rPr>
        <w:t>adoption d</w:t>
      </w:r>
      <w:r w:rsidR="00BD6A39" w:rsidRPr="00231F2D">
        <w:rPr>
          <w:b/>
          <w:sz w:val="28"/>
          <w:szCs w:val="28"/>
          <w:lang w:val="fr-FR"/>
        </w:rPr>
        <w:t>’</w:t>
      </w:r>
      <w:r w:rsidRPr="00231F2D">
        <w:rPr>
          <w:b/>
          <w:sz w:val="28"/>
          <w:szCs w:val="28"/>
          <w:lang w:val="fr-FR"/>
        </w:rPr>
        <w:t>un traité sur le droit des dessins et modèles (DLT)</w:t>
      </w:r>
    </w:p>
    <w:p w14:paraId="21BFB842" w14:textId="7CDB7C3F" w:rsidR="008B2CC1" w:rsidRPr="00231F2D" w:rsidRDefault="00825E46" w:rsidP="00304E7C">
      <w:pPr>
        <w:spacing w:after="720"/>
        <w:rPr>
          <w:b/>
          <w:sz w:val="24"/>
          <w:szCs w:val="24"/>
          <w:lang w:val="fr-FR"/>
        </w:rPr>
      </w:pPr>
      <w:r w:rsidRPr="00231F2D">
        <w:rPr>
          <w:b/>
          <w:sz w:val="24"/>
          <w:szCs w:val="24"/>
          <w:lang w:val="fr-FR"/>
        </w:rPr>
        <w:t>Riyad, 11 – 2</w:t>
      </w:r>
      <w:r w:rsidR="00BD6A39" w:rsidRPr="00231F2D">
        <w:rPr>
          <w:b/>
          <w:sz w:val="24"/>
          <w:szCs w:val="24"/>
          <w:lang w:val="fr-FR"/>
        </w:rPr>
        <w:t>2 novembre 20</w:t>
      </w:r>
      <w:r w:rsidRPr="00231F2D">
        <w:rPr>
          <w:b/>
          <w:sz w:val="24"/>
          <w:szCs w:val="24"/>
          <w:lang w:val="fr-FR"/>
        </w:rPr>
        <w:t>24</w:t>
      </w:r>
    </w:p>
    <w:p w14:paraId="530C7F09" w14:textId="23BB814B" w:rsidR="008B2CC1" w:rsidRPr="00231F2D" w:rsidRDefault="00EA1DDD" w:rsidP="00304E7C">
      <w:pPr>
        <w:spacing w:after="360"/>
        <w:rPr>
          <w:caps/>
          <w:sz w:val="24"/>
          <w:lang w:val="fr-FR"/>
        </w:rPr>
      </w:pPr>
      <w:bookmarkStart w:id="3" w:name="TitleOfDoc"/>
      <w:r w:rsidRPr="00231F2D">
        <w:rPr>
          <w:caps/>
          <w:sz w:val="24"/>
          <w:lang w:val="fr-FR"/>
        </w:rPr>
        <w:t>Résolution complétant le traité proposé en vue de son adoption par la conférence diplomatique</w:t>
      </w:r>
    </w:p>
    <w:p w14:paraId="21726BEA" w14:textId="0FF1D9FE" w:rsidR="00525B63" w:rsidRPr="00231F2D" w:rsidRDefault="00EA1DDD" w:rsidP="00304E7C">
      <w:pPr>
        <w:spacing w:after="960"/>
        <w:rPr>
          <w:i/>
          <w:iCs/>
          <w:lang w:val="fr-FR"/>
        </w:rPr>
      </w:pPr>
      <w:bookmarkStart w:id="4" w:name="Prepared"/>
      <w:bookmarkEnd w:id="3"/>
      <w:r w:rsidRPr="00231F2D">
        <w:rPr>
          <w:i/>
          <w:iCs/>
          <w:lang w:val="fr-FR"/>
        </w:rPr>
        <w:t xml:space="preserve">Proposition </w:t>
      </w:r>
      <w:r w:rsidR="00B650CB">
        <w:rPr>
          <w:i/>
          <w:iCs/>
          <w:lang w:val="fr-FR"/>
        </w:rPr>
        <w:t xml:space="preserve">présentée par </w:t>
      </w:r>
      <w:r w:rsidRPr="00231F2D">
        <w:rPr>
          <w:i/>
          <w:iCs/>
          <w:lang w:val="fr-FR"/>
        </w:rPr>
        <w:t>la délégation du Japon</w:t>
      </w:r>
    </w:p>
    <w:bookmarkEnd w:id="4"/>
    <w:p w14:paraId="237D43EA" w14:textId="411F55AC" w:rsidR="00EA1DDD" w:rsidRPr="00231F2D" w:rsidRDefault="00EA1DDD" w:rsidP="00304E7C">
      <w:pPr>
        <w:spacing w:after="220"/>
        <w:rPr>
          <w:lang w:val="fr-FR"/>
        </w:rPr>
      </w:pPr>
      <w:r w:rsidRPr="00231F2D">
        <w:rPr>
          <w:lang w:val="fr-FR"/>
        </w:rPr>
        <w:t xml:space="preserve">La délégation du Japon a transmis au </w:t>
      </w:r>
      <w:r w:rsidR="006415BD">
        <w:rPr>
          <w:lang w:val="fr-FR"/>
        </w:rPr>
        <w:t>s</w:t>
      </w:r>
      <w:r w:rsidRPr="00231F2D">
        <w:rPr>
          <w:lang w:val="fr-FR"/>
        </w:rPr>
        <w:t>ecrétariat de la conférence diplomatique la proposition reproduite dans l</w:t>
      </w:r>
      <w:r w:rsidR="00BD6A39" w:rsidRPr="00231F2D">
        <w:rPr>
          <w:lang w:val="fr-FR"/>
        </w:rPr>
        <w:t>’</w:t>
      </w:r>
      <w:r w:rsidRPr="00231F2D">
        <w:rPr>
          <w:lang w:val="fr-FR"/>
        </w:rPr>
        <w:t>annexe du présent document.</w:t>
      </w:r>
    </w:p>
    <w:p w14:paraId="67BB51B5" w14:textId="7CDFDC37" w:rsidR="00EA1DDD" w:rsidRPr="00231F2D" w:rsidRDefault="00EA1DDD" w:rsidP="00304E7C">
      <w:pPr>
        <w:pStyle w:val="Endofdocument-Annex"/>
        <w:sectPr w:rsidR="00EA1DDD" w:rsidRPr="00231F2D" w:rsidSect="00EA1DDD">
          <w:headerReference w:type="default" r:id="rId8"/>
          <w:headerReference w:type="firs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231F2D">
        <w:t>[L</w:t>
      </w:r>
      <w:r w:rsidR="00BD6A39" w:rsidRPr="00231F2D">
        <w:t>’</w:t>
      </w:r>
      <w:r w:rsidRPr="00231F2D">
        <w:t>annexe suit]</w:t>
      </w:r>
    </w:p>
    <w:p w14:paraId="17475B50" w14:textId="305A9602" w:rsidR="00EA1DDD" w:rsidRPr="00231F2D" w:rsidRDefault="00EA1DDD" w:rsidP="00A1714A">
      <w:pPr>
        <w:pStyle w:val="TitleofDoc"/>
        <w:spacing w:before="720"/>
        <w:rPr>
          <w:sz w:val="28"/>
          <w:szCs w:val="21"/>
        </w:rPr>
      </w:pPr>
      <w:r w:rsidRPr="00231F2D">
        <w:rPr>
          <w:sz w:val="28"/>
        </w:rPr>
        <w:lastRenderedPageBreak/>
        <w:t>RÉSOLUTION RELATIVE À L</w:t>
      </w:r>
      <w:r w:rsidR="00BD6A39" w:rsidRPr="00231F2D">
        <w:rPr>
          <w:sz w:val="28"/>
        </w:rPr>
        <w:t>’</w:t>
      </w:r>
      <w:r w:rsidRPr="00231F2D">
        <w:rPr>
          <w:sz w:val="28"/>
        </w:rPr>
        <w:t>ARTICLE</w:t>
      </w:r>
      <w:r w:rsidR="008C7ADF" w:rsidRPr="00231F2D">
        <w:rPr>
          <w:sz w:val="28"/>
        </w:rPr>
        <w:t> </w:t>
      </w:r>
      <w:r w:rsidRPr="00231F2D">
        <w:rPr>
          <w:sz w:val="28"/>
        </w:rPr>
        <w:t>14</w:t>
      </w:r>
    </w:p>
    <w:p w14:paraId="2786B75F" w14:textId="77777777" w:rsidR="00EA1DDD" w:rsidRPr="00231F2D" w:rsidRDefault="00EA1DDD" w:rsidP="00A1714A">
      <w:pPr>
        <w:pStyle w:val="TitleofDoc"/>
        <w:spacing w:before="480" w:after="240"/>
      </w:pPr>
      <w:r w:rsidRPr="00231F2D">
        <w:rPr>
          <w:i/>
          <w:caps w:val="0"/>
        </w:rPr>
        <w:t>Proposition de la délégation du Japon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A1DDD" w:rsidRPr="00231F2D" w14:paraId="500630D2" w14:textId="77777777" w:rsidTr="00672B82">
        <w:tc>
          <w:tcPr>
            <w:tcW w:w="9345" w:type="dxa"/>
            <w:shd w:val="clear" w:color="auto" w:fill="auto"/>
          </w:tcPr>
          <w:p w14:paraId="0004BC26" w14:textId="06A01143" w:rsidR="00EA1DDD" w:rsidRPr="00231F2D" w:rsidRDefault="00EA1DDD" w:rsidP="00304E7C">
            <w:pPr>
              <w:spacing w:after="2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fr-FR"/>
              </w:rPr>
            </w:pPr>
            <w:bookmarkStart w:id="5" w:name="_Hlk170404914"/>
            <w:r w:rsidRPr="00231F2D">
              <w:rPr>
                <w:rFonts w:ascii="Times New Roman" w:hAnsi="Times New Roman" w:cs="Times New Roman"/>
                <w:b/>
                <w:bCs/>
                <w:sz w:val="24"/>
                <w:szCs w:val="22"/>
                <w:lang w:val="fr-FR"/>
              </w:rPr>
              <w:t>UNIQUEMENT POUR LES PARTIES CONTRACTANTES</w:t>
            </w:r>
            <w:bookmarkEnd w:id="5"/>
            <w:r w:rsidRPr="00231F2D">
              <w:rPr>
                <w:rFonts w:ascii="Times New Roman" w:hAnsi="Times New Roman" w:cs="Times New Roman"/>
                <w:b/>
                <w:bCs/>
                <w:sz w:val="24"/>
                <w:szCs w:val="22"/>
                <w:lang w:val="fr-FR"/>
              </w:rPr>
              <w:t xml:space="preserve"> EXIGEANT DES DOCUMENTS DE PRIORITÉ</w:t>
            </w:r>
          </w:p>
          <w:p w14:paraId="702B8124" w14:textId="70EECFEF" w:rsidR="00EA1DDD" w:rsidRPr="00231F2D" w:rsidRDefault="00EA1DDD" w:rsidP="00304E7C">
            <w:pPr>
              <w:ind w:firstLine="567"/>
              <w:jc w:val="both"/>
              <w:rPr>
                <w:lang w:val="fr-FR"/>
              </w:rPr>
            </w:pPr>
            <w:r w:rsidRPr="00231F2D">
              <w:rPr>
                <w:rFonts w:asciiTheme="majorBidi" w:hAnsiTheme="majorBidi"/>
                <w:sz w:val="24"/>
                <w:lang w:val="fr-FR"/>
              </w:rPr>
              <w:t>Il est souligné que la proposition de résolution ci</w:t>
            </w:r>
            <w:r w:rsidR="00BC03E5">
              <w:rPr>
                <w:rFonts w:asciiTheme="majorBidi" w:hAnsiTheme="majorBidi"/>
                <w:sz w:val="24"/>
                <w:lang w:val="fr-FR"/>
              </w:rPr>
              <w:noBreakHyphen/>
            </w:r>
            <w:r w:rsidRPr="00231F2D">
              <w:rPr>
                <w:rFonts w:asciiTheme="majorBidi" w:hAnsiTheme="majorBidi"/>
                <w:sz w:val="24"/>
                <w:lang w:val="fr-FR"/>
              </w:rPr>
              <w:t>après pourrait, une fois adoptée, apporter des précisions dans l</w:t>
            </w:r>
            <w:r w:rsidR="00BD6A39" w:rsidRPr="00231F2D">
              <w:rPr>
                <w:rFonts w:asciiTheme="majorBidi" w:hAnsiTheme="majorBidi"/>
                <w:sz w:val="24"/>
                <w:lang w:val="fr-FR"/>
              </w:rPr>
              <w:t>’</w:t>
            </w:r>
            <w:r w:rsidRPr="00231F2D">
              <w:rPr>
                <w:rFonts w:asciiTheme="majorBidi" w:hAnsiTheme="majorBidi"/>
                <w:sz w:val="24"/>
                <w:lang w:val="fr-FR"/>
              </w:rPr>
              <w:t>interprétation de l</w:t>
            </w:r>
            <w:r w:rsidR="00BD6A39" w:rsidRPr="00231F2D">
              <w:rPr>
                <w:rFonts w:asciiTheme="majorBidi" w:hAnsiTheme="majorBidi"/>
                <w:sz w:val="24"/>
                <w:lang w:val="fr-FR"/>
              </w:rPr>
              <w:t>’article 1</w:t>
            </w:r>
            <w:r w:rsidRPr="00231F2D">
              <w:rPr>
                <w:rFonts w:asciiTheme="majorBidi" w:hAnsiTheme="majorBidi"/>
                <w:sz w:val="24"/>
                <w:lang w:val="fr-FR"/>
              </w:rPr>
              <w:t>4</w:t>
            </w:r>
            <w:r w:rsidR="00BD6A39" w:rsidRPr="00231F2D">
              <w:rPr>
                <w:rFonts w:asciiTheme="majorBidi" w:hAnsiTheme="majorBidi"/>
                <w:sz w:val="24"/>
                <w:lang w:val="fr-FR"/>
              </w:rPr>
              <w:t xml:space="preserve"> du DLT</w:t>
            </w:r>
            <w:r w:rsidRPr="00231F2D">
              <w:rPr>
                <w:rFonts w:asciiTheme="majorBidi" w:hAnsiTheme="majorBidi"/>
                <w:sz w:val="24"/>
                <w:lang w:val="fr-FR"/>
              </w:rPr>
              <w:t xml:space="preserve"> uniquement pour les parties contractantes qui exigent que les déposants soumettent des documents de priorité lorsqu</w:t>
            </w:r>
            <w:r w:rsidR="00BD6A39" w:rsidRPr="00231F2D">
              <w:rPr>
                <w:rFonts w:asciiTheme="majorBidi" w:hAnsiTheme="majorBidi"/>
                <w:sz w:val="24"/>
                <w:lang w:val="fr-FR"/>
              </w:rPr>
              <w:t>’</w:t>
            </w:r>
            <w:r w:rsidRPr="00231F2D">
              <w:rPr>
                <w:rFonts w:asciiTheme="majorBidi" w:hAnsiTheme="majorBidi"/>
                <w:sz w:val="24"/>
                <w:lang w:val="fr-FR"/>
              </w:rPr>
              <w:t>ils revendiquent la priorité de demandes antérieur</w:t>
            </w:r>
            <w:r w:rsidR="00231F2D" w:rsidRPr="00231F2D">
              <w:rPr>
                <w:rFonts w:asciiTheme="majorBidi" w:hAnsiTheme="majorBidi"/>
                <w:sz w:val="24"/>
                <w:lang w:val="fr-FR"/>
              </w:rPr>
              <w:t>es.  Ce</w:t>
            </w:r>
            <w:r w:rsidRPr="00231F2D">
              <w:rPr>
                <w:rFonts w:asciiTheme="majorBidi" w:hAnsiTheme="majorBidi"/>
                <w:sz w:val="24"/>
                <w:lang w:val="fr-FR"/>
              </w:rPr>
              <w:t>s précisions ne concerneraient pas les Parties contractantes n</w:t>
            </w:r>
            <w:r w:rsidR="00BD6A39" w:rsidRPr="00231F2D">
              <w:rPr>
                <w:rFonts w:asciiTheme="majorBidi" w:hAnsiTheme="majorBidi"/>
                <w:sz w:val="24"/>
                <w:lang w:val="fr-FR"/>
              </w:rPr>
              <w:t>’</w:t>
            </w:r>
            <w:r w:rsidRPr="00231F2D">
              <w:rPr>
                <w:rFonts w:asciiTheme="majorBidi" w:hAnsiTheme="majorBidi"/>
                <w:sz w:val="24"/>
                <w:lang w:val="fr-FR"/>
              </w:rPr>
              <w:t>exigeant pas la présentation de documents de priorité à leurs offices.</w:t>
            </w:r>
          </w:p>
        </w:tc>
      </w:tr>
    </w:tbl>
    <w:p w14:paraId="47551E9F" w14:textId="5CC1FC2F" w:rsidR="00EA1DDD" w:rsidRPr="00231F2D" w:rsidRDefault="00EA1DDD" w:rsidP="00304E7C">
      <w:pPr>
        <w:spacing w:before="240" w:after="240"/>
        <w:jc w:val="both"/>
        <w:rPr>
          <w:rFonts w:asciiTheme="majorBidi" w:hAnsiTheme="majorBidi" w:cstheme="majorBidi"/>
          <w:b/>
          <w:bCs/>
          <w:sz w:val="24"/>
          <w:szCs w:val="22"/>
          <w:lang w:val="fr-FR"/>
        </w:rPr>
      </w:pPr>
      <w:r w:rsidRPr="00231F2D">
        <w:rPr>
          <w:rFonts w:asciiTheme="majorBidi" w:hAnsiTheme="majorBidi"/>
          <w:b/>
          <w:sz w:val="24"/>
          <w:lang w:val="fr-FR"/>
        </w:rPr>
        <w:t>POSSIBILITÉ DE PRÉSENTER DES DOCUMENTS DE PRIORITÉ À LA SUITE D</w:t>
      </w:r>
      <w:r w:rsidR="00BD6A39" w:rsidRPr="00231F2D">
        <w:rPr>
          <w:rFonts w:asciiTheme="majorBidi" w:hAnsiTheme="majorBidi"/>
          <w:b/>
          <w:sz w:val="24"/>
          <w:lang w:val="fr-FR"/>
        </w:rPr>
        <w:t>’</w:t>
      </w:r>
      <w:r w:rsidRPr="00231F2D">
        <w:rPr>
          <w:rFonts w:asciiTheme="majorBidi" w:hAnsiTheme="majorBidi"/>
          <w:b/>
          <w:sz w:val="24"/>
          <w:lang w:val="fr-FR"/>
        </w:rPr>
        <w:t>UNE REQUÊTE EN CORRECTION OU ADJONCTION D</w:t>
      </w:r>
      <w:r w:rsidR="00BD6A39" w:rsidRPr="00231F2D">
        <w:rPr>
          <w:rFonts w:asciiTheme="majorBidi" w:hAnsiTheme="majorBidi"/>
          <w:b/>
          <w:sz w:val="24"/>
          <w:lang w:val="fr-FR"/>
        </w:rPr>
        <w:t>’</w:t>
      </w:r>
      <w:r w:rsidRPr="00231F2D">
        <w:rPr>
          <w:rFonts w:asciiTheme="majorBidi" w:hAnsiTheme="majorBidi"/>
          <w:b/>
          <w:sz w:val="24"/>
          <w:lang w:val="fr-FR"/>
        </w:rPr>
        <w:t>UNE REVENDICATION DE PRIORITÉ</w:t>
      </w:r>
    </w:p>
    <w:p w14:paraId="254FFEE9" w14:textId="4CEFF49B" w:rsidR="00EA1DDD" w:rsidRPr="00231F2D" w:rsidRDefault="00EA1DDD" w:rsidP="00304E7C">
      <w:pPr>
        <w:spacing w:after="240"/>
        <w:ind w:firstLine="567"/>
        <w:jc w:val="both"/>
        <w:rPr>
          <w:rFonts w:asciiTheme="majorBidi" w:hAnsiTheme="majorBidi" w:cstheme="majorBidi"/>
          <w:sz w:val="24"/>
          <w:szCs w:val="22"/>
          <w:lang w:val="fr-FR"/>
        </w:rPr>
      </w:pPr>
      <w:r w:rsidRPr="00ED6E4B">
        <w:rPr>
          <w:rFonts w:asciiTheme="majorBidi" w:hAnsiTheme="majorBidi"/>
          <w:sz w:val="24"/>
          <w:lang w:val="fr-FR"/>
        </w:rPr>
        <w:t>La résolution ci</w:t>
      </w:r>
      <w:r w:rsidR="00BC03E5" w:rsidRPr="00ED6E4B">
        <w:rPr>
          <w:rFonts w:asciiTheme="majorBidi" w:hAnsiTheme="majorBidi"/>
          <w:sz w:val="24"/>
          <w:lang w:val="fr-FR"/>
        </w:rPr>
        <w:noBreakHyphen/>
      </w:r>
      <w:r w:rsidRPr="00ED6E4B">
        <w:rPr>
          <w:rFonts w:asciiTheme="majorBidi" w:hAnsiTheme="majorBidi"/>
          <w:sz w:val="24"/>
          <w:lang w:val="fr-FR"/>
        </w:rPr>
        <w:t xml:space="preserve">après de la </w:t>
      </w:r>
      <w:r w:rsidR="00ED6E4B" w:rsidRPr="00ED6E4B">
        <w:rPr>
          <w:rFonts w:asciiTheme="majorBidi" w:hAnsiTheme="majorBidi"/>
          <w:sz w:val="24"/>
          <w:lang w:val="fr-FR"/>
        </w:rPr>
        <w:t>C</w:t>
      </w:r>
      <w:r w:rsidRPr="00ED6E4B">
        <w:rPr>
          <w:rFonts w:asciiTheme="majorBidi" w:hAnsiTheme="majorBidi"/>
          <w:sz w:val="24"/>
          <w:lang w:val="fr-FR"/>
        </w:rPr>
        <w:t>onférence diplomatique complétant le Traité sur le droit des dessins et modèles (DLT) est proposée.</w:t>
      </w:r>
    </w:p>
    <w:p w14:paraId="6C9BA319" w14:textId="2E076882" w:rsidR="00EA1DDD" w:rsidRPr="00231F2D" w:rsidRDefault="00EA1DDD" w:rsidP="00304E7C">
      <w:pPr>
        <w:spacing w:after="240"/>
        <w:ind w:leftChars="257" w:left="565"/>
        <w:jc w:val="both"/>
        <w:rPr>
          <w:rFonts w:asciiTheme="majorBidi" w:hAnsiTheme="majorBidi" w:cstheme="majorBidi"/>
          <w:sz w:val="24"/>
          <w:szCs w:val="22"/>
          <w:lang w:val="fr-FR"/>
        </w:rPr>
      </w:pPr>
      <w:r w:rsidRPr="00231F2D">
        <w:rPr>
          <w:rFonts w:asciiTheme="majorBidi" w:hAnsiTheme="majorBidi"/>
          <w:sz w:val="24"/>
          <w:lang w:val="fr-FR"/>
        </w:rPr>
        <w:t>“</w:t>
      </w:r>
      <w:r w:rsidRPr="00231F2D">
        <w:rPr>
          <w:rFonts w:asciiTheme="majorBidi" w:hAnsiTheme="majorBidi"/>
          <w:i/>
          <w:color w:val="0070C0"/>
          <w:sz w:val="24"/>
          <w:u w:val="single"/>
          <w:lang w:val="fr-FR"/>
        </w:rPr>
        <w:t>Lors de l</w:t>
      </w:r>
      <w:r w:rsidR="00BD6A39" w:rsidRPr="00231F2D">
        <w:rPr>
          <w:rFonts w:asciiTheme="majorBidi" w:hAnsiTheme="majorBidi"/>
          <w:i/>
          <w:color w:val="0070C0"/>
          <w:sz w:val="24"/>
          <w:u w:val="single"/>
          <w:lang w:val="fr-FR"/>
        </w:rPr>
        <w:t>’</w:t>
      </w:r>
      <w:r w:rsidRPr="00231F2D">
        <w:rPr>
          <w:rFonts w:asciiTheme="majorBidi" w:hAnsiTheme="majorBidi"/>
          <w:i/>
          <w:color w:val="0070C0"/>
          <w:sz w:val="24"/>
          <w:u w:val="single"/>
          <w:lang w:val="fr-FR"/>
        </w:rPr>
        <w:t>adoption de l</w:t>
      </w:r>
      <w:r w:rsidR="00BD6A39" w:rsidRPr="00231F2D">
        <w:rPr>
          <w:rFonts w:asciiTheme="majorBidi" w:hAnsiTheme="majorBidi"/>
          <w:i/>
          <w:color w:val="0070C0"/>
          <w:sz w:val="24"/>
          <w:u w:val="single"/>
          <w:lang w:val="fr-FR"/>
        </w:rPr>
        <w:t>’article 1</w:t>
      </w:r>
      <w:r w:rsidRPr="00231F2D">
        <w:rPr>
          <w:rFonts w:asciiTheme="majorBidi" w:hAnsiTheme="majorBidi"/>
          <w:i/>
          <w:color w:val="0070C0"/>
          <w:sz w:val="24"/>
          <w:u w:val="single"/>
          <w:lang w:val="fr-FR"/>
        </w:rPr>
        <w:t>4, la conférence diplomatique a confirmé qu</w:t>
      </w:r>
      <w:r w:rsidR="00BD6A39" w:rsidRPr="00231F2D">
        <w:rPr>
          <w:rFonts w:asciiTheme="majorBidi" w:hAnsiTheme="majorBidi"/>
          <w:i/>
          <w:color w:val="0070C0"/>
          <w:sz w:val="24"/>
          <w:u w:val="single"/>
          <w:lang w:val="fr-FR"/>
        </w:rPr>
        <w:t>’</w:t>
      </w:r>
      <w:r w:rsidRPr="00231F2D">
        <w:rPr>
          <w:rFonts w:asciiTheme="majorBidi" w:hAnsiTheme="majorBidi"/>
          <w:i/>
          <w:color w:val="0070C0"/>
          <w:sz w:val="24"/>
          <w:u w:val="single"/>
          <w:lang w:val="fr-FR"/>
        </w:rPr>
        <w:t>il était souhaitable que, lorsque la correction ou l</w:t>
      </w:r>
      <w:r w:rsidR="00BD6A39" w:rsidRPr="00231F2D">
        <w:rPr>
          <w:rFonts w:asciiTheme="majorBidi" w:hAnsiTheme="majorBidi"/>
          <w:i/>
          <w:color w:val="0070C0"/>
          <w:sz w:val="24"/>
          <w:u w:val="single"/>
          <w:lang w:val="fr-FR"/>
        </w:rPr>
        <w:t>’</w:t>
      </w:r>
      <w:r w:rsidRPr="00231F2D">
        <w:rPr>
          <w:rFonts w:asciiTheme="majorBidi" w:hAnsiTheme="majorBidi"/>
          <w:i/>
          <w:color w:val="0070C0"/>
          <w:sz w:val="24"/>
          <w:u w:val="single"/>
          <w:lang w:val="fr-FR"/>
        </w:rPr>
        <w:t>adjonction d</w:t>
      </w:r>
      <w:r w:rsidR="00BD6A39" w:rsidRPr="00231F2D">
        <w:rPr>
          <w:rFonts w:asciiTheme="majorBidi" w:hAnsiTheme="majorBidi"/>
          <w:i/>
          <w:color w:val="0070C0"/>
          <w:sz w:val="24"/>
          <w:u w:val="single"/>
          <w:lang w:val="fr-FR"/>
        </w:rPr>
        <w:t>’</w:t>
      </w:r>
      <w:r w:rsidRPr="00231F2D">
        <w:rPr>
          <w:rFonts w:asciiTheme="majorBidi" w:hAnsiTheme="majorBidi"/>
          <w:i/>
          <w:color w:val="0070C0"/>
          <w:sz w:val="24"/>
          <w:u w:val="single"/>
          <w:lang w:val="fr-FR"/>
        </w:rPr>
        <w:t>une revendication de priorité est effectuée conformément à l</w:t>
      </w:r>
      <w:r w:rsidR="00BD6A39" w:rsidRPr="00231F2D">
        <w:rPr>
          <w:rFonts w:asciiTheme="majorBidi" w:hAnsiTheme="majorBidi"/>
          <w:i/>
          <w:color w:val="0070C0"/>
          <w:sz w:val="24"/>
          <w:u w:val="single"/>
          <w:lang w:val="fr-FR"/>
        </w:rPr>
        <w:t>’article 1</w:t>
      </w:r>
      <w:r w:rsidRPr="00231F2D">
        <w:rPr>
          <w:rFonts w:asciiTheme="majorBidi" w:hAnsiTheme="majorBidi"/>
          <w:i/>
          <w:color w:val="0070C0"/>
          <w:sz w:val="24"/>
          <w:u w:val="single"/>
          <w:lang w:val="fr-FR"/>
        </w:rPr>
        <w:t>4.1), une Partie contractante qui exige des justifications conformément à l</w:t>
      </w:r>
      <w:r w:rsidR="00BD6A39" w:rsidRPr="00231F2D">
        <w:rPr>
          <w:rFonts w:asciiTheme="majorBidi" w:hAnsiTheme="majorBidi"/>
          <w:i/>
          <w:color w:val="0070C0"/>
          <w:sz w:val="24"/>
          <w:u w:val="single"/>
          <w:lang w:val="fr-FR"/>
        </w:rPr>
        <w:t>’article </w:t>
      </w:r>
      <w:proofErr w:type="gramStart"/>
      <w:r w:rsidR="00BD6A39" w:rsidRPr="00231F2D">
        <w:rPr>
          <w:rFonts w:asciiTheme="majorBidi" w:hAnsiTheme="majorBidi"/>
          <w:i/>
          <w:color w:val="0070C0"/>
          <w:sz w:val="24"/>
          <w:u w:val="single"/>
          <w:lang w:val="fr-FR"/>
        </w:rPr>
        <w:t>3</w:t>
      </w:r>
      <w:r w:rsidRPr="00231F2D">
        <w:rPr>
          <w:rFonts w:asciiTheme="majorBidi" w:hAnsiTheme="majorBidi"/>
          <w:i/>
          <w:color w:val="0070C0"/>
          <w:sz w:val="24"/>
          <w:u w:val="single"/>
          <w:lang w:val="fr-FR"/>
        </w:rPr>
        <w:t>.1)vii</w:t>
      </w:r>
      <w:proofErr w:type="gramEnd"/>
      <w:r w:rsidRPr="00231F2D">
        <w:rPr>
          <w:rFonts w:asciiTheme="majorBidi" w:hAnsiTheme="majorBidi"/>
          <w:i/>
          <w:color w:val="0070C0"/>
          <w:sz w:val="24"/>
          <w:u w:val="single"/>
          <w:lang w:val="fr-FR"/>
        </w:rPr>
        <w:t xml:space="preserve">) autorise la présentation de ces justifications au moins dans le délai prévu pour le dépôt de la requête visée à la </w:t>
      </w:r>
      <w:r w:rsidR="00BD6A39" w:rsidRPr="00231F2D">
        <w:rPr>
          <w:rFonts w:asciiTheme="majorBidi" w:hAnsiTheme="majorBidi"/>
          <w:i/>
          <w:color w:val="0070C0"/>
          <w:sz w:val="24"/>
          <w:u w:val="single"/>
          <w:lang w:val="fr-FR"/>
        </w:rPr>
        <w:t>règle 1</w:t>
      </w:r>
      <w:r w:rsidRPr="00231F2D">
        <w:rPr>
          <w:rFonts w:asciiTheme="majorBidi" w:hAnsiTheme="majorBidi"/>
          <w:i/>
          <w:color w:val="0070C0"/>
          <w:sz w:val="24"/>
          <w:u w:val="single"/>
          <w:lang w:val="fr-FR"/>
        </w:rPr>
        <w:t>2.2)</w:t>
      </w:r>
      <w:r w:rsidR="003A2F3A">
        <w:rPr>
          <w:rFonts w:asciiTheme="majorBidi" w:hAnsiTheme="majorBidi"/>
          <w:i/>
          <w:color w:val="0070C0"/>
          <w:sz w:val="24"/>
          <w:u w:val="single"/>
          <w:lang w:val="fr-FR"/>
        </w:rPr>
        <w:t>.</w:t>
      </w:r>
      <w:r w:rsidRPr="00231F2D">
        <w:rPr>
          <w:rFonts w:asciiTheme="majorBidi" w:hAnsiTheme="majorBidi"/>
          <w:sz w:val="24"/>
          <w:lang w:val="fr-FR"/>
        </w:rPr>
        <w:t>”</w:t>
      </w:r>
    </w:p>
    <w:p w14:paraId="368166BC" w14:textId="77777777" w:rsidR="00EA1DDD" w:rsidRPr="00231F2D" w:rsidRDefault="00EA1DDD" w:rsidP="00304E7C">
      <w:pPr>
        <w:autoSpaceDE w:val="0"/>
        <w:autoSpaceDN w:val="0"/>
        <w:adjustRightInd w:val="0"/>
        <w:spacing w:after="240"/>
        <w:rPr>
          <w:rFonts w:asciiTheme="majorBidi" w:hAnsiTheme="majorBidi" w:cstheme="majorBidi"/>
          <w:b/>
          <w:bCs/>
          <w:sz w:val="24"/>
          <w:szCs w:val="28"/>
          <w:lang w:val="fr-FR"/>
        </w:rPr>
      </w:pPr>
      <w:r w:rsidRPr="00231F2D">
        <w:rPr>
          <w:rFonts w:asciiTheme="majorBidi" w:hAnsiTheme="majorBidi"/>
          <w:b/>
          <w:sz w:val="24"/>
          <w:lang w:val="fr-FR"/>
        </w:rPr>
        <w:t>CONTEXTE</w:t>
      </w:r>
    </w:p>
    <w:p w14:paraId="2E3082C3" w14:textId="30D2143D" w:rsidR="00BD6A39" w:rsidRPr="00231F2D" w:rsidRDefault="00EA1DDD" w:rsidP="00304E7C">
      <w:pPr>
        <w:spacing w:after="240"/>
        <w:ind w:firstLine="567"/>
        <w:jc w:val="both"/>
        <w:rPr>
          <w:rFonts w:asciiTheme="majorBidi" w:hAnsiTheme="majorBidi"/>
          <w:sz w:val="24"/>
          <w:lang w:val="fr-FR"/>
        </w:rPr>
      </w:pPr>
      <w:bookmarkStart w:id="6" w:name="_Hlk160527044"/>
      <w:r w:rsidRPr="00231F2D">
        <w:rPr>
          <w:rFonts w:asciiTheme="majorBidi" w:hAnsiTheme="majorBidi"/>
          <w:sz w:val="24"/>
          <w:lang w:val="fr-FR"/>
        </w:rPr>
        <w:t>Rappelant les arguments avancés par le Japon lors des dernières sessions</w:t>
      </w:r>
      <w:r w:rsidR="00BD6A39" w:rsidRPr="00231F2D">
        <w:rPr>
          <w:rFonts w:asciiTheme="majorBidi" w:hAnsiTheme="majorBidi"/>
          <w:sz w:val="24"/>
          <w:lang w:val="fr-FR"/>
        </w:rPr>
        <w:t xml:space="preserve"> du SCT</w:t>
      </w:r>
      <w:r w:rsidRPr="00231F2D">
        <w:rPr>
          <w:rFonts w:asciiTheme="majorBidi" w:hAnsiTheme="majorBidi"/>
          <w:sz w:val="24"/>
          <w:lang w:val="fr-FR"/>
        </w:rPr>
        <w:t>, une préoccupation relative à l</w:t>
      </w:r>
      <w:r w:rsidR="00BD6A39" w:rsidRPr="00231F2D">
        <w:rPr>
          <w:rFonts w:asciiTheme="majorBidi" w:hAnsiTheme="majorBidi"/>
          <w:sz w:val="24"/>
          <w:lang w:val="fr-FR"/>
        </w:rPr>
        <w:t>’article 1</w:t>
      </w:r>
      <w:r w:rsidRPr="00231F2D">
        <w:rPr>
          <w:rFonts w:asciiTheme="majorBidi" w:hAnsiTheme="majorBidi"/>
          <w:sz w:val="24"/>
          <w:lang w:val="fr-FR"/>
        </w:rPr>
        <w:t xml:space="preserve">4.1) et à la </w:t>
      </w:r>
      <w:r w:rsidR="00BD6A39" w:rsidRPr="00231F2D">
        <w:rPr>
          <w:rFonts w:asciiTheme="majorBidi" w:hAnsiTheme="majorBidi"/>
          <w:sz w:val="24"/>
          <w:lang w:val="fr-FR"/>
        </w:rPr>
        <w:t>règle 1</w:t>
      </w:r>
      <w:r w:rsidRPr="00231F2D">
        <w:rPr>
          <w:rFonts w:asciiTheme="majorBidi" w:hAnsiTheme="majorBidi"/>
          <w:sz w:val="24"/>
          <w:lang w:val="fr-FR"/>
        </w:rPr>
        <w:t>2.2) est de nouveau expliquée grâce à l</w:t>
      </w:r>
      <w:r w:rsidR="00BD6A39" w:rsidRPr="00231F2D">
        <w:rPr>
          <w:rFonts w:asciiTheme="majorBidi" w:hAnsiTheme="majorBidi"/>
          <w:sz w:val="24"/>
          <w:lang w:val="fr-FR"/>
        </w:rPr>
        <w:t>’</w:t>
      </w:r>
      <w:r w:rsidRPr="00231F2D">
        <w:rPr>
          <w:rFonts w:asciiTheme="majorBidi" w:hAnsiTheme="majorBidi"/>
          <w:sz w:val="24"/>
          <w:lang w:val="fr-FR"/>
        </w:rPr>
        <w:t>image ci</w:t>
      </w:r>
      <w:r w:rsidR="00BC03E5">
        <w:rPr>
          <w:rFonts w:asciiTheme="majorBidi" w:hAnsiTheme="majorBidi"/>
          <w:sz w:val="24"/>
          <w:lang w:val="fr-FR"/>
        </w:rPr>
        <w:noBreakHyphen/>
      </w:r>
      <w:r w:rsidRPr="00231F2D">
        <w:rPr>
          <w:rFonts w:asciiTheme="majorBidi" w:hAnsiTheme="majorBidi"/>
          <w:sz w:val="24"/>
          <w:lang w:val="fr-FR"/>
        </w:rPr>
        <w:t>après.</w:t>
      </w:r>
    </w:p>
    <w:bookmarkEnd w:id="6"/>
    <w:p w14:paraId="663F58C8" w14:textId="210FF825" w:rsidR="00EA1DDD" w:rsidRPr="00231F2D" w:rsidRDefault="00A1714A" w:rsidP="00304E7C">
      <w:pPr>
        <w:pStyle w:val="Default"/>
        <w:widowControl/>
        <w:spacing w:after="240"/>
        <w:jc w:val="center"/>
        <w:rPr>
          <w:rFonts w:ascii="Times New Roman" w:hAnsi="Times New Roman" w:cs="Times New Roman"/>
          <w:b/>
          <w:bCs/>
          <w:color w:val="auto"/>
        </w:rPr>
      </w:pPr>
      <w:r w:rsidRPr="00A1714A">
        <w:rPr>
          <w:noProof/>
        </w:rPr>
        <w:drawing>
          <wp:inline distT="0" distB="0" distL="0" distR="0" wp14:anchorId="4FB8356F" wp14:editId="048D664E">
            <wp:extent cx="5760000" cy="2424134"/>
            <wp:effectExtent l="0" t="0" r="0" b="0"/>
            <wp:docPr id="73181349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81349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0"/>
                    <a:srcRect r="1311" b="3442"/>
                    <a:stretch/>
                  </pic:blipFill>
                  <pic:spPr bwMode="auto">
                    <a:xfrm>
                      <a:off x="0" y="0"/>
                      <a:ext cx="5760000" cy="24241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BECE3C" w14:textId="1C0879B2" w:rsidR="00BD6A39" w:rsidRPr="00231F2D" w:rsidRDefault="00EA1DDD" w:rsidP="00A1714A">
      <w:pPr>
        <w:pStyle w:val="Default"/>
        <w:widowControl/>
        <w:spacing w:after="60"/>
        <w:ind w:firstLine="567"/>
        <w:jc w:val="both"/>
        <w:rPr>
          <w:rFonts w:ascii="Times New Roman" w:hAnsi="Times New Roman"/>
          <w:color w:val="auto"/>
        </w:rPr>
      </w:pPr>
      <w:r w:rsidRPr="00231F2D">
        <w:rPr>
          <w:rFonts w:ascii="Times New Roman" w:hAnsi="Times New Roman"/>
          <w:color w:val="auto"/>
        </w:rPr>
        <w:lastRenderedPageBreak/>
        <w:t>L</w:t>
      </w:r>
      <w:r w:rsidR="00BD6A39" w:rsidRPr="00231F2D">
        <w:rPr>
          <w:rFonts w:ascii="Times New Roman" w:hAnsi="Times New Roman"/>
          <w:color w:val="auto"/>
        </w:rPr>
        <w:t>’article 1</w:t>
      </w:r>
      <w:r w:rsidRPr="00231F2D">
        <w:rPr>
          <w:rFonts w:ascii="Times New Roman" w:hAnsi="Times New Roman"/>
          <w:color w:val="auto"/>
        </w:rPr>
        <w:t>4.1) de la proposition de base</w:t>
      </w:r>
      <w:r w:rsidR="00BD6A39" w:rsidRPr="00231F2D">
        <w:rPr>
          <w:rFonts w:ascii="Times New Roman" w:hAnsi="Times New Roman"/>
          <w:color w:val="auto"/>
        </w:rPr>
        <w:t xml:space="preserve"> du DLT</w:t>
      </w:r>
      <w:r w:rsidRPr="00231F2D">
        <w:rPr>
          <w:rFonts w:ascii="Times New Roman" w:hAnsi="Times New Roman"/>
          <w:color w:val="auto"/>
        </w:rPr>
        <w:t xml:space="preserve"> stipule que toute Partie contractante prévoit la correction d</w:t>
      </w:r>
      <w:r w:rsidR="00BD6A39" w:rsidRPr="00231F2D">
        <w:rPr>
          <w:rFonts w:ascii="Times New Roman" w:hAnsi="Times New Roman"/>
          <w:color w:val="auto"/>
        </w:rPr>
        <w:t>’</w:t>
      </w:r>
      <w:r w:rsidRPr="00231F2D">
        <w:rPr>
          <w:rFonts w:ascii="Times New Roman" w:hAnsi="Times New Roman"/>
          <w:color w:val="auto"/>
        </w:rPr>
        <w:t>une revendication de priorité ou son adjonction à une deman</w:t>
      </w:r>
      <w:r w:rsidR="00231F2D" w:rsidRPr="00231F2D">
        <w:rPr>
          <w:rFonts w:ascii="Times New Roman" w:hAnsi="Times New Roman"/>
          <w:color w:val="auto"/>
        </w:rPr>
        <w:t>de.  Il</w:t>
      </w:r>
      <w:r w:rsidRPr="00231F2D">
        <w:rPr>
          <w:rFonts w:ascii="Times New Roman" w:hAnsi="Times New Roman"/>
          <w:color w:val="auto"/>
        </w:rPr>
        <w:t xml:space="preserve"> ne fixe néanmoins pas de délai pour le dépôt des documents de priorité, contrairement au Traité sur le droit des brevets (PLT)</w:t>
      </w:r>
      <w:r w:rsidRPr="00231F2D">
        <w:rPr>
          <w:rStyle w:val="EndnoteReference"/>
          <w:rFonts w:ascii="Times New Roman" w:hAnsi="Times New Roman" w:cs="Times New Roman"/>
          <w:color w:val="auto"/>
        </w:rPr>
        <w:endnoteReference w:id="2"/>
      </w:r>
      <w:r w:rsidRPr="00231F2D">
        <w:rPr>
          <w:rFonts w:ascii="Times New Roman" w:hAnsi="Times New Roman"/>
          <w:color w:val="auto"/>
        </w:rPr>
        <w:t>.</w:t>
      </w:r>
    </w:p>
    <w:p w14:paraId="5E5F2FCB" w14:textId="1A3F7A21" w:rsidR="00BD6A39" w:rsidRPr="00231F2D" w:rsidRDefault="00EA1DDD" w:rsidP="00A1714A">
      <w:pPr>
        <w:pStyle w:val="Default"/>
        <w:widowControl/>
        <w:spacing w:after="60"/>
        <w:ind w:firstLine="567"/>
        <w:jc w:val="both"/>
        <w:rPr>
          <w:rFonts w:ascii="Times New Roman" w:hAnsi="Times New Roman"/>
        </w:rPr>
      </w:pPr>
      <w:r w:rsidRPr="00231F2D">
        <w:rPr>
          <w:rFonts w:ascii="Times New Roman" w:hAnsi="Times New Roman"/>
          <w:color w:val="auto"/>
        </w:rPr>
        <w:t>En conséquence, il n</w:t>
      </w:r>
      <w:r w:rsidR="00BD6A39" w:rsidRPr="00231F2D">
        <w:rPr>
          <w:rFonts w:ascii="Times New Roman" w:hAnsi="Times New Roman"/>
          <w:color w:val="auto"/>
        </w:rPr>
        <w:t>’</w:t>
      </w:r>
      <w:r w:rsidRPr="00231F2D">
        <w:rPr>
          <w:rFonts w:ascii="Times New Roman" w:hAnsi="Times New Roman"/>
          <w:color w:val="auto"/>
        </w:rPr>
        <w:t>est pas certain qu</w:t>
      </w:r>
      <w:r w:rsidR="00BD6A39" w:rsidRPr="00231F2D">
        <w:rPr>
          <w:rFonts w:ascii="Times New Roman" w:hAnsi="Times New Roman"/>
          <w:color w:val="auto"/>
        </w:rPr>
        <w:t>’</w:t>
      </w:r>
      <w:r w:rsidRPr="00231F2D">
        <w:rPr>
          <w:rFonts w:ascii="Times New Roman" w:hAnsi="Times New Roman"/>
          <w:color w:val="auto"/>
        </w:rPr>
        <w:t>un déposant puisse soumettre un document de priorité pendant l</w:t>
      </w:r>
      <w:r w:rsidR="00BD6A39" w:rsidRPr="00231F2D">
        <w:rPr>
          <w:rFonts w:ascii="Times New Roman" w:hAnsi="Times New Roman"/>
          <w:color w:val="auto"/>
        </w:rPr>
        <w:t>’</w:t>
      </w:r>
      <w:r w:rsidRPr="00231F2D">
        <w:rPr>
          <w:rFonts w:ascii="Times New Roman" w:hAnsi="Times New Roman"/>
          <w:color w:val="auto"/>
        </w:rPr>
        <w:t>ensemble de la période où la correction ou l</w:t>
      </w:r>
      <w:r w:rsidR="00BD6A39" w:rsidRPr="00231F2D">
        <w:rPr>
          <w:rFonts w:ascii="Times New Roman" w:hAnsi="Times New Roman"/>
          <w:color w:val="auto"/>
        </w:rPr>
        <w:t>’</w:t>
      </w:r>
      <w:r w:rsidRPr="00231F2D">
        <w:rPr>
          <w:rFonts w:ascii="Times New Roman" w:hAnsi="Times New Roman"/>
          <w:color w:val="auto"/>
        </w:rPr>
        <w:t>adjonction d</w:t>
      </w:r>
      <w:r w:rsidR="00BD6A39" w:rsidRPr="00231F2D">
        <w:rPr>
          <w:rFonts w:ascii="Times New Roman" w:hAnsi="Times New Roman"/>
          <w:color w:val="auto"/>
        </w:rPr>
        <w:t>’</w:t>
      </w:r>
      <w:r w:rsidRPr="00231F2D">
        <w:rPr>
          <w:rFonts w:ascii="Times New Roman" w:hAnsi="Times New Roman"/>
          <w:color w:val="auto"/>
        </w:rPr>
        <w:t>une revendication de priorité est autorisée, c</w:t>
      </w:r>
      <w:r w:rsidR="00BD6A39" w:rsidRPr="00231F2D">
        <w:rPr>
          <w:rFonts w:ascii="Times New Roman" w:hAnsi="Times New Roman"/>
          <w:color w:val="auto"/>
        </w:rPr>
        <w:t>’</w:t>
      </w:r>
      <w:r w:rsidRPr="00231F2D">
        <w:rPr>
          <w:rFonts w:ascii="Times New Roman" w:hAnsi="Times New Roman"/>
          <w:color w:val="auto"/>
        </w:rPr>
        <w:t>est</w:t>
      </w:r>
      <w:r w:rsidR="00BC03E5">
        <w:rPr>
          <w:rFonts w:ascii="Times New Roman" w:hAnsi="Times New Roman"/>
          <w:color w:val="auto"/>
        </w:rPr>
        <w:noBreakHyphen/>
      </w:r>
      <w:r w:rsidRPr="00231F2D">
        <w:rPr>
          <w:rFonts w:ascii="Times New Roman" w:hAnsi="Times New Roman"/>
          <w:color w:val="auto"/>
        </w:rPr>
        <w:t>à</w:t>
      </w:r>
      <w:r w:rsidR="00BC03E5">
        <w:rPr>
          <w:rFonts w:ascii="Times New Roman" w:hAnsi="Times New Roman"/>
          <w:color w:val="auto"/>
        </w:rPr>
        <w:noBreakHyphen/>
      </w:r>
      <w:r w:rsidRPr="00231F2D">
        <w:rPr>
          <w:rFonts w:ascii="Times New Roman" w:hAnsi="Times New Roman"/>
          <w:color w:val="auto"/>
        </w:rPr>
        <w:t>dire pendant la période colorée en rouge dans l</w:t>
      </w:r>
      <w:r w:rsidR="00BD6A39" w:rsidRPr="00231F2D">
        <w:rPr>
          <w:rFonts w:ascii="Times New Roman" w:hAnsi="Times New Roman"/>
          <w:color w:val="auto"/>
        </w:rPr>
        <w:t>’</w:t>
      </w:r>
      <w:r w:rsidRPr="00231F2D">
        <w:rPr>
          <w:rFonts w:ascii="Times New Roman" w:hAnsi="Times New Roman"/>
          <w:color w:val="auto"/>
        </w:rPr>
        <w:t>image ci</w:t>
      </w:r>
      <w:r w:rsidR="00BC03E5">
        <w:rPr>
          <w:rFonts w:ascii="Times New Roman" w:hAnsi="Times New Roman"/>
          <w:color w:val="auto"/>
        </w:rPr>
        <w:noBreakHyphen/>
      </w:r>
      <w:r w:rsidRPr="00231F2D">
        <w:rPr>
          <w:rFonts w:ascii="Times New Roman" w:hAnsi="Times New Roman"/>
          <w:color w:val="auto"/>
        </w:rPr>
        <w:t>dess</w:t>
      </w:r>
      <w:r w:rsidR="00231F2D" w:rsidRPr="00231F2D">
        <w:rPr>
          <w:rFonts w:ascii="Times New Roman" w:hAnsi="Times New Roman"/>
          <w:color w:val="auto"/>
        </w:rPr>
        <w:t>us.  Si</w:t>
      </w:r>
      <w:r w:rsidRPr="00231F2D">
        <w:rPr>
          <w:rFonts w:ascii="Times New Roman" w:hAnsi="Times New Roman"/>
          <w:color w:val="auto"/>
        </w:rPr>
        <w:t xml:space="preserve"> un déposant n</w:t>
      </w:r>
      <w:r w:rsidR="00BD6A39" w:rsidRPr="00231F2D">
        <w:rPr>
          <w:rFonts w:ascii="Times New Roman" w:hAnsi="Times New Roman"/>
          <w:color w:val="auto"/>
        </w:rPr>
        <w:t>’</w:t>
      </w:r>
      <w:r w:rsidRPr="00231F2D">
        <w:rPr>
          <w:rFonts w:ascii="Times New Roman" w:hAnsi="Times New Roman"/>
          <w:color w:val="auto"/>
        </w:rPr>
        <w:t>est pas en mesure de soumettre un document de priorité à l</w:t>
      </w:r>
      <w:r w:rsidR="00BD6A39" w:rsidRPr="00231F2D">
        <w:rPr>
          <w:rFonts w:ascii="Times New Roman" w:hAnsi="Times New Roman"/>
          <w:color w:val="auto"/>
        </w:rPr>
        <w:t>’</w:t>
      </w:r>
      <w:r w:rsidRPr="00231F2D">
        <w:rPr>
          <w:rFonts w:ascii="Times New Roman" w:hAnsi="Times New Roman"/>
          <w:color w:val="auto"/>
        </w:rPr>
        <w:t>office de la Partie contractante qui l</w:t>
      </w:r>
      <w:r w:rsidR="00BD6A39" w:rsidRPr="00231F2D">
        <w:rPr>
          <w:rFonts w:ascii="Times New Roman" w:hAnsi="Times New Roman"/>
          <w:color w:val="auto"/>
        </w:rPr>
        <w:t>’</w:t>
      </w:r>
      <w:r w:rsidRPr="00231F2D">
        <w:rPr>
          <w:rFonts w:ascii="Times New Roman" w:hAnsi="Times New Roman"/>
          <w:color w:val="auto"/>
        </w:rPr>
        <w:t>exige, il ne peut bénéficier de la priorité de la demande antérieure.</w:t>
      </w:r>
    </w:p>
    <w:p w14:paraId="067489C3" w14:textId="170981D9" w:rsidR="00EA1DDD" w:rsidRPr="00231F2D" w:rsidRDefault="00EA1DDD" w:rsidP="00304E7C">
      <w:pPr>
        <w:pStyle w:val="Default"/>
        <w:widowControl/>
        <w:spacing w:after="240"/>
        <w:ind w:firstLine="567"/>
        <w:jc w:val="both"/>
        <w:rPr>
          <w:rFonts w:ascii="Times New Roman" w:hAnsi="Times New Roman" w:cs="Times New Roman"/>
        </w:rPr>
      </w:pPr>
      <w:r w:rsidRPr="00231F2D">
        <w:rPr>
          <w:rFonts w:ascii="Times New Roman" w:hAnsi="Times New Roman"/>
        </w:rPr>
        <w:t>C</w:t>
      </w:r>
      <w:r w:rsidR="00BD6A39" w:rsidRPr="00231F2D">
        <w:rPr>
          <w:rFonts w:ascii="Times New Roman" w:hAnsi="Times New Roman"/>
        </w:rPr>
        <w:t>’</w:t>
      </w:r>
      <w:r w:rsidRPr="00231F2D">
        <w:rPr>
          <w:rFonts w:ascii="Times New Roman" w:hAnsi="Times New Roman"/>
        </w:rPr>
        <w:t>est pourquoi il est souhaitable que, lorsque la correction ou l</w:t>
      </w:r>
      <w:r w:rsidR="00BD6A39" w:rsidRPr="00231F2D">
        <w:rPr>
          <w:rFonts w:ascii="Times New Roman" w:hAnsi="Times New Roman"/>
        </w:rPr>
        <w:t>’</w:t>
      </w:r>
      <w:r w:rsidRPr="00231F2D">
        <w:rPr>
          <w:rFonts w:ascii="Times New Roman" w:hAnsi="Times New Roman"/>
        </w:rPr>
        <w:t>adjonction d</w:t>
      </w:r>
      <w:r w:rsidR="00BD6A39" w:rsidRPr="00231F2D">
        <w:rPr>
          <w:rFonts w:ascii="Times New Roman" w:hAnsi="Times New Roman"/>
        </w:rPr>
        <w:t>’</w:t>
      </w:r>
      <w:r w:rsidRPr="00231F2D">
        <w:rPr>
          <w:rFonts w:ascii="Times New Roman" w:hAnsi="Times New Roman"/>
        </w:rPr>
        <w:t>une revendication de priorité est effectuée conformément à l</w:t>
      </w:r>
      <w:r w:rsidR="00BD6A39" w:rsidRPr="00231F2D">
        <w:rPr>
          <w:rFonts w:ascii="Times New Roman" w:hAnsi="Times New Roman"/>
        </w:rPr>
        <w:t>’article 1</w:t>
      </w:r>
      <w:r w:rsidRPr="00231F2D">
        <w:rPr>
          <w:rFonts w:ascii="Times New Roman" w:hAnsi="Times New Roman"/>
        </w:rPr>
        <w:t>4.1), une Partie contractante qui exige des justifications conformément à l</w:t>
      </w:r>
      <w:r w:rsidR="00BD6A39" w:rsidRPr="00231F2D">
        <w:rPr>
          <w:rFonts w:ascii="Times New Roman" w:hAnsi="Times New Roman"/>
        </w:rPr>
        <w:t>’article </w:t>
      </w:r>
      <w:proofErr w:type="gramStart"/>
      <w:r w:rsidR="00BD6A39" w:rsidRPr="00231F2D">
        <w:rPr>
          <w:rFonts w:ascii="Times New Roman" w:hAnsi="Times New Roman"/>
        </w:rPr>
        <w:t>3</w:t>
      </w:r>
      <w:r w:rsidRPr="00231F2D">
        <w:rPr>
          <w:rFonts w:ascii="Times New Roman" w:hAnsi="Times New Roman"/>
        </w:rPr>
        <w:t>.1)vii</w:t>
      </w:r>
      <w:proofErr w:type="gramEnd"/>
      <w:r w:rsidRPr="00231F2D">
        <w:rPr>
          <w:rFonts w:ascii="Times New Roman" w:hAnsi="Times New Roman"/>
        </w:rPr>
        <w:t xml:space="preserve">) autorise la présentation de ces justifications dans le délai prévu pour le dépôt de la requête visée à la </w:t>
      </w:r>
      <w:r w:rsidR="00BD6A39" w:rsidRPr="00231F2D">
        <w:rPr>
          <w:rFonts w:ascii="Times New Roman" w:hAnsi="Times New Roman"/>
        </w:rPr>
        <w:t>règle 1</w:t>
      </w:r>
      <w:r w:rsidRPr="00231F2D">
        <w:rPr>
          <w:rFonts w:ascii="Times New Roman" w:hAnsi="Times New Roman"/>
        </w:rPr>
        <w:t>2.2).</w:t>
      </w:r>
    </w:p>
    <w:p w14:paraId="3DA2BC36" w14:textId="0B07C3AF" w:rsidR="000F5E56" w:rsidRPr="00231F2D" w:rsidRDefault="00EA1DDD" w:rsidP="00304E7C">
      <w:pPr>
        <w:pStyle w:val="Endofdocument-Annex"/>
      </w:pPr>
      <w:r w:rsidRPr="00231F2D">
        <w:t>[Fin de l</w:t>
      </w:r>
      <w:r w:rsidR="00BD6A39" w:rsidRPr="00231F2D">
        <w:t>’</w:t>
      </w:r>
      <w:r w:rsidRPr="00231F2D">
        <w:t>annexe et du document]</w:t>
      </w:r>
    </w:p>
    <w:sectPr w:rsidR="000F5E56" w:rsidRPr="00231F2D" w:rsidSect="00672B82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36F75A" w14:textId="77777777" w:rsidR="00EA1DDD" w:rsidRDefault="00EA1DDD">
      <w:r>
        <w:separator/>
      </w:r>
    </w:p>
  </w:endnote>
  <w:endnote w:type="continuationSeparator" w:id="0">
    <w:p w14:paraId="7EC676CE" w14:textId="77777777" w:rsidR="00EA1DDD" w:rsidRPr="009D30E6" w:rsidRDefault="00EA1DDD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1EC8C356" w14:textId="77777777" w:rsidR="00EA1DDD" w:rsidRPr="009D30E6" w:rsidRDefault="00EA1DDD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2094FA6A" w14:textId="77777777" w:rsidR="00EA1DDD" w:rsidRPr="009D30E6" w:rsidRDefault="00EA1DDD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  <w:endnote w:id="2">
    <w:p w14:paraId="695D5F3A" w14:textId="5652F4CD" w:rsidR="00EA1DDD" w:rsidRPr="00B83542" w:rsidRDefault="00EA1DDD" w:rsidP="008C7ADF">
      <w:pPr>
        <w:tabs>
          <w:tab w:val="left" w:pos="567"/>
        </w:tabs>
        <w:spacing w:after="210"/>
        <w:jc w:val="both"/>
        <w:rPr>
          <w:rFonts w:asciiTheme="majorBidi" w:hAnsiTheme="majorBidi" w:cstheme="majorBidi"/>
          <w:sz w:val="21"/>
          <w:szCs w:val="21"/>
        </w:rPr>
      </w:pPr>
      <w:r>
        <w:rPr>
          <w:rFonts w:asciiTheme="majorBidi" w:hAnsiTheme="majorBidi"/>
          <w:sz w:val="21"/>
          <w:vertAlign w:val="superscript"/>
        </w:rPr>
        <w:t xml:space="preserve">1 </w:t>
      </w:r>
      <w:r w:rsidR="00672B82">
        <w:rPr>
          <w:rFonts w:asciiTheme="majorBidi" w:hAnsiTheme="majorBidi"/>
          <w:sz w:val="21"/>
          <w:vertAlign w:val="superscript"/>
        </w:rPr>
        <w:tab/>
      </w:r>
      <w:r>
        <w:rPr>
          <w:rFonts w:asciiTheme="majorBidi" w:hAnsiTheme="majorBidi"/>
          <w:sz w:val="21"/>
        </w:rPr>
        <w:t xml:space="preserve">La </w:t>
      </w:r>
      <w:r w:rsidR="001572E7">
        <w:rPr>
          <w:rFonts w:asciiTheme="majorBidi" w:hAnsiTheme="majorBidi"/>
          <w:sz w:val="21"/>
        </w:rPr>
        <w:t>règle 4</w:t>
      </w:r>
      <w:r>
        <w:rPr>
          <w:rFonts w:asciiTheme="majorBidi" w:hAnsiTheme="majorBidi"/>
          <w:sz w:val="21"/>
        </w:rPr>
        <w:t xml:space="preserve"> du règlement d</w:t>
      </w:r>
      <w:r w:rsidR="001572E7">
        <w:rPr>
          <w:rFonts w:asciiTheme="majorBidi" w:hAnsiTheme="majorBidi"/>
          <w:sz w:val="21"/>
        </w:rPr>
        <w:t>’</w:t>
      </w:r>
      <w:r>
        <w:rPr>
          <w:rFonts w:asciiTheme="majorBidi" w:hAnsiTheme="majorBidi"/>
          <w:sz w:val="21"/>
        </w:rPr>
        <w:t>exécution du Traité sur le droit des brevets fixe un délai pour le dépôt des documents de priorité, qui couvre le délai pour la correction ou l</w:t>
      </w:r>
      <w:r w:rsidR="001572E7">
        <w:rPr>
          <w:rFonts w:asciiTheme="majorBidi" w:hAnsiTheme="majorBidi"/>
          <w:sz w:val="21"/>
        </w:rPr>
        <w:t>’</w:t>
      </w:r>
      <w:r>
        <w:rPr>
          <w:rFonts w:asciiTheme="majorBidi" w:hAnsiTheme="majorBidi"/>
          <w:sz w:val="21"/>
        </w:rPr>
        <w:t xml:space="preserve">adjonction de la revendication de priorité (voir les </w:t>
      </w:r>
      <w:r w:rsidR="001572E7">
        <w:rPr>
          <w:rFonts w:asciiTheme="majorBidi" w:hAnsiTheme="majorBidi"/>
          <w:sz w:val="21"/>
        </w:rPr>
        <w:t>règles 4</w:t>
      </w:r>
      <w:r>
        <w:rPr>
          <w:rFonts w:asciiTheme="majorBidi" w:hAnsiTheme="majorBidi"/>
          <w:sz w:val="21"/>
        </w:rPr>
        <w:t xml:space="preserve"> et 14).</w:t>
      </w:r>
    </w:p>
    <w:p w14:paraId="3155B9C5" w14:textId="77777777" w:rsidR="00EA1DDD" w:rsidRPr="00B83542" w:rsidRDefault="00EA1DDD" w:rsidP="008C7ADF">
      <w:pPr>
        <w:tabs>
          <w:tab w:val="left" w:pos="1134"/>
        </w:tabs>
        <w:ind w:leftChars="257" w:left="565"/>
        <w:jc w:val="both"/>
        <w:rPr>
          <w:rFonts w:asciiTheme="majorBidi" w:hAnsiTheme="majorBidi" w:cstheme="majorBidi"/>
          <w:b/>
          <w:bCs/>
          <w:sz w:val="21"/>
          <w:szCs w:val="21"/>
        </w:rPr>
      </w:pPr>
      <w:r>
        <w:rPr>
          <w:rFonts w:asciiTheme="majorBidi" w:hAnsiTheme="majorBidi"/>
          <w:b/>
          <w:sz w:val="21"/>
        </w:rPr>
        <w:t>Traité sur le droit des brevets</w:t>
      </w:r>
    </w:p>
    <w:p w14:paraId="36E00584" w14:textId="4613A2DA" w:rsidR="001572E7" w:rsidRDefault="001572E7" w:rsidP="008C7ADF">
      <w:pPr>
        <w:tabs>
          <w:tab w:val="left" w:pos="1134"/>
        </w:tabs>
        <w:ind w:leftChars="257" w:left="565"/>
        <w:jc w:val="both"/>
        <w:rPr>
          <w:rFonts w:asciiTheme="majorBidi" w:hAnsiTheme="majorBidi"/>
          <w:b/>
          <w:i/>
          <w:sz w:val="21"/>
        </w:rPr>
      </w:pPr>
      <w:r>
        <w:rPr>
          <w:rFonts w:asciiTheme="majorBidi" w:hAnsiTheme="majorBidi"/>
          <w:b/>
          <w:i/>
          <w:sz w:val="21"/>
        </w:rPr>
        <w:t>Article 6</w:t>
      </w:r>
    </w:p>
    <w:p w14:paraId="511C4457" w14:textId="5597AD4B" w:rsidR="00EA1DDD" w:rsidRPr="00B83542" w:rsidRDefault="00EA1DDD" w:rsidP="008C7ADF">
      <w:pPr>
        <w:tabs>
          <w:tab w:val="left" w:pos="1134"/>
        </w:tabs>
        <w:ind w:leftChars="257" w:left="565"/>
        <w:jc w:val="both"/>
        <w:rPr>
          <w:rFonts w:asciiTheme="majorBidi" w:hAnsiTheme="majorBidi" w:cstheme="majorBidi"/>
          <w:b/>
          <w:bCs/>
          <w:i/>
          <w:iCs/>
          <w:sz w:val="21"/>
          <w:szCs w:val="21"/>
        </w:rPr>
      </w:pPr>
      <w:r>
        <w:rPr>
          <w:rFonts w:asciiTheme="majorBidi" w:hAnsiTheme="majorBidi"/>
          <w:b/>
          <w:i/>
          <w:sz w:val="21"/>
        </w:rPr>
        <w:t>Demande</w:t>
      </w:r>
    </w:p>
    <w:p w14:paraId="44769A84" w14:textId="115B2BD5" w:rsidR="00EA1DDD" w:rsidRPr="00B83542" w:rsidRDefault="00EA1DDD" w:rsidP="008C7ADF">
      <w:pPr>
        <w:tabs>
          <w:tab w:val="left" w:pos="1134"/>
        </w:tabs>
        <w:ind w:leftChars="257" w:left="565"/>
        <w:jc w:val="both"/>
        <w:rPr>
          <w:rFonts w:asciiTheme="majorBidi" w:hAnsiTheme="majorBidi" w:cstheme="majorBidi"/>
          <w:i/>
          <w:iCs/>
          <w:sz w:val="21"/>
          <w:szCs w:val="21"/>
        </w:rPr>
      </w:pPr>
      <w:r>
        <w:rPr>
          <w:rFonts w:asciiTheme="majorBidi" w:hAnsiTheme="majorBidi"/>
          <w:i/>
          <w:sz w:val="21"/>
        </w:rPr>
        <w:t>[…]</w:t>
      </w:r>
    </w:p>
    <w:p w14:paraId="15129CC9" w14:textId="55EEEDA9" w:rsidR="00EA1DDD" w:rsidRPr="00B83542" w:rsidRDefault="00EA1DDD" w:rsidP="008C7ADF">
      <w:pPr>
        <w:tabs>
          <w:tab w:val="left" w:pos="1134"/>
        </w:tabs>
        <w:ind w:leftChars="257" w:left="565"/>
        <w:jc w:val="both"/>
        <w:rPr>
          <w:rFonts w:asciiTheme="majorBidi" w:hAnsiTheme="majorBidi" w:cstheme="majorBidi"/>
          <w:i/>
          <w:iCs/>
          <w:sz w:val="21"/>
          <w:szCs w:val="21"/>
        </w:rPr>
      </w:pPr>
      <w:r>
        <w:rPr>
          <w:rFonts w:asciiTheme="majorBidi" w:hAnsiTheme="majorBidi"/>
          <w:i/>
          <w:sz w:val="21"/>
        </w:rPr>
        <w:t>5)</w:t>
      </w:r>
      <w:r w:rsidR="008C7ADF">
        <w:rPr>
          <w:rFonts w:asciiTheme="majorBidi" w:hAnsiTheme="majorBidi"/>
          <w:i/>
          <w:sz w:val="21"/>
        </w:rPr>
        <w:tab/>
      </w:r>
      <w:r>
        <w:rPr>
          <w:rFonts w:asciiTheme="majorBidi" w:hAnsiTheme="majorBidi"/>
          <w:i/>
          <w:sz w:val="21"/>
        </w:rPr>
        <w:t>[Document de priorité] Lorsque la priorité d</w:t>
      </w:r>
      <w:r w:rsidR="001572E7">
        <w:rPr>
          <w:rFonts w:asciiTheme="majorBidi" w:hAnsiTheme="majorBidi"/>
          <w:i/>
          <w:sz w:val="21"/>
        </w:rPr>
        <w:t>’</w:t>
      </w:r>
      <w:r>
        <w:rPr>
          <w:rFonts w:asciiTheme="majorBidi" w:hAnsiTheme="majorBidi"/>
          <w:i/>
          <w:sz w:val="21"/>
        </w:rPr>
        <w:t>une demande antérieure est revendiquée, une Partie contractante peut exiger qu</w:t>
      </w:r>
      <w:r w:rsidR="001572E7">
        <w:rPr>
          <w:rFonts w:asciiTheme="majorBidi" w:hAnsiTheme="majorBidi"/>
          <w:i/>
          <w:sz w:val="21"/>
        </w:rPr>
        <w:t>’</w:t>
      </w:r>
      <w:r>
        <w:rPr>
          <w:rFonts w:asciiTheme="majorBidi" w:hAnsiTheme="majorBidi"/>
          <w:i/>
          <w:sz w:val="21"/>
        </w:rPr>
        <w:t>une copie de la demande antérieure, et une traduction lorsque la demande antérieure n</w:t>
      </w:r>
      <w:r w:rsidR="001572E7">
        <w:rPr>
          <w:rFonts w:asciiTheme="majorBidi" w:hAnsiTheme="majorBidi"/>
          <w:i/>
          <w:sz w:val="21"/>
        </w:rPr>
        <w:t>’</w:t>
      </w:r>
      <w:r>
        <w:rPr>
          <w:rFonts w:asciiTheme="majorBidi" w:hAnsiTheme="majorBidi"/>
          <w:i/>
          <w:sz w:val="21"/>
        </w:rPr>
        <w:t>est pas rédigée dans une langue acceptée par son office, soient remises conformément aux conditions prescrites dans le règlement d</w:t>
      </w:r>
      <w:r w:rsidR="001572E7">
        <w:rPr>
          <w:rFonts w:asciiTheme="majorBidi" w:hAnsiTheme="majorBidi"/>
          <w:i/>
          <w:sz w:val="21"/>
        </w:rPr>
        <w:t>’</w:t>
      </w:r>
      <w:r>
        <w:rPr>
          <w:rFonts w:asciiTheme="majorBidi" w:hAnsiTheme="majorBidi"/>
          <w:i/>
          <w:sz w:val="21"/>
        </w:rPr>
        <w:t>exécution.</w:t>
      </w:r>
    </w:p>
    <w:p w14:paraId="00FC98E2" w14:textId="77777777" w:rsidR="001572E7" w:rsidRDefault="00EA1DDD" w:rsidP="008C7ADF">
      <w:pPr>
        <w:tabs>
          <w:tab w:val="left" w:pos="1134"/>
        </w:tabs>
        <w:ind w:leftChars="257" w:left="565"/>
        <w:jc w:val="both"/>
        <w:rPr>
          <w:rFonts w:asciiTheme="majorBidi" w:hAnsiTheme="majorBidi"/>
          <w:sz w:val="21"/>
        </w:rPr>
      </w:pPr>
      <w:r>
        <w:rPr>
          <w:rFonts w:asciiTheme="majorBidi" w:hAnsiTheme="majorBidi"/>
          <w:i/>
          <w:sz w:val="21"/>
        </w:rPr>
        <w:t>[…]</w:t>
      </w:r>
    </w:p>
    <w:p w14:paraId="04FE1925" w14:textId="142F7CB0" w:rsidR="00EA1DDD" w:rsidRPr="00B83542" w:rsidRDefault="001572E7" w:rsidP="008C7ADF">
      <w:pPr>
        <w:tabs>
          <w:tab w:val="left" w:pos="1134"/>
        </w:tabs>
        <w:ind w:leftChars="257" w:left="565"/>
        <w:jc w:val="both"/>
        <w:rPr>
          <w:rFonts w:asciiTheme="majorBidi" w:hAnsiTheme="majorBidi" w:cstheme="majorBidi"/>
          <w:b/>
          <w:bCs/>
          <w:i/>
          <w:iCs/>
          <w:sz w:val="21"/>
          <w:szCs w:val="21"/>
        </w:rPr>
      </w:pPr>
      <w:r>
        <w:rPr>
          <w:rFonts w:asciiTheme="majorBidi" w:hAnsiTheme="majorBidi"/>
          <w:b/>
          <w:i/>
          <w:sz w:val="21"/>
        </w:rPr>
        <w:t>Article 1</w:t>
      </w:r>
      <w:r w:rsidR="00EA1DDD">
        <w:rPr>
          <w:rFonts w:asciiTheme="majorBidi" w:hAnsiTheme="majorBidi"/>
          <w:b/>
          <w:i/>
          <w:sz w:val="21"/>
        </w:rPr>
        <w:t>3</w:t>
      </w:r>
    </w:p>
    <w:p w14:paraId="23174EE6" w14:textId="5694768A" w:rsidR="00EA1DDD" w:rsidRPr="00B83542" w:rsidRDefault="00EA1DDD" w:rsidP="008C7ADF">
      <w:pPr>
        <w:tabs>
          <w:tab w:val="left" w:pos="1134"/>
        </w:tabs>
        <w:ind w:leftChars="257" w:left="565"/>
        <w:jc w:val="both"/>
        <w:rPr>
          <w:rFonts w:asciiTheme="majorBidi" w:hAnsiTheme="majorBidi" w:cstheme="majorBidi"/>
          <w:b/>
          <w:bCs/>
          <w:i/>
          <w:iCs/>
          <w:sz w:val="21"/>
          <w:szCs w:val="21"/>
        </w:rPr>
      </w:pPr>
      <w:r>
        <w:rPr>
          <w:rFonts w:asciiTheme="majorBidi" w:hAnsiTheme="majorBidi"/>
          <w:b/>
          <w:i/>
          <w:sz w:val="21"/>
        </w:rPr>
        <w:t>Correction ou adjonction d</w:t>
      </w:r>
      <w:r w:rsidR="001572E7">
        <w:rPr>
          <w:rFonts w:asciiTheme="majorBidi" w:hAnsiTheme="majorBidi"/>
          <w:b/>
          <w:i/>
          <w:sz w:val="21"/>
        </w:rPr>
        <w:t>’</w:t>
      </w:r>
      <w:r>
        <w:rPr>
          <w:rFonts w:asciiTheme="majorBidi" w:hAnsiTheme="majorBidi"/>
          <w:b/>
          <w:i/>
          <w:sz w:val="21"/>
        </w:rPr>
        <w:t>une revendication de priorité;  restauration du droit de priorité</w:t>
      </w:r>
    </w:p>
    <w:p w14:paraId="0C30C632" w14:textId="5FB3A60D" w:rsidR="001572E7" w:rsidRDefault="00EA1DDD" w:rsidP="008C7ADF">
      <w:pPr>
        <w:pStyle w:val="ListParagraph"/>
        <w:numPr>
          <w:ilvl w:val="0"/>
          <w:numId w:val="7"/>
        </w:numPr>
        <w:tabs>
          <w:tab w:val="left" w:pos="1134"/>
        </w:tabs>
        <w:ind w:leftChars="257" w:left="565" w:firstLine="0"/>
        <w:jc w:val="both"/>
        <w:rPr>
          <w:rFonts w:asciiTheme="majorBidi" w:hAnsiTheme="majorBidi"/>
          <w:i/>
          <w:sz w:val="21"/>
        </w:rPr>
      </w:pPr>
      <w:r w:rsidRPr="008C7ADF">
        <w:rPr>
          <w:rFonts w:asciiTheme="majorBidi" w:hAnsiTheme="majorBidi"/>
          <w:i/>
          <w:sz w:val="21"/>
        </w:rPr>
        <w:t>[Correction ou adjonction d</w:t>
      </w:r>
      <w:r w:rsidR="001572E7">
        <w:rPr>
          <w:rFonts w:asciiTheme="majorBidi" w:hAnsiTheme="majorBidi"/>
          <w:i/>
          <w:sz w:val="21"/>
        </w:rPr>
        <w:t>’</w:t>
      </w:r>
      <w:r w:rsidRPr="008C7ADF">
        <w:rPr>
          <w:rFonts w:asciiTheme="majorBidi" w:hAnsiTheme="majorBidi"/>
          <w:i/>
          <w:sz w:val="21"/>
        </w:rPr>
        <w:t>une revendication de priorité] Sauf disposition contraire du règlement d</w:t>
      </w:r>
      <w:r w:rsidR="001572E7">
        <w:rPr>
          <w:rFonts w:asciiTheme="majorBidi" w:hAnsiTheme="majorBidi"/>
          <w:i/>
          <w:sz w:val="21"/>
        </w:rPr>
        <w:t>’</w:t>
      </w:r>
      <w:r w:rsidRPr="008C7ADF">
        <w:rPr>
          <w:rFonts w:asciiTheme="majorBidi" w:hAnsiTheme="majorBidi"/>
          <w:i/>
          <w:sz w:val="21"/>
        </w:rPr>
        <w:t>exécution, une Partie contractante prévoit la correction d</w:t>
      </w:r>
      <w:r w:rsidR="001572E7">
        <w:rPr>
          <w:rFonts w:asciiTheme="majorBidi" w:hAnsiTheme="majorBidi"/>
          <w:i/>
          <w:sz w:val="21"/>
        </w:rPr>
        <w:t>’</w:t>
      </w:r>
      <w:r w:rsidRPr="008C7ADF">
        <w:rPr>
          <w:rFonts w:asciiTheme="majorBidi" w:hAnsiTheme="majorBidi"/>
          <w:i/>
          <w:sz w:val="21"/>
        </w:rPr>
        <w:t>une revendication de priorité ou son adjonction à une demande (la “demande ultérieure”), si</w:t>
      </w:r>
    </w:p>
    <w:p w14:paraId="411D9286" w14:textId="77777777" w:rsidR="001572E7" w:rsidRDefault="00EA1DDD" w:rsidP="008C7ADF">
      <w:pPr>
        <w:tabs>
          <w:tab w:val="left" w:pos="1134"/>
        </w:tabs>
        <w:ind w:leftChars="257" w:left="565"/>
        <w:jc w:val="both"/>
        <w:rPr>
          <w:rFonts w:asciiTheme="majorBidi" w:hAnsiTheme="majorBidi"/>
          <w:sz w:val="21"/>
        </w:rPr>
      </w:pPr>
      <w:r>
        <w:rPr>
          <w:rFonts w:asciiTheme="majorBidi" w:hAnsiTheme="majorBidi"/>
          <w:i/>
          <w:sz w:val="21"/>
        </w:rPr>
        <w:t>[…]</w:t>
      </w:r>
    </w:p>
    <w:p w14:paraId="3C169BDE" w14:textId="43E3FB46" w:rsidR="001572E7" w:rsidRDefault="00EA1DDD" w:rsidP="008C7ADF">
      <w:pPr>
        <w:tabs>
          <w:tab w:val="left" w:pos="1134"/>
        </w:tabs>
        <w:ind w:leftChars="257" w:left="565"/>
        <w:jc w:val="both"/>
        <w:rPr>
          <w:rFonts w:asciiTheme="majorBidi" w:hAnsiTheme="majorBidi"/>
          <w:i/>
          <w:sz w:val="21"/>
        </w:rPr>
      </w:pPr>
      <w:r>
        <w:rPr>
          <w:rFonts w:asciiTheme="majorBidi" w:hAnsiTheme="majorBidi"/>
          <w:i/>
          <w:sz w:val="21"/>
        </w:rPr>
        <w:t>ii)</w:t>
      </w:r>
      <w:r w:rsidR="008C7ADF">
        <w:rPr>
          <w:rFonts w:asciiTheme="majorBidi" w:hAnsiTheme="majorBidi"/>
          <w:i/>
          <w:sz w:val="21"/>
        </w:rPr>
        <w:tab/>
      </w:r>
      <w:r>
        <w:rPr>
          <w:rFonts w:asciiTheme="majorBidi" w:hAnsiTheme="majorBidi"/>
          <w:i/>
          <w:sz w:val="21"/>
        </w:rPr>
        <w:t>la requête est présentée dans le délai prescrit dans le règlement d</w:t>
      </w:r>
      <w:r w:rsidR="001572E7">
        <w:rPr>
          <w:rFonts w:asciiTheme="majorBidi" w:hAnsiTheme="majorBidi"/>
          <w:i/>
          <w:sz w:val="21"/>
        </w:rPr>
        <w:t>’</w:t>
      </w:r>
      <w:r>
        <w:rPr>
          <w:rFonts w:asciiTheme="majorBidi" w:hAnsiTheme="majorBidi"/>
          <w:i/>
          <w:sz w:val="21"/>
        </w:rPr>
        <w:t>exécution;  et</w:t>
      </w:r>
    </w:p>
    <w:p w14:paraId="57B9981D" w14:textId="77777777" w:rsidR="001572E7" w:rsidRDefault="00EA1DDD" w:rsidP="008C7ADF">
      <w:pPr>
        <w:tabs>
          <w:tab w:val="left" w:pos="1134"/>
        </w:tabs>
        <w:ind w:leftChars="257" w:left="565"/>
        <w:jc w:val="both"/>
        <w:rPr>
          <w:rFonts w:asciiTheme="majorBidi" w:hAnsiTheme="majorBidi"/>
          <w:sz w:val="21"/>
        </w:rPr>
      </w:pPr>
      <w:r>
        <w:rPr>
          <w:rFonts w:asciiTheme="majorBidi" w:hAnsiTheme="majorBidi"/>
          <w:i/>
          <w:sz w:val="21"/>
        </w:rPr>
        <w:t>[…]</w:t>
      </w:r>
    </w:p>
    <w:p w14:paraId="3D8E96B4" w14:textId="4A667594" w:rsidR="00EA1DDD" w:rsidRPr="00B83542" w:rsidRDefault="00EA1DDD" w:rsidP="008C7ADF">
      <w:pPr>
        <w:tabs>
          <w:tab w:val="left" w:pos="1134"/>
        </w:tabs>
        <w:ind w:leftChars="257" w:left="565"/>
        <w:jc w:val="both"/>
        <w:rPr>
          <w:rFonts w:asciiTheme="majorBidi" w:hAnsiTheme="majorBidi" w:cstheme="majorBidi"/>
          <w:b/>
          <w:bCs/>
          <w:i/>
          <w:iCs/>
          <w:sz w:val="21"/>
          <w:szCs w:val="21"/>
        </w:rPr>
      </w:pPr>
    </w:p>
    <w:p w14:paraId="223849BD" w14:textId="4D99CD6D" w:rsidR="00EA1DDD" w:rsidRPr="00B83542" w:rsidRDefault="00EA1DDD" w:rsidP="008C7ADF">
      <w:pPr>
        <w:tabs>
          <w:tab w:val="left" w:pos="1134"/>
        </w:tabs>
        <w:ind w:leftChars="257" w:left="565"/>
        <w:jc w:val="both"/>
        <w:rPr>
          <w:rFonts w:asciiTheme="majorBidi" w:hAnsiTheme="majorBidi" w:cstheme="majorBidi"/>
          <w:b/>
          <w:bCs/>
          <w:i/>
          <w:iCs/>
          <w:sz w:val="21"/>
          <w:szCs w:val="21"/>
        </w:rPr>
      </w:pPr>
      <w:r>
        <w:rPr>
          <w:rFonts w:asciiTheme="majorBidi" w:hAnsiTheme="majorBidi"/>
          <w:b/>
          <w:i/>
          <w:sz w:val="21"/>
        </w:rPr>
        <w:t>Règlement d</w:t>
      </w:r>
      <w:r w:rsidR="001572E7">
        <w:rPr>
          <w:rFonts w:asciiTheme="majorBidi" w:hAnsiTheme="majorBidi"/>
          <w:b/>
          <w:i/>
          <w:sz w:val="21"/>
        </w:rPr>
        <w:t>’</w:t>
      </w:r>
      <w:r>
        <w:rPr>
          <w:rFonts w:asciiTheme="majorBidi" w:hAnsiTheme="majorBidi"/>
          <w:b/>
          <w:i/>
          <w:sz w:val="21"/>
        </w:rPr>
        <w:t>exécution du Traité sur le droit des brevets</w:t>
      </w:r>
    </w:p>
    <w:p w14:paraId="6471A309" w14:textId="77777777" w:rsidR="00EA1DDD" w:rsidRPr="00B83542" w:rsidRDefault="00EA1DDD" w:rsidP="008C7ADF">
      <w:pPr>
        <w:tabs>
          <w:tab w:val="left" w:pos="1134"/>
        </w:tabs>
        <w:ind w:leftChars="257" w:left="565"/>
        <w:jc w:val="both"/>
        <w:rPr>
          <w:rFonts w:asciiTheme="majorBidi" w:hAnsiTheme="majorBidi" w:cstheme="majorBidi"/>
          <w:b/>
          <w:bCs/>
          <w:i/>
          <w:iCs/>
          <w:sz w:val="21"/>
          <w:szCs w:val="21"/>
        </w:rPr>
      </w:pPr>
      <w:r>
        <w:rPr>
          <w:rFonts w:asciiTheme="majorBidi" w:hAnsiTheme="majorBidi"/>
          <w:b/>
          <w:i/>
          <w:sz w:val="21"/>
        </w:rPr>
        <w:t>Règle 4</w:t>
      </w:r>
    </w:p>
    <w:p w14:paraId="76888621" w14:textId="3842518C" w:rsidR="00EA1DDD" w:rsidRPr="00B83542" w:rsidRDefault="00EA1DDD" w:rsidP="008C7ADF">
      <w:pPr>
        <w:tabs>
          <w:tab w:val="left" w:pos="1134"/>
        </w:tabs>
        <w:ind w:leftChars="257" w:left="565"/>
        <w:jc w:val="both"/>
        <w:rPr>
          <w:rFonts w:asciiTheme="majorBidi" w:hAnsiTheme="majorBidi" w:cstheme="majorBidi"/>
          <w:b/>
          <w:bCs/>
          <w:i/>
          <w:iCs/>
          <w:sz w:val="21"/>
          <w:szCs w:val="21"/>
        </w:rPr>
      </w:pPr>
      <w:r>
        <w:rPr>
          <w:rFonts w:asciiTheme="majorBidi" w:hAnsiTheme="majorBidi"/>
          <w:b/>
          <w:i/>
          <w:sz w:val="21"/>
        </w:rPr>
        <w:t>Accessibilité de la demande antérieure en vertu de l</w:t>
      </w:r>
      <w:r w:rsidR="001572E7">
        <w:rPr>
          <w:rFonts w:asciiTheme="majorBidi" w:hAnsiTheme="majorBidi"/>
          <w:b/>
          <w:i/>
          <w:sz w:val="21"/>
        </w:rPr>
        <w:t>’</w:t>
      </w:r>
      <w:r>
        <w:rPr>
          <w:rFonts w:asciiTheme="majorBidi" w:hAnsiTheme="majorBidi"/>
          <w:b/>
          <w:i/>
          <w:sz w:val="21"/>
        </w:rPr>
        <w:t>article 6.5) et de la règle 2.4),ou de la demande déposée antérieurement en vertu de la règle 2.5)b)</w:t>
      </w:r>
    </w:p>
    <w:p w14:paraId="6E8E9579" w14:textId="2D614336" w:rsidR="00EA1DDD" w:rsidRPr="00B83542" w:rsidRDefault="00EA1DDD" w:rsidP="008C7ADF">
      <w:pPr>
        <w:tabs>
          <w:tab w:val="left" w:pos="1134"/>
        </w:tabs>
        <w:ind w:leftChars="257" w:left="565"/>
        <w:jc w:val="both"/>
        <w:rPr>
          <w:rFonts w:asciiTheme="majorBidi" w:hAnsiTheme="majorBidi" w:cstheme="majorBidi"/>
          <w:i/>
          <w:iCs/>
          <w:sz w:val="21"/>
          <w:szCs w:val="21"/>
        </w:rPr>
      </w:pPr>
      <w:r>
        <w:rPr>
          <w:rFonts w:asciiTheme="majorBidi" w:hAnsiTheme="majorBidi"/>
          <w:i/>
          <w:sz w:val="21"/>
        </w:rPr>
        <w:t>1)</w:t>
      </w:r>
      <w:r w:rsidR="008C7ADF">
        <w:rPr>
          <w:rFonts w:asciiTheme="majorBidi" w:hAnsiTheme="majorBidi"/>
          <w:i/>
          <w:sz w:val="21"/>
        </w:rPr>
        <w:tab/>
      </w:r>
      <w:r>
        <w:rPr>
          <w:rFonts w:asciiTheme="majorBidi" w:hAnsiTheme="majorBidi"/>
          <w:i/>
          <w:sz w:val="21"/>
        </w:rPr>
        <w:t>[Copie de la demande antérieure visée à l</w:t>
      </w:r>
      <w:r w:rsidR="001572E7">
        <w:rPr>
          <w:rFonts w:asciiTheme="majorBidi" w:hAnsiTheme="majorBidi"/>
          <w:i/>
          <w:sz w:val="21"/>
        </w:rPr>
        <w:t>’</w:t>
      </w:r>
      <w:r>
        <w:rPr>
          <w:rFonts w:asciiTheme="majorBidi" w:hAnsiTheme="majorBidi"/>
          <w:i/>
          <w:sz w:val="21"/>
        </w:rPr>
        <w:t>article 6.5)] Sous réserve de l</w:t>
      </w:r>
      <w:r w:rsidR="001572E7">
        <w:rPr>
          <w:rFonts w:asciiTheme="majorBidi" w:hAnsiTheme="majorBidi"/>
          <w:i/>
          <w:sz w:val="21"/>
        </w:rPr>
        <w:t>’</w:t>
      </w:r>
      <w:r>
        <w:rPr>
          <w:rFonts w:asciiTheme="majorBidi" w:hAnsiTheme="majorBidi"/>
          <w:i/>
          <w:sz w:val="21"/>
        </w:rPr>
        <w:t>alinéa 3), une Partie contractante peut exiger que la copie de la demande antérieure visée à l</w:t>
      </w:r>
      <w:r w:rsidR="001572E7">
        <w:rPr>
          <w:rFonts w:asciiTheme="majorBidi" w:hAnsiTheme="majorBidi"/>
          <w:i/>
          <w:sz w:val="21"/>
        </w:rPr>
        <w:t>’</w:t>
      </w:r>
      <w:r>
        <w:rPr>
          <w:rFonts w:asciiTheme="majorBidi" w:hAnsiTheme="majorBidi"/>
          <w:i/>
          <w:sz w:val="21"/>
        </w:rPr>
        <w:t>article 6.5) soit remise à l</w:t>
      </w:r>
      <w:r w:rsidR="001572E7">
        <w:rPr>
          <w:rFonts w:asciiTheme="majorBidi" w:hAnsiTheme="majorBidi"/>
          <w:i/>
          <w:sz w:val="21"/>
        </w:rPr>
        <w:t>’</w:t>
      </w:r>
      <w:r>
        <w:rPr>
          <w:rFonts w:asciiTheme="majorBidi" w:hAnsiTheme="majorBidi"/>
          <w:i/>
          <w:sz w:val="21"/>
        </w:rPr>
        <w:t>office dans un délai d</w:t>
      </w:r>
      <w:r w:rsidR="001572E7">
        <w:rPr>
          <w:rFonts w:asciiTheme="majorBidi" w:hAnsiTheme="majorBidi"/>
          <w:i/>
          <w:sz w:val="21"/>
        </w:rPr>
        <w:t>’</w:t>
      </w:r>
      <w:r>
        <w:rPr>
          <w:rFonts w:asciiTheme="majorBidi" w:hAnsiTheme="majorBidi"/>
          <w:i/>
          <w:sz w:val="21"/>
        </w:rPr>
        <w:t>au moins 16</w:t>
      </w:r>
      <w:r w:rsidR="005603DC">
        <w:rPr>
          <w:rFonts w:asciiTheme="majorBidi" w:hAnsiTheme="majorBidi"/>
          <w:i/>
          <w:sz w:val="21"/>
        </w:rPr>
        <w:t> </w:t>
      </w:r>
      <w:r>
        <w:rPr>
          <w:rFonts w:asciiTheme="majorBidi" w:hAnsiTheme="majorBidi"/>
          <w:i/>
          <w:sz w:val="21"/>
        </w:rPr>
        <w:t>mois à compter de la date de dépôt de la demande antérieure en question ou, lorsqu</w:t>
      </w:r>
      <w:r w:rsidR="001572E7">
        <w:rPr>
          <w:rFonts w:asciiTheme="majorBidi" w:hAnsiTheme="majorBidi"/>
          <w:i/>
          <w:sz w:val="21"/>
        </w:rPr>
        <w:t>’</w:t>
      </w:r>
      <w:r>
        <w:rPr>
          <w:rFonts w:asciiTheme="majorBidi" w:hAnsiTheme="majorBidi"/>
          <w:i/>
          <w:sz w:val="21"/>
        </w:rPr>
        <w:t>il y en a plusieurs, à compter de la date de dépôt la plus ancienne de ces demandes antérieures.</w:t>
      </w:r>
    </w:p>
    <w:p w14:paraId="6F093BF7" w14:textId="200AD6A3" w:rsidR="00EA1DDD" w:rsidRPr="00B83542" w:rsidRDefault="00EA1DDD" w:rsidP="008C7ADF">
      <w:pPr>
        <w:tabs>
          <w:tab w:val="left" w:pos="1134"/>
        </w:tabs>
        <w:ind w:leftChars="257" w:left="565"/>
        <w:jc w:val="both"/>
        <w:rPr>
          <w:rFonts w:asciiTheme="majorBidi" w:hAnsiTheme="majorBidi" w:cstheme="majorBidi"/>
          <w:i/>
          <w:iCs/>
          <w:sz w:val="21"/>
          <w:szCs w:val="21"/>
        </w:rPr>
      </w:pPr>
      <w:r>
        <w:rPr>
          <w:rFonts w:asciiTheme="majorBidi" w:hAnsiTheme="majorBidi"/>
          <w:i/>
          <w:sz w:val="21"/>
        </w:rPr>
        <w:t>[…]</w:t>
      </w:r>
    </w:p>
    <w:p w14:paraId="504E5A0E" w14:textId="77777777" w:rsidR="00EA1DDD" w:rsidRPr="00B83542" w:rsidRDefault="00EA1DDD" w:rsidP="008C7ADF">
      <w:pPr>
        <w:keepNext/>
        <w:tabs>
          <w:tab w:val="left" w:pos="1134"/>
        </w:tabs>
        <w:ind w:leftChars="257" w:left="565"/>
        <w:jc w:val="both"/>
        <w:rPr>
          <w:rFonts w:asciiTheme="majorBidi" w:hAnsiTheme="majorBidi" w:cstheme="majorBidi"/>
          <w:b/>
          <w:bCs/>
          <w:i/>
          <w:iCs/>
          <w:sz w:val="21"/>
          <w:szCs w:val="21"/>
        </w:rPr>
      </w:pPr>
      <w:r>
        <w:rPr>
          <w:rFonts w:asciiTheme="majorBidi" w:hAnsiTheme="majorBidi"/>
          <w:b/>
          <w:i/>
          <w:sz w:val="21"/>
        </w:rPr>
        <w:t>Règle 14</w:t>
      </w:r>
    </w:p>
    <w:p w14:paraId="68E1B781" w14:textId="14269419" w:rsidR="00EA1DDD" w:rsidRPr="00B83542" w:rsidRDefault="00EA1DDD" w:rsidP="008C7ADF">
      <w:pPr>
        <w:keepNext/>
        <w:tabs>
          <w:tab w:val="left" w:pos="1134"/>
        </w:tabs>
        <w:ind w:leftChars="257" w:left="565"/>
        <w:jc w:val="both"/>
        <w:rPr>
          <w:rFonts w:asciiTheme="majorBidi" w:hAnsiTheme="majorBidi" w:cstheme="majorBidi"/>
          <w:b/>
          <w:bCs/>
          <w:i/>
          <w:iCs/>
          <w:sz w:val="21"/>
          <w:szCs w:val="21"/>
        </w:rPr>
      </w:pPr>
      <w:r>
        <w:rPr>
          <w:rFonts w:asciiTheme="majorBidi" w:hAnsiTheme="majorBidi"/>
          <w:b/>
          <w:i/>
          <w:sz w:val="21"/>
        </w:rPr>
        <w:t>Précisions relatives à la correction ou à l</w:t>
      </w:r>
      <w:r w:rsidR="001572E7">
        <w:rPr>
          <w:rFonts w:asciiTheme="majorBidi" w:hAnsiTheme="majorBidi"/>
          <w:b/>
          <w:i/>
          <w:sz w:val="21"/>
        </w:rPr>
        <w:t>’</w:t>
      </w:r>
      <w:r>
        <w:rPr>
          <w:rFonts w:asciiTheme="majorBidi" w:hAnsiTheme="majorBidi"/>
          <w:b/>
          <w:i/>
          <w:sz w:val="21"/>
        </w:rPr>
        <w:t>adjonction d</w:t>
      </w:r>
      <w:r w:rsidR="001572E7">
        <w:rPr>
          <w:rFonts w:asciiTheme="majorBidi" w:hAnsiTheme="majorBidi"/>
          <w:b/>
          <w:i/>
          <w:sz w:val="21"/>
        </w:rPr>
        <w:t>’</w:t>
      </w:r>
      <w:r>
        <w:rPr>
          <w:rFonts w:asciiTheme="majorBidi" w:hAnsiTheme="majorBidi"/>
          <w:b/>
          <w:i/>
          <w:sz w:val="21"/>
        </w:rPr>
        <w:t>une revendication de priorité et à la restauration du droit de priorité en vertu de l</w:t>
      </w:r>
      <w:r w:rsidR="001572E7">
        <w:rPr>
          <w:rFonts w:asciiTheme="majorBidi" w:hAnsiTheme="majorBidi"/>
          <w:b/>
          <w:i/>
          <w:sz w:val="21"/>
        </w:rPr>
        <w:t>’</w:t>
      </w:r>
      <w:r>
        <w:rPr>
          <w:rFonts w:asciiTheme="majorBidi" w:hAnsiTheme="majorBidi"/>
          <w:b/>
          <w:i/>
          <w:sz w:val="21"/>
        </w:rPr>
        <w:t>article 13</w:t>
      </w:r>
    </w:p>
    <w:p w14:paraId="4DEFDCF1" w14:textId="77777777" w:rsidR="001572E7" w:rsidRDefault="00EA1DDD" w:rsidP="00A1714A">
      <w:pPr>
        <w:keepNext/>
        <w:tabs>
          <w:tab w:val="left" w:pos="1134"/>
        </w:tabs>
        <w:ind w:leftChars="257" w:left="565"/>
        <w:jc w:val="both"/>
        <w:rPr>
          <w:rFonts w:asciiTheme="majorBidi" w:hAnsiTheme="majorBidi"/>
          <w:sz w:val="21"/>
        </w:rPr>
      </w:pPr>
      <w:r>
        <w:rPr>
          <w:rFonts w:asciiTheme="majorBidi" w:hAnsiTheme="majorBidi"/>
          <w:i/>
          <w:sz w:val="21"/>
        </w:rPr>
        <w:t>[…]</w:t>
      </w:r>
    </w:p>
    <w:p w14:paraId="47CB98D7" w14:textId="0A66A7AD" w:rsidR="00EA1DDD" w:rsidRPr="00B83542" w:rsidRDefault="00EA1DDD" w:rsidP="008C7ADF">
      <w:pPr>
        <w:tabs>
          <w:tab w:val="left" w:pos="1134"/>
        </w:tabs>
        <w:ind w:leftChars="257" w:left="565"/>
        <w:jc w:val="both"/>
        <w:rPr>
          <w:rFonts w:asciiTheme="majorBidi" w:hAnsiTheme="majorBidi" w:cstheme="majorBidi"/>
          <w:i/>
          <w:iCs/>
          <w:sz w:val="21"/>
          <w:szCs w:val="21"/>
        </w:rPr>
      </w:pPr>
      <w:r>
        <w:rPr>
          <w:rFonts w:asciiTheme="majorBidi" w:hAnsiTheme="majorBidi"/>
          <w:i/>
          <w:sz w:val="21"/>
        </w:rPr>
        <w:t>3)</w:t>
      </w:r>
      <w:r w:rsidR="008C7ADF">
        <w:rPr>
          <w:rFonts w:asciiTheme="majorBidi" w:hAnsiTheme="majorBidi"/>
          <w:i/>
          <w:sz w:val="21"/>
        </w:rPr>
        <w:tab/>
      </w:r>
      <w:r>
        <w:rPr>
          <w:rFonts w:asciiTheme="majorBidi" w:hAnsiTheme="majorBidi"/>
          <w:i/>
          <w:sz w:val="21"/>
        </w:rPr>
        <w:t>[Délai visé à l</w:t>
      </w:r>
      <w:r w:rsidR="001572E7">
        <w:rPr>
          <w:rFonts w:asciiTheme="majorBidi" w:hAnsiTheme="majorBidi"/>
          <w:i/>
          <w:sz w:val="21"/>
        </w:rPr>
        <w:t>’</w:t>
      </w:r>
      <w:r>
        <w:rPr>
          <w:rFonts w:asciiTheme="majorBidi" w:hAnsiTheme="majorBidi"/>
          <w:i/>
          <w:sz w:val="21"/>
        </w:rPr>
        <w:t>article 13.1)ii)] Le délai visé à l</w:t>
      </w:r>
      <w:r w:rsidR="001572E7">
        <w:rPr>
          <w:rFonts w:asciiTheme="majorBidi" w:hAnsiTheme="majorBidi"/>
          <w:i/>
          <w:sz w:val="21"/>
        </w:rPr>
        <w:t>’</w:t>
      </w:r>
      <w:r>
        <w:rPr>
          <w:rFonts w:asciiTheme="majorBidi" w:hAnsiTheme="majorBidi"/>
          <w:i/>
          <w:sz w:val="21"/>
        </w:rPr>
        <w:t xml:space="preserve">article 13.1)ii) ne doit pas être inférieur au délai applicable, en vertu du Traité de coopération en matière de brevets, </w:t>
      </w:r>
      <w:r w:rsidR="001572E7">
        <w:rPr>
          <w:rFonts w:asciiTheme="majorBidi" w:hAnsiTheme="majorBidi"/>
          <w:i/>
          <w:sz w:val="21"/>
        </w:rPr>
        <w:t>à l’égard</w:t>
      </w:r>
      <w:r>
        <w:rPr>
          <w:rFonts w:asciiTheme="majorBidi" w:hAnsiTheme="majorBidi"/>
          <w:i/>
          <w:sz w:val="21"/>
        </w:rPr>
        <w:t xml:space="preserve"> d</w:t>
      </w:r>
      <w:r w:rsidR="001572E7">
        <w:rPr>
          <w:rFonts w:asciiTheme="majorBidi" w:hAnsiTheme="majorBidi"/>
          <w:i/>
          <w:sz w:val="21"/>
        </w:rPr>
        <w:t>’</w:t>
      </w:r>
      <w:r>
        <w:rPr>
          <w:rFonts w:asciiTheme="majorBidi" w:hAnsiTheme="majorBidi"/>
          <w:i/>
          <w:sz w:val="21"/>
        </w:rPr>
        <w:t>une demande internationale pour la présentation d</w:t>
      </w:r>
      <w:r w:rsidR="001572E7">
        <w:rPr>
          <w:rFonts w:asciiTheme="majorBidi" w:hAnsiTheme="majorBidi"/>
          <w:i/>
          <w:sz w:val="21"/>
        </w:rPr>
        <w:t>’</w:t>
      </w:r>
      <w:r>
        <w:rPr>
          <w:rFonts w:asciiTheme="majorBidi" w:hAnsiTheme="majorBidi"/>
          <w:i/>
          <w:sz w:val="21"/>
        </w:rPr>
        <w:t>une revendication de priorité après le dépôt d</w:t>
      </w:r>
      <w:r w:rsidR="001572E7">
        <w:rPr>
          <w:rFonts w:asciiTheme="majorBidi" w:hAnsiTheme="majorBidi"/>
          <w:i/>
          <w:sz w:val="21"/>
        </w:rPr>
        <w:t>’</w:t>
      </w:r>
      <w:r>
        <w:rPr>
          <w:rFonts w:asciiTheme="majorBidi" w:hAnsiTheme="majorBidi"/>
          <w:i/>
          <w:sz w:val="21"/>
        </w:rPr>
        <w:t>une demande internationale.</w:t>
      </w:r>
    </w:p>
    <w:p w14:paraId="68B34E83" w14:textId="4B2D2B6C" w:rsidR="00EA1DDD" w:rsidRPr="008C7ADF" w:rsidRDefault="00EA1DDD" w:rsidP="008C7ADF">
      <w:pPr>
        <w:tabs>
          <w:tab w:val="left" w:pos="1134"/>
        </w:tabs>
        <w:ind w:leftChars="257" w:left="565"/>
        <w:jc w:val="both"/>
        <w:rPr>
          <w:rFonts w:ascii="Times New Roman" w:hAnsi="Times New Roman" w:cs="Times New Roman"/>
          <w:i/>
          <w:iCs/>
          <w:sz w:val="21"/>
          <w:szCs w:val="18"/>
        </w:rPr>
      </w:pPr>
      <w:r>
        <w:rPr>
          <w:i/>
          <w:sz w:val="21"/>
        </w:rPr>
        <w:t>[…]</w:t>
      </w:r>
    </w:p>
    <w:p w14:paraId="41D7F2B2" w14:textId="77777777" w:rsidR="00EA1DDD" w:rsidRDefault="00EA1DDD" w:rsidP="008C7ADF">
      <w:pPr>
        <w:tabs>
          <w:tab w:val="left" w:pos="1134"/>
        </w:tabs>
        <w:ind w:leftChars="257" w:left="565"/>
        <w:jc w:val="both"/>
        <w:rPr>
          <w:b/>
          <w:bCs/>
          <w:i/>
          <w:iCs/>
          <w:sz w:val="21"/>
          <w:szCs w:val="18"/>
        </w:rPr>
      </w:pPr>
    </w:p>
    <w:p w14:paraId="14868137" w14:textId="04FA8320" w:rsidR="00EA1DDD" w:rsidRPr="00B83542" w:rsidRDefault="00EA1DDD" w:rsidP="008C7ADF">
      <w:pPr>
        <w:tabs>
          <w:tab w:val="left" w:pos="1134"/>
        </w:tabs>
        <w:ind w:leftChars="257" w:left="565"/>
        <w:jc w:val="both"/>
        <w:rPr>
          <w:rFonts w:asciiTheme="majorBidi" w:hAnsiTheme="majorBidi" w:cstheme="majorBidi"/>
          <w:b/>
          <w:bCs/>
          <w:i/>
          <w:iCs/>
          <w:sz w:val="21"/>
          <w:szCs w:val="18"/>
        </w:rPr>
      </w:pPr>
      <w:r>
        <w:rPr>
          <w:rFonts w:asciiTheme="majorBidi" w:hAnsiTheme="majorBidi"/>
          <w:b/>
          <w:i/>
          <w:sz w:val="21"/>
        </w:rPr>
        <w:t>Règlement d</w:t>
      </w:r>
      <w:r w:rsidR="001572E7">
        <w:rPr>
          <w:rFonts w:asciiTheme="majorBidi" w:hAnsiTheme="majorBidi"/>
          <w:b/>
          <w:i/>
          <w:sz w:val="21"/>
        </w:rPr>
        <w:t>’</w:t>
      </w:r>
      <w:r>
        <w:rPr>
          <w:rFonts w:asciiTheme="majorBidi" w:hAnsiTheme="majorBidi"/>
          <w:b/>
          <w:i/>
          <w:sz w:val="21"/>
        </w:rPr>
        <w:t>exécution</w:t>
      </w:r>
      <w:r w:rsidR="001572E7">
        <w:rPr>
          <w:rFonts w:asciiTheme="majorBidi" w:hAnsiTheme="majorBidi"/>
          <w:b/>
          <w:i/>
          <w:sz w:val="21"/>
        </w:rPr>
        <w:t xml:space="preserve"> du PCT</w:t>
      </w:r>
    </w:p>
    <w:p w14:paraId="0717D9B3" w14:textId="77777777" w:rsidR="00EA1DDD" w:rsidRPr="00B83542" w:rsidRDefault="00EA1DDD" w:rsidP="008C7ADF">
      <w:pPr>
        <w:tabs>
          <w:tab w:val="left" w:pos="1134"/>
        </w:tabs>
        <w:ind w:leftChars="257" w:left="565"/>
        <w:jc w:val="both"/>
        <w:rPr>
          <w:rFonts w:asciiTheme="majorBidi" w:hAnsiTheme="majorBidi" w:cstheme="majorBidi"/>
          <w:b/>
          <w:bCs/>
          <w:i/>
          <w:iCs/>
          <w:sz w:val="21"/>
          <w:szCs w:val="18"/>
        </w:rPr>
      </w:pPr>
      <w:r>
        <w:rPr>
          <w:rFonts w:asciiTheme="majorBidi" w:hAnsiTheme="majorBidi"/>
          <w:b/>
          <w:i/>
          <w:sz w:val="21"/>
        </w:rPr>
        <w:t>Règle 26bis</w:t>
      </w:r>
    </w:p>
    <w:p w14:paraId="39075CC7" w14:textId="654719F2" w:rsidR="00EA1DDD" w:rsidRPr="00B83542" w:rsidRDefault="00EA1DDD" w:rsidP="002E3C9F">
      <w:pPr>
        <w:tabs>
          <w:tab w:val="left" w:pos="1134"/>
          <w:tab w:val="left" w:pos="1276"/>
        </w:tabs>
        <w:ind w:leftChars="257" w:left="565"/>
        <w:jc w:val="both"/>
        <w:rPr>
          <w:rFonts w:asciiTheme="majorBidi" w:hAnsiTheme="majorBidi" w:cstheme="majorBidi"/>
          <w:b/>
          <w:bCs/>
          <w:i/>
          <w:iCs/>
          <w:sz w:val="21"/>
          <w:szCs w:val="18"/>
        </w:rPr>
      </w:pPr>
      <w:r>
        <w:rPr>
          <w:rFonts w:asciiTheme="majorBidi" w:hAnsiTheme="majorBidi"/>
          <w:b/>
          <w:i/>
          <w:sz w:val="21"/>
        </w:rPr>
        <w:t>26bis.1</w:t>
      </w:r>
      <w:r w:rsidR="002E3C9F">
        <w:rPr>
          <w:rFonts w:asciiTheme="majorBidi" w:hAnsiTheme="majorBidi"/>
          <w:b/>
          <w:i/>
          <w:sz w:val="21"/>
        </w:rPr>
        <w:tab/>
      </w:r>
      <w:r>
        <w:rPr>
          <w:rFonts w:asciiTheme="majorBidi" w:hAnsiTheme="majorBidi"/>
          <w:b/>
          <w:i/>
          <w:sz w:val="21"/>
        </w:rPr>
        <w:t>Correction ou adjonction de revendications de priorité</w:t>
      </w:r>
    </w:p>
    <w:p w14:paraId="6A7F1356" w14:textId="4D821B0C" w:rsidR="00EA1DDD" w:rsidRPr="00B83542" w:rsidRDefault="00EA1DDD" w:rsidP="008C7ADF">
      <w:pPr>
        <w:tabs>
          <w:tab w:val="left" w:pos="1134"/>
        </w:tabs>
        <w:ind w:leftChars="257" w:left="565"/>
        <w:jc w:val="both"/>
        <w:rPr>
          <w:rFonts w:asciiTheme="majorBidi" w:hAnsiTheme="majorBidi" w:cstheme="majorBidi"/>
          <w:i/>
          <w:iCs/>
          <w:sz w:val="21"/>
          <w:szCs w:val="18"/>
        </w:rPr>
      </w:pPr>
      <w:r>
        <w:rPr>
          <w:rFonts w:asciiTheme="majorBidi" w:hAnsiTheme="majorBidi"/>
          <w:i/>
          <w:sz w:val="21"/>
        </w:rPr>
        <w:t>a)</w:t>
      </w:r>
      <w:r w:rsidR="008C7ADF">
        <w:rPr>
          <w:rFonts w:asciiTheme="majorBidi" w:hAnsiTheme="majorBidi"/>
          <w:i/>
          <w:sz w:val="21"/>
        </w:rPr>
        <w:tab/>
      </w:r>
      <w:r>
        <w:rPr>
          <w:rFonts w:asciiTheme="majorBidi" w:hAnsiTheme="majorBidi"/>
          <w:i/>
          <w:sz w:val="21"/>
        </w:rPr>
        <w:t>Le déposant peut corriger une revendication de priorité ou ajouter à la requête une revendication de priorité par communication soumise à l</w:t>
      </w:r>
      <w:r w:rsidR="001572E7">
        <w:rPr>
          <w:rFonts w:asciiTheme="majorBidi" w:hAnsiTheme="majorBidi"/>
          <w:i/>
          <w:sz w:val="21"/>
        </w:rPr>
        <w:t>’</w:t>
      </w:r>
      <w:r>
        <w:rPr>
          <w:rFonts w:asciiTheme="majorBidi" w:hAnsiTheme="majorBidi"/>
          <w:i/>
          <w:sz w:val="21"/>
        </w:rPr>
        <w:t>office récepteur ou au Bureau international dans un délai de 16</w:t>
      </w:r>
      <w:r w:rsidR="005603DC">
        <w:rPr>
          <w:rFonts w:asciiTheme="majorBidi" w:hAnsiTheme="majorBidi"/>
          <w:i/>
          <w:sz w:val="21"/>
        </w:rPr>
        <w:t> </w:t>
      </w:r>
      <w:r>
        <w:rPr>
          <w:rFonts w:asciiTheme="majorBidi" w:hAnsiTheme="majorBidi"/>
          <w:i/>
          <w:sz w:val="21"/>
        </w:rPr>
        <w:t>mois à compter de la date de priorité ou, au cas où la correction ou l</w:t>
      </w:r>
      <w:r w:rsidR="001572E7">
        <w:rPr>
          <w:rFonts w:asciiTheme="majorBidi" w:hAnsiTheme="majorBidi"/>
          <w:i/>
          <w:sz w:val="21"/>
        </w:rPr>
        <w:t>’</w:t>
      </w:r>
      <w:r>
        <w:rPr>
          <w:rFonts w:asciiTheme="majorBidi" w:hAnsiTheme="majorBidi"/>
          <w:i/>
          <w:sz w:val="21"/>
        </w:rPr>
        <w:t>adjonction entraînerait un changement de date de priorité, dans un délai de 16</w:t>
      </w:r>
      <w:r w:rsidR="005603DC">
        <w:rPr>
          <w:rFonts w:asciiTheme="majorBidi" w:hAnsiTheme="majorBidi"/>
          <w:i/>
          <w:sz w:val="21"/>
        </w:rPr>
        <w:t> </w:t>
      </w:r>
      <w:r>
        <w:rPr>
          <w:rFonts w:asciiTheme="majorBidi" w:hAnsiTheme="majorBidi"/>
          <w:i/>
          <w:sz w:val="21"/>
        </w:rPr>
        <w:t>mois à compter de la date de priorité ainsi modifiée, le délai de 16</w:t>
      </w:r>
      <w:r w:rsidR="005603DC">
        <w:rPr>
          <w:rFonts w:asciiTheme="majorBidi" w:hAnsiTheme="majorBidi"/>
          <w:i/>
          <w:sz w:val="21"/>
        </w:rPr>
        <w:t> </w:t>
      </w:r>
      <w:r>
        <w:rPr>
          <w:rFonts w:asciiTheme="majorBidi" w:hAnsiTheme="majorBidi"/>
          <w:i/>
          <w:sz w:val="21"/>
        </w:rPr>
        <w:t>mois qui expire en premier devant être appliqué, étant entendu que ladite communication peut être soumise jusqu</w:t>
      </w:r>
      <w:r w:rsidR="001572E7">
        <w:rPr>
          <w:rFonts w:asciiTheme="majorBidi" w:hAnsiTheme="majorBidi"/>
          <w:i/>
          <w:sz w:val="21"/>
        </w:rPr>
        <w:t>’</w:t>
      </w:r>
      <w:r>
        <w:rPr>
          <w:rFonts w:asciiTheme="majorBidi" w:hAnsiTheme="majorBidi"/>
          <w:i/>
          <w:sz w:val="21"/>
        </w:rPr>
        <w:t>à l</w:t>
      </w:r>
      <w:r w:rsidR="001572E7">
        <w:rPr>
          <w:rFonts w:asciiTheme="majorBidi" w:hAnsiTheme="majorBidi"/>
          <w:i/>
          <w:sz w:val="21"/>
        </w:rPr>
        <w:t>’</w:t>
      </w:r>
      <w:r>
        <w:rPr>
          <w:rFonts w:asciiTheme="majorBidi" w:hAnsiTheme="majorBidi"/>
          <w:i/>
          <w:sz w:val="21"/>
        </w:rPr>
        <w:t>expiration d</w:t>
      </w:r>
      <w:r w:rsidR="001572E7">
        <w:rPr>
          <w:rFonts w:asciiTheme="majorBidi" w:hAnsiTheme="majorBidi"/>
          <w:i/>
          <w:sz w:val="21"/>
        </w:rPr>
        <w:t>’</w:t>
      </w:r>
      <w:r>
        <w:rPr>
          <w:rFonts w:asciiTheme="majorBidi" w:hAnsiTheme="majorBidi"/>
          <w:i/>
          <w:sz w:val="21"/>
        </w:rPr>
        <w:t>un délai de quatre</w:t>
      </w:r>
      <w:r w:rsidR="00C50DE9">
        <w:rPr>
          <w:rFonts w:asciiTheme="majorBidi" w:hAnsiTheme="majorBidi"/>
          <w:i/>
          <w:sz w:val="21"/>
        </w:rPr>
        <w:t> </w:t>
      </w:r>
      <w:r>
        <w:rPr>
          <w:rFonts w:asciiTheme="majorBidi" w:hAnsiTheme="majorBidi"/>
          <w:i/>
          <w:sz w:val="21"/>
        </w:rPr>
        <w:t>mois à compter de la date du dépôt international.  La correction d</w:t>
      </w:r>
      <w:r w:rsidR="001572E7">
        <w:rPr>
          <w:rFonts w:asciiTheme="majorBidi" w:hAnsiTheme="majorBidi"/>
          <w:i/>
          <w:sz w:val="21"/>
        </w:rPr>
        <w:t>’</w:t>
      </w:r>
      <w:r>
        <w:rPr>
          <w:rFonts w:asciiTheme="majorBidi" w:hAnsiTheme="majorBidi"/>
          <w:i/>
          <w:sz w:val="21"/>
        </w:rPr>
        <w:t>une revendication de priorité peut comporter l</w:t>
      </w:r>
      <w:r w:rsidR="001572E7">
        <w:rPr>
          <w:rFonts w:asciiTheme="majorBidi" w:hAnsiTheme="majorBidi"/>
          <w:i/>
          <w:sz w:val="21"/>
        </w:rPr>
        <w:t>’</w:t>
      </w:r>
      <w:r>
        <w:rPr>
          <w:rFonts w:asciiTheme="majorBidi" w:hAnsiTheme="majorBidi"/>
          <w:i/>
          <w:sz w:val="21"/>
        </w:rPr>
        <w:t xml:space="preserve">adjonction de toute indication visée à la </w:t>
      </w:r>
      <w:r w:rsidR="001572E7">
        <w:rPr>
          <w:rFonts w:asciiTheme="majorBidi" w:hAnsiTheme="majorBidi"/>
          <w:i/>
          <w:sz w:val="21"/>
        </w:rPr>
        <w:t>règle 4</w:t>
      </w:r>
      <w:r>
        <w:rPr>
          <w:rFonts w:asciiTheme="majorBidi" w:hAnsiTheme="majorBidi"/>
          <w:i/>
          <w:sz w:val="21"/>
        </w:rPr>
        <w:t>.10.</w:t>
      </w:r>
    </w:p>
    <w:p w14:paraId="51D6D8D7" w14:textId="1C5566C8" w:rsidR="00EA1DDD" w:rsidRPr="00A1714A" w:rsidRDefault="00EA1DDD" w:rsidP="00A1714A">
      <w:pPr>
        <w:tabs>
          <w:tab w:val="left" w:pos="1134"/>
        </w:tabs>
        <w:ind w:leftChars="257" w:left="565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Theme="majorBidi" w:hAnsiTheme="majorBidi"/>
          <w:i/>
          <w:sz w:val="21"/>
        </w:rPr>
        <w:t>[…]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407A2D" w14:textId="77777777" w:rsidR="00EA1DDD" w:rsidRDefault="00EA1DDD">
      <w:r>
        <w:separator/>
      </w:r>
    </w:p>
  </w:footnote>
  <w:footnote w:type="continuationSeparator" w:id="0">
    <w:p w14:paraId="32E066CC" w14:textId="77777777" w:rsidR="00EA1DDD" w:rsidRDefault="00EA1DDD" w:rsidP="007461F1">
      <w:r>
        <w:separator/>
      </w:r>
    </w:p>
    <w:p w14:paraId="65D4657E" w14:textId="77777777" w:rsidR="00EA1DDD" w:rsidRPr="009D30E6" w:rsidRDefault="00EA1DDD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49E6C784" w14:textId="77777777" w:rsidR="00EA1DDD" w:rsidRPr="009D30E6" w:rsidRDefault="00EA1DDD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98A78" w14:textId="77777777" w:rsidR="00EA1DDD" w:rsidRDefault="00EA1DDD" w:rsidP="00477D6B">
    <w:pPr>
      <w:jc w:val="right"/>
    </w:pPr>
    <w:r>
      <w:t>DLT/DC/10</w:t>
    </w:r>
  </w:p>
  <w:p w14:paraId="3251F9AF" w14:textId="77777777" w:rsidR="00EA1DDD" w:rsidRDefault="00EA1DDD" w:rsidP="00477D6B">
    <w:pPr>
      <w:jc w:val="right"/>
    </w:pPr>
    <w:r>
      <w:t>Annexe, page </w:t>
    </w: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  <w:p w14:paraId="0DE46B1F" w14:textId="77777777" w:rsidR="00EA1DDD" w:rsidRDefault="00EA1DDD" w:rsidP="00477D6B">
    <w:pPr>
      <w:jc w:val="right"/>
    </w:pPr>
  </w:p>
  <w:p w14:paraId="0EEE2EC0" w14:textId="77777777" w:rsidR="00EA1DDD" w:rsidRDefault="00EA1DDD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63665" w14:textId="7FBF9BDF" w:rsidR="00EA1DDD" w:rsidRDefault="00EA1DDD" w:rsidP="00672B82">
    <w:pPr>
      <w:pStyle w:val="Header"/>
      <w:tabs>
        <w:tab w:val="clear" w:pos="9072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8A50F" w14:textId="77777777" w:rsidR="00F16975" w:rsidRDefault="00EA1DDD" w:rsidP="00477D6B">
    <w:pPr>
      <w:jc w:val="right"/>
    </w:pPr>
    <w:bookmarkStart w:id="7" w:name="Code2"/>
    <w:bookmarkEnd w:id="7"/>
    <w:r>
      <w:t>DLT/DC/10</w:t>
    </w:r>
  </w:p>
  <w:p w14:paraId="0DF742ED" w14:textId="1FCB2933" w:rsidR="004F4E31" w:rsidRDefault="00672B82" w:rsidP="00672B82">
    <w:pPr>
      <w:spacing w:after="480"/>
      <w:jc w:val="right"/>
    </w:pPr>
    <w:r>
      <w:t xml:space="preserve">Annexe, </w:t>
    </w:r>
    <w:r w:rsidR="00F16975">
      <w:t>page</w:t>
    </w:r>
    <w:r>
      <w:t> </w:t>
    </w:r>
    <w:r w:rsidR="00F16975">
      <w:fldChar w:fldCharType="begin"/>
    </w:r>
    <w:r w:rsidR="00F16975">
      <w:instrText xml:space="preserve"> PAGE  \* MERGEFORMAT </w:instrText>
    </w:r>
    <w:r w:rsidR="00F16975">
      <w:fldChar w:fldCharType="separate"/>
    </w:r>
    <w:r w:rsidR="004F4E31">
      <w:rPr>
        <w:noProof/>
      </w:rPr>
      <w:t>2</w:t>
    </w:r>
    <w:r w:rsidR="00F16975"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A4D28" w14:textId="705A174D" w:rsidR="00672B82" w:rsidRDefault="00672B82" w:rsidP="00672B82">
    <w:pPr>
      <w:pStyle w:val="Header"/>
      <w:tabs>
        <w:tab w:val="clear" w:pos="4536"/>
        <w:tab w:val="clear" w:pos="9072"/>
      </w:tabs>
      <w:jc w:val="right"/>
      <w:rPr>
        <w:lang w:val="fr-FR"/>
      </w:rPr>
    </w:pPr>
    <w:r>
      <w:rPr>
        <w:lang w:val="fr-FR"/>
      </w:rPr>
      <w:t>DLT/DC/10</w:t>
    </w:r>
  </w:p>
  <w:p w14:paraId="75E99271" w14:textId="693EB071" w:rsidR="00672B82" w:rsidRPr="00672B82" w:rsidRDefault="00672B82" w:rsidP="00672B82">
    <w:pPr>
      <w:pStyle w:val="Header"/>
      <w:tabs>
        <w:tab w:val="clear" w:pos="4536"/>
        <w:tab w:val="clear" w:pos="9072"/>
      </w:tabs>
      <w:spacing w:after="480"/>
      <w:jc w:val="right"/>
      <w:rPr>
        <w:lang w:val="fr-FR"/>
      </w:rPr>
    </w:pPr>
    <w:r>
      <w:rPr>
        <w:lang w:val="fr-FR"/>
      </w:rPr>
      <w:t>ANNEXE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CC5994"/>
    <w:multiLevelType w:val="hybridMultilevel"/>
    <w:tmpl w:val="5B9AADEE"/>
    <w:lvl w:ilvl="0" w:tplc="F0F2F8EE">
      <w:start w:val="1"/>
      <w:numFmt w:val="decimal"/>
      <w:lvlText w:val="%1)"/>
      <w:lvlJc w:val="left"/>
      <w:pPr>
        <w:ind w:left="644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44238924">
    <w:abstractNumId w:val="2"/>
  </w:num>
  <w:num w:numId="2" w16cid:durableId="302345202">
    <w:abstractNumId w:val="4"/>
  </w:num>
  <w:num w:numId="3" w16cid:durableId="2100177298">
    <w:abstractNumId w:val="0"/>
  </w:num>
  <w:num w:numId="4" w16cid:durableId="800996051">
    <w:abstractNumId w:val="5"/>
  </w:num>
  <w:num w:numId="5" w16cid:durableId="1819884291">
    <w:abstractNumId w:val="1"/>
  </w:num>
  <w:num w:numId="6" w16cid:durableId="875629458">
    <w:abstractNumId w:val="3"/>
  </w:num>
  <w:num w:numId="7" w16cid:durableId="9232985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DDD"/>
    <w:rsid w:val="00011B7D"/>
    <w:rsid w:val="00040874"/>
    <w:rsid w:val="00075432"/>
    <w:rsid w:val="000F5E56"/>
    <w:rsid w:val="00104EB4"/>
    <w:rsid w:val="001056DA"/>
    <w:rsid w:val="001362EE"/>
    <w:rsid w:val="001572E7"/>
    <w:rsid w:val="001832A6"/>
    <w:rsid w:val="00195C6E"/>
    <w:rsid w:val="001B266A"/>
    <w:rsid w:val="001D3D56"/>
    <w:rsid w:val="001D6680"/>
    <w:rsid w:val="00231F2D"/>
    <w:rsid w:val="00237BE2"/>
    <w:rsid w:val="00240654"/>
    <w:rsid w:val="002634C4"/>
    <w:rsid w:val="00265E59"/>
    <w:rsid w:val="002D4918"/>
    <w:rsid w:val="002E3C9F"/>
    <w:rsid w:val="002E4D1A"/>
    <w:rsid w:val="002F16BC"/>
    <w:rsid w:val="002F4E68"/>
    <w:rsid w:val="00304E7C"/>
    <w:rsid w:val="00315FCA"/>
    <w:rsid w:val="003845C1"/>
    <w:rsid w:val="003A1BCD"/>
    <w:rsid w:val="003A2F3A"/>
    <w:rsid w:val="003B635F"/>
    <w:rsid w:val="004008A2"/>
    <w:rsid w:val="004025DF"/>
    <w:rsid w:val="00423E3E"/>
    <w:rsid w:val="00427AF4"/>
    <w:rsid w:val="004643DF"/>
    <w:rsid w:val="004647DA"/>
    <w:rsid w:val="00477D6B"/>
    <w:rsid w:val="004D6471"/>
    <w:rsid w:val="004F4E31"/>
    <w:rsid w:val="00525B63"/>
    <w:rsid w:val="00547476"/>
    <w:rsid w:val="00553E0F"/>
    <w:rsid w:val="005603DC"/>
    <w:rsid w:val="00561DB8"/>
    <w:rsid w:val="00567A4C"/>
    <w:rsid w:val="005E6516"/>
    <w:rsid w:val="00605827"/>
    <w:rsid w:val="006415BD"/>
    <w:rsid w:val="00651189"/>
    <w:rsid w:val="00672B82"/>
    <w:rsid w:val="00676936"/>
    <w:rsid w:val="006B0DB5"/>
    <w:rsid w:val="006E4243"/>
    <w:rsid w:val="007461F1"/>
    <w:rsid w:val="00751A97"/>
    <w:rsid w:val="007B2215"/>
    <w:rsid w:val="007D6961"/>
    <w:rsid w:val="007F07CB"/>
    <w:rsid w:val="00810CEF"/>
    <w:rsid w:val="0081208D"/>
    <w:rsid w:val="00825E46"/>
    <w:rsid w:val="00842A13"/>
    <w:rsid w:val="00847705"/>
    <w:rsid w:val="008B2CC1"/>
    <w:rsid w:val="008C7ADF"/>
    <w:rsid w:val="008E7930"/>
    <w:rsid w:val="00905C06"/>
    <w:rsid w:val="0090731E"/>
    <w:rsid w:val="00966A22"/>
    <w:rsid w:val="00974CD6"/>
    <w:rsid w:val="009D30E6"/>
    <w:rsid w:val="009E3F6F"/>
    <w:rsid w:val="009F499F"/>
    <w:rsid w:val="00A02BD3"/>
    <w:rsid w:val="00A10318"/>
    <w:rsid w:val="00A1714A"/>
    <w:rsid w:val="00A61A49"/>
    <w:rsid w:val="00AA1F20"/>
    <w:rsid w:val="00AC0AE4"/>
    <w:rsid w:val="00AD61DB"/>
    <w:rsid w:val="00B42E71"/>
    <w:rsid w:val="00B650CB"/>
    <w:rsid w:val="00B87BCF"/>
    <w:rsid w:val="00BA62D4"/>
    <w:rsid w:val="00BC03E5"/>
    <w:rsid w:val="00BD6A39"/>
    <w:rsid w:val="00C03049"/>
    <w:rsid w:val="00C3552C"/>
    <w:rsid w:val="00C40E15"/>
    <w:rsid w:val="00C50DE9"/>
    <w:rsid w:val="00C664C8"/>
    <w:rsid w:val="00C75040"/>
    <w:rsid w:val="00C767F7"/>
    <w:rsid w:val="00C76A79"/>
    <w:rsid w:val="00C83287"/>
    <w:rsid w:val="00CA15F5"/>
    <w:rsid w:val="00CF0460"/>
    <w:rsid w:val="00D45252"/>
    <w:rsid w:val="00D71B4D"/>
    <w:rsid w:val="00D75C1E"/>
    <w:rsid w:val="00D93D55"/>
    <w:rsid w:val="00DB0349"/>
    <w:rsid w:val="00DB6E5A"/>
    <w:rsid w:val="00DD6A16"/>
    <w:rsid w:val="00E0091A"/>
    <w:rsid w:val="00E203AA"/>
    <w:rsid w:val="00E527A5"/>
    <w:rsid w:val="00E76456"/>
    <w:rsid w:val="00EA1DDD"/>
    <w:rsid w:val="00ED6E4B"/>
    <w:rsid w:val="00EE71CB"/>
    <w:rsid w:val="00F16975"/>
    <w:rsid w:val="00F373C9"/>
    <w:rsid w:val="00F66152"/>
    <w:rsid w:val="00F66968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2C8C87"/>
  <w15:docId w15:val="{83A852DA-8FCA-45CF-9315-DC53B4D6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EA1DDD"/>
    <w:pPr>
      <w:spacing w:before="720"/>
      <w:ind w:left="5534"/>
    </w:pPr>
    <w:rPr>
      <w:lang w:val="fr-FR"/>
    </w:rPr>
  </w:style>
  <w:style w:type="paragraph" w:styleId="Header">
    <w:name w:val="header"/>
    <w:basedOn w:val="Normal"/>
    <w:link w:val="HeaderChar"/>
    <w:uiPriority w:val="99"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HeaderChar">
    <w:name w:val="Header Char"/>
    <w:basedOn w:val="DefaultParagraphFont"/>
    <w:link w:val="Header"/>
    <w:uiPriority w:val="99"/>
    <w:rsid w:val="00EA1DDD"/>
    <w:rPr>
      <w:rFonts w:ascii="Arial" w:eastAsia="SimSun" w:hAnsi="Arial" w:cs="Arial"/>
      <w:sz w:val="22"/>
      <w:lang w:eastAsia="zh-CN"/>
    </w:rPr>
  </w:style>
  <w:style w:type="paragraph" w:customStyle="1" w:styleId="TitleofDoc">
    <w:name w:val="Title of Doc"/>
    <w:basedOn w:val="Normal"/>
    <w:rsid w:val="00EA1DDD"/>
    <w:pPr>
      <w:spacing w:before="1200"/>
      <w:jc w:val="center"/>
    </w:pPr>
    <w:rPr>
      <w:rFonts w:ascii="Times New Roman" w:eastAsia="Yu Mincho" w:hAnsi="Times New Roman" w:cs="Times New Roman"/>
      <w:caps/>
      <w:sz w:val="24"/>
      <w:lang w:val="fr-FR" w:eastAsia="ja-JP"/>
    </w:rPr>
  </w:style>
  <w:style w:type="character" w:styleId="EndnoteReference">
    <w:name w:val="endnote reference"/>
    <w:semiHidden/>
    <w:rsid w:val="00EA1DDD"/>
    <w:rPr>
      <w:vertAlign w:val="superscript"/>
    </w:rPr>
  </w:style>
  <w:style w:type="paragraph" w:customStyle="1" w:styleId="Default">
    <w:name w:val="Default"/>
    <w:rsid w:val="00EA1DDD"/>
    <w:pPr>
      <w:widowControl w:val="0"/>
      <w:autoSpaceDE w:val="0"/>
      <w:autoSpaceDN w:val="0"/>
      <w:adjustRightInd w:val="0"/>
    </w:pPr>
    <w:rPr>
      <w:rFonts w:ascii="Arial" w:eastAsia="Yu Mincho" w:hAnsi="Arial" w:cs="Arial"/>
      <w:color w:val="000000"/>
      <w:sz w:val="24"/>
      <w:szCs w:val="24"/>
      <w:lang w:val="fr-FR" w:eastAsia="ja-JP"/>
    </w:rPr>
  </w:style>
  <w:style w:type="paragraph" w:styleId="ListParagraph">
    <w:name w:val="List Paragraph"/>
    <w:basedOn w:val="Normal"/>
    <w:uiPriority w:val="34"/>
    <w:qFormat/>
    <w:rsid w:val="008C7ADF"/>
    <w:pPr>
      <w:ind w:left="720"/>
      <w:contextualSpacing/>
    </w:pPr>
  </w:style>
  <w:style w:type="character" w:styleId="Hyperlink">
    <w:name w:val="Hyperlink"/>
    <w:basedOn w:val="DefaultParagraphFont"/>
    <w:semiHidden/>
    <w:unhideWhenUsed/>
    <w:rsid w:val="00231F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LT\DLT_DC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DLT_DC (F)</Template>
  <TotalTime>323</TotalTime>
  <Pages>4</Pages>
  <Words>478</Words>
  <Characters>2706</Characters>
  <Application>Microsoft Office Word</Application>
  <DocSecurity>0</DocSecurity>
  <Lines>75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DLT/DC/10</vt:lpstr>
    </vt:vector>
  </TitlesOfParts>
  <Company>WIPO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DLT/DC/10</dc:title>
  <dc:creator>OLIVIÉ Karen</dc:creator>
  <cp:keywords>FOR OFFICIAL USE ONLY</cp:keywords>
  <cp:lastModifiedBy>AHADI Ahmad</cp:lastModifiedBy>
  <cp:revision>19</cp:revision>
  <cp:lastPrinted>2024-11-06T10:45:00Z</cp:lastPrinted>
  <dcterms:created xsi:type="dcterms:W3CDTF">2024-10-30T09:53:00Z</dcterms:created>
  <dcterms:modified xsi:type="dcterms:W3CDTF">2024-11-06T10:46:00Z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2023-11-21T14:55:19Z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481b6de1-0855-4918-933c-b2a4adc1c6de</vt:lpwstr>
  </property>
  <property fmtid="{D5CDD505-2E9C-101B-9397-08002B2CF9AE}" pid="14" name="MSIP_Label_20773ee6-353b-4fb9-a59d-0b94c8c67bea_ContentBits">
    <vt:lpwstr>0</vt:lpwstr>
  </property>
</Properties>
</file>