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271108" w14:textId="77777777" w:rsidR="008B2CC1" w:rsidRPr="003F4222" w:rsidRDefault="008B14EA" w:rsidP="008B14EA">
      <w:pPr>
        <w:spacing w:after="120"/>
        <w:jc w:val="right"/>
        <w:rPr>
          <w:lang w:val="es-419"/>
        </w:rPr>
      </w:pPr>
      <w:r w:rsidRPr="003F4222">
        <w:rPr>
          <w:noProof/>
          <w:lang w:val="es-419" w:eastAsia="en-US"/>
        </w:rPr>
        <w:drawing>
          <wp:inline distT="0" distB="0" distL="0" distR="0" wp14:anchorId="0783B41C" wp14:editId="62A14A9F">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3F4222">
        <w:rPr>
          <w:rFonts w:ascii="Arial Black" w:hAnsi="Arial Black"/>
          <w:caps/>
          <w:noProof/>
          <w:sz w:val="15"/>
          <w:szCs w:val="15"/>
          <w:lang w:val="es-419" w:eastAsia="en-US"/>
        </w:rPr>
        <mc:AlternateContent>
          <mc:Choice Requires="wps">
            <w:drawing>
              <wp:inline distT="0" distB="0" distL="0" distR="0" wp14:anchorId="60B8954B" wp14:editId="24444ECA">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30F057A"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76C55FA8" w14:textId="77777777" w:rsidR="008B2CC1" w:rsidRPr="003F4222" w:rsidRDefault="00F159A3" w:rsidP="008B14EA">
      <w:pPr>
        <w:jc w:val="right"/>
        <w:rPr>
          <w:rFonts w:ascii="Arial Black" w:hAnsi="Arial Black"/>
          <w:caps/>
          <w:sz w:val="15"/>
          <w:lang w:val="es-419"/>
        </w:rPr>
      </w:pPr>
      <w:r w:rsidRPr="003F4222">
        <w:rPr>
          <w:rFonts w:ascii="Arial Black" w:hAnsi="Arial Black"/>
          <w:caps/>
          <w:sz w:val="15"/>
          <w:szCs w:val="15"/>
          <w:lang w:val="es-419"/>
        </w:rPr>
        <w:t>DLT/DC/</w:t>
      </w:r>
      <w:bookmarkStart w:id="0" w:name="Code"/>
      <w:bookmarkEnd w:id="0"/>
      <w:r w:rsidR="00910BAD" w:rsidRPr="003F4222">
        <w:rPr>
          <w:rFonts w:ascii="Arial Black" w:hAnsi="Arial Black"/>
          <w:caps/>
          <w:sz w:val="15"/>
          <w:szCs w:val="15"/>
          <w:lang w:val="es-419"/>
        </w:rPr>
        <w:t>24</w:t>
      </w:r>
    </w:p>
    <w:p w14:paraId="0CF3A4B3" w14:textId="77777777" w:rsidR="008B2CC1" w:rsidRPr="003F4222" w:rsidRDefault="008B14EA" w:rsidP="008B14EA">
      <w:pPr>
        <w:jc w:val="right"/>
        <w:rPr>
          <w:rFonts w:ascii="Arial Black" w:hAnsi="Arial Black"/>
          <w:caps/>
          <w:sz w:val="15"/>
          <w:lang w:val="es-419"/>
        </w:rPr>
      </w:pPr>
      <w:r w:rsidRPr="003F4222">
        <w:rPr>
          <w:rFonts w:ascii="Arial Black" w:hAnsi="Arial Black"/>
          <w:caps/>
          <w:sz w:val="15"/>
          <w:lang w:val="es-419"/>
        </w:rPr>
        <w:t xml:space="preserve">ORIGINAL: </w:t>
      </w:r>
      <w:bookmarkStart w:id="1" w:name="Original"/>
      <w:r w:rsidR="00910BAD" w:rsidRPr="003F4222">
        <w:rPr>
          <w:rFonts w:ascii="Arial Black" w:hAnsi="Arial Black"/>
          <w:caps/>
          <w:sz w:val="15"/>
          <w:lang w:val="es-419"/>
        </w:rPr>
        <w:t>INGLÉS</w:t>
      </w:r>
    </w:p>
    <w:bookmarkEnd w:id="1"/>
    <w:p w14:paraId="7A021375" w14:textId="77777777" w:rsidR="008B2CC1" w:rsidRPr="003F4222" w:rsidRDefault="008B14EA" w:rsidP="008B14EA">
      <w:pPr>
        <w:spacing w:after="1200"/>
        <w:jc w:val="right"/>
        <w:rPr>
          <w:rFonts w:ascii="Arial Black" w:hAnsi="Arial Black"/>
          <w:caps/>
          <w:sz w:val="15"/>
          <w:lang w:val="es-419"/>
        </w:rPr>
      </w:pPr>
      <w:r w:rsidRPr="003F4222">
        <w:rPr>
          <w:rFonts w:ascii="Arial Black" w:hAnsi="Arial Black"/>
          <w:caps/>
          <w:sz w:val="15"/>
          <w:lang w:val="es-419"/>
        </w:rPr>
        <w:t xml:space="preserve">FECHA: </w:t>
      </w:r>
      <w:bookmarkStart w:id="2" w:name="Date"/>
      <w:r w:rsidR="00910BAD" w:rsidRPr="003F4222">
        <w:rPr>
          <w:rFonts w:ascii="Arial Black" w:hAnsi="Arial Black"/>
          <w:caps/>
          <w:sz w:val="15"/>
          <w:lang w:val="es-419"/>
        </w:rPr>
        <w:t>21 DE NOVIEMBRE DE 2024</w:t>
      </w:r>
    </w:p>
    <w:bookmarkEnd w:id="2"/>
    <w:p w14:paraId="3CB164B1" w14:textId="77777777" w:rsidR="001C4DD3" w:rsidRPr="003F4222" w:rsidRDefault="00F159A3" w:rsidP="008B14EA">
      <w:pPr>
        <w:spacing w:after="720"/>
        <w:rPr>
          <w:b/>
          <w:sz w:val="28"/>
          <w:szCs w:val="28"/>
          <w:lang w:val="es-419"/>
        </w:rPr>
      </w:pPr>
      <w:r w:rsidRPr="003F4222">
        <w:rPr>
          <w:b/>
          <w:sz w:val="28"/>
          <w:szCs w:val="28"/>
          <w:lang w:val="es-419"/>
        </w:rPr>
        <w:t>Conferencia Diplomática para la Celebración y Adopción de un Tratado sobre el Derecho de los Diseños (DLT)</w:t>
      </w:r>
    </w:p>
    <w:p w14:paraId="7C70B76F" w14:textId="77777777" w:rsidR="008B2CC1" w:rsidRPr="003F4222" w:rsidRDefault="00F159A3" w:rsidP="008B14EA">
      <w:pPr>
        <w:spacing w:after="720"/>
        <w:rPr>
          <w:b/>
          <w:sz w:val="24"/>
          <w:szCs w:val="24"/>
          <w:lang w:val="es-419"/>
        </w:rPr>
      </w:pPr>
      <w:r w:rsidRPr="003F4222">
        <w:rPr>
          <w:b/>
          <w:sz w:val="24"/>
          <w:szCs w:val="24"/>
          <w:lang w:val="es-419"/>
        </w:rPr>
        <w:t>Riad, 11 a 22 de noviembre de 2024</w:t>
      </w:r>
    </w:p>
    <w:p w14:paraId="0B3A1510" w14:textId="6AE42C2A" w:rsidR="008B2CC1" w:rsidRPr="003F4222" w:rsidRDefault="003F4222" w:rsidP="008B14EA">
      <w:pPr>
        <w:spacing w:after="360"/>
        <w:rPr>
          <w:caps/>
          <w:sz w:val="24"/>
          <w:lang w:val="es-419"/>
        </w:rPr>
      </w:pPr>
      <w:bookmarkStart w:id="3" w:name="TitleOfDoc"/>
      <w:r w:rsidRPr="003F4222">
        <w:rPr>
          <w:caps/>
          <w:sz w:val="24"/>
          <w:lang w:val="es-419"/>
        </w:rPr>
        <w:t>PROYECTO DE RESOLUCIÓN DE LA Conferencia Diplomática SUPLEMENTARIA AL TRATADO SOBRE EL DERECHO DE LOS DISEÑOS</w:t>
      </w:r>
      <w:r w:rsidR="00376810" w:rsidRPr="003F4222">
        <w:rPr>
          <w:caps/>
          <w:sz w:val="24"/>
          <w:lang w:val="es-419"/>
        </w:rPr>
        <w:t xml:space="preserve"> (dlt) </w:t>
      </w:r>
      <w:r w:rsidRPr="003F4222">
        <w:rPr>
          <w:caps/>
          <w:sz w:val="24"/>
          <w:lang w:val="es-419"/>
        </w:rPr>
        <w:t>Y SU REGLAMENTO</w:t>
      </w:r>
    </w:p>
    <w:p w14:paraId="4E46C47A" w14:textId="490C1CEC" w:rsidR="008B2CC1" w:rsidRPr="003F4222" w:rsidRDefault="00376810" w:rsidP="008B14EA">
      <w:pPr>
        <w:spacing w:after="960"/>
        <w:rPr>
          <w:i/>
          <w:lang w:val="es-419"/>
        </w:rPr>
      </w:pPr>
      <w:bookmarkStart w:id="4" w:name="Prepared"/>
      <w:bookmarkEnd w:id="3"/>
      <w:r w:rsidRPr="003F4222">
        <w:rPr>
          <w:i/>
          <w:lang w:val="es-419"/>
        </w:rPr>
        <w:t xml:space="preserve">presentado </w:t>
      </w:r>
      <w:r w:rsidR="004C166C" w:rsidRPr="003F4222">
        <w:rPr>
          <w:i/>
          <w:lang w:val="es-419"/>
        </w:rPr>
        <w:t>a</w:t>
      </w:r>
      <w:r w:rsidR="009C1696" w:rsidRPr="003F4222">
        <w:rPr>
          <w:i/>
          <w:lang w:val="es-419"/>
        </w:rPr>
        <w:t xml:space="preserve"> la Comisión Principal I por el Comité de Redacción</w:t>
      </w:r>
    </w:p>
    <w:bookmarkEnd w:id="4"/>
    <w:p w14:paraId="44058C8B" w14:textId="7451C37D" w:rsidR="00837D00" w:rsidRPr="003F4222" w:rsidRDefault="00837D00" w:rsidP="00837D00">
      <w:pPr>
        <w:pStyle w:val="ListParagraph"/>
        <w:numPr>
          <w:ilvl w:val="0"/>
          <w:numId w:val="7"/>
        </w:numPr>
        <w:tabs>
          <w:tab w:val="left" w:pos="720"/>
        </w:tabs>
        <w:spacing w:after="220"/>
        <w:ind w:left="0" w:firstLine="0"/>
        <w:contextualSpacing w:val="0"/>
        <w:rPr>
          <w:lang w:val="es-419"/>
        </w:rPr>
      </w:pPr>
      <w:r w:rsidRPr="003F4222">
        <w:rPr>
          <w:lang w:val="es-419"/>
        </w:rPr>
        <w:t>Al adoptar el Tratado, la Conferencia Diplomática confirmó que las palabras “procedimiento ante la Oficina”, del Artículo 1.viii) no abarcan las actuaciones judiciales en virtud de la legislación aplicable</w:t>
      </w:r>
      <w:r w:rsidR="003F4222" w:rsidRPr="003F4222">
        <w:rPr>
          <w:lang w:val="es-419"/>
        </w:rPr>
        <w:t>.</w:t>
      </w:r>
    </w:p>
    <w:p w14:paraId="3AF29657" w14:textId="156CCCA7" w:rsidR="00D441A4" w:rsidRPr="003F4222" w:rsidRDefault="00D441A4" w:rsidP="00D441A4">
      <w:pPr>
        <w:pStyle w:val="ListParagraph"/>
        <w:numPr>
          <w:ilvl w:val="0"/>
          <w:numId w:val="7"/>
        </w:numPr>
        <w:tabs>
          <w:tab w:val="left" w:pos="720"/>
        </w:tabs>
        <w:spacing w:after="220"/>
        <w:ind w:left="0" w:firstLine="0"/>
        <w:contextualSpacing w:val="0"/>
        <w:rPr>
          <w:lang w:val="es-419"/>
        </w:rPr>
      </w:pPr>
      <w:r w:rsidRPr="003F4222">
        <w:rPr>
          <w:lang w:val="es-419"/>
        </w:rPr>
        <w:t>Al adoptar el Artículo 1</w:t>
      </w:r>
      <w:r w:rsidR="003A045B">
        <w:rPr>
          <w:lang w:val="es-419"/>
        </w:rPr>
        <w:t>6</w:t>
      </w:r>
      <w:r w:rsidRPr="003F4222">
        <w:rPr>
          <w:lang w:val="es-419"/>
        </w:rPr>
        <w:t>, la Conferencia Diplomática confirmó que es deseable que, cuando se efectúe la corrección o la adición de una reivindicación de prioridad de conformidad con el Artículo 1</w:t>
      </w:r>
      <w:r w:rsidR="003A045B">
        <w:rPr>
          <w:lang w:val="es-419"/>
        </w:rPr>
        <w:t>6</w:t>
      </w:r>
      <w:r w:rsidRPr="003F4222">
        <w:rPr>
          <w:lang w:val="es-419"/>
        </w:rPr>
        <w:t xml:space="preserve">.1), una Parte Contratante que exija la presentación de pruebas de conformidad con el Articulo </w:t>
      </w:r>
      <w:proofErr w:type="gramStart"/>
      <w:r w:rsidR="003A045B">
        <w:rPr>
          <w:lang w:val="es-419"/>
        </w:rPr>
        <w:t>4</w:t>
      </w:r>
      <w:r w:rsidRPr="003F4222">
        <w:rPr>
          <w:lang w:val="es-419"/>
        </w:rPr>
        <w:t>.1)</w:t>
      </w:r>
      <w:proofErr w:type="spellStart"/>
      <w:r w:rsidRPr="003F4222">
        <w:rPr>
          <w:lang w:val="es-419"/>
        </w:rPr>
        <w:t>vii</w:t>
      </w:r>
      <w:proofErr w:type="spellEnd"/>
      <w:proofErr w:type="gramEnd"/>
      <w:r w:rsidRPr="003F4222">
        <w:rPr>
          <w:lang w:val="es-419"/>
        </w:rPr>
        <w:t>) permita que las pruebas se presenten, como mínimo, dentro del plazo previsto para presentar la petición mencionada en la Regla 12.2).</w:t>
      </w:r>
    </w:p>
    <w:p w14:paraId="7B1F09C7" w14:textId="57F0EB31" w:rsidR="00F50227" w:rsidRPr="003F4222" w:rsidRDefault="00A3467A" w:rsidP="00F50227">
      <w:pPr>
        <w:pStyle w:val="ListParagraph"/>
        <w:numPr>
          <w:ilvl w:val="0"/>
          <w:numId w:val="7"/>
        </w:numPr>
        <w:tabs>
          <w:tab w:val="left" w:pos="720"/>
          <w:tab w:val="left" w:pos="3962"/>
          <w:tab w:val="left" w:pos="4284"/>
        </w:tabs>
        <w:spacing w:after="220"/>
        <w:ind w:left="0" w:firstLine="0"/>
        <w:contextualSpacing w:val="0"/>
        <w:rPr>
          <w:lang w:val="es-419"/>
        </w:rPr>
      </w:pPr>
      <w:r w:rsidRPr="003F4222">
        <w:rPr>
          <w:lang w:val="es-419"/>
        </w:rPr>
        <w:t>Al adoptar los Artículos 1</w:t>
      </w:r>
      <w:r w:rsidR="003A045B">
        <w:rPr>
          <w:lang w:val="es-419"/>
        </w:rPr>
        <w:t>7</w:t>
      </w:r>
      <w:r w:rsidRPr="003F4222">
        <w:rPr>
          <w:lang w:val="es-419"/>
        </w:rPr>
        <w:t>, 1</w:t>
      </w:r>
      <w:r w:rsidR="003A045B">
        <w:rPr>
          <w:lang w:val="es-419"/>
        </w:rPr>
        <w:t>8</w:t>
      </w:r>
      <w:r w:rsidRPr="003F4222">
        <w:rPr>
          <w:lang w:val="es-419"/>
        </w:rPr>
        <w:t xml:space="preserve"> y </w:t>
      </w:r>
      <w:r w:rsidR="003A045B">
        <w:rPr>
          <w:lang w:val="es-419"/>
        </w:rPr>
        <w:t>21</w:t>
      </w:r>
      <w:r w:rsidRPr="003F4222">
        <w:rPr>
          <w:lang w:val="es-419"/>
        </w:rPr>
        <w:t>, la Conferencia Diplomática confirmó que esas disposiciones no impiden que una Oficina exija a las partes en una licencia o, en el caso del Artículo </w:t>
      </w:r>
      <w:r w:rsidR="003A045B">
        <w:rPr>
          <w:lang w:val="es-419"/>
        </w:rPr>
        <w:t>21</w:t>
      </w:r>
      <w:r w:rsidRPr="003F4222">
        <w:rPr>
          <w:lang w:val="es-419"/>
        </w:rPr>
        <w:t>, al titular o al nuevo propietario, que presenten información, de conformidad con la legislación aplicable en esa Parte Contratante, para su uso por otra autoridad, tal como la autoridad fiscal o monetaria.</w:t>
      </w:r>
    </w:p>
    <w:p w14:paraId="32BCCFD8" w14:textId="102B2A4B" w:rsidR="00814EA4" w:rsidRPr="003F4222" w:rsidRDefault="00AA3899" w:rsidP="00814EA4">
      <w:pPr>
        <w:pStyle w:val="ListParagraph"/>
        <w:numPr>
          <w:ilvl w:val="0"/>
          <w:numId w:val="7"/>
        </w:numPr>
        <w:tabs>
          <w:tab w:val="left" w:pos="720"/>
        </w:tabs>
        <w:spacing w:after="220"/>
        <w:ind w:left="0" w:firstLine="0"/>
        <w:contextualSpacing w:val="0"/>
        <w:rPr>
          <w:lang w:val="es-419"/>
        </w:rPr>
      </w:pPr>
      <w:r w:rsidRPr="003F4222">
        <w:rPr>
          <w:lang w:val="es-419"/>
        </w:rPr>
        <w:t>Al adoptar los Artículos 1</w:t>
      </w:r>
      <w:r w:rsidR="003A045B">
        <w:rPr>
          <w:lang w:val="es-419"/>
        </w:rPr>
        <w:t>7</w:t>
      </w:r>
      <w:r w:rsidRPr="003F4222">
        <w:rPr>
          <w:lang w:val="es-419"/>
        </w:rPr>
        <w:t>.4), 1</w:t>
      </w:r>
      <w:r w:rsidR="003A045B">
        <w:rPr>
          <w:lang w:val="es-419"/>
        </w:rPr>
        <w:t>8</w:t>
      </w:r>
      <w:r w:rsidRPr="003F4222">
        <w:rPr>
          <w:lang w:val="es-419"/>
        </w:rPr>
        <w:t xml:space="preserve">.3) y </w:t>
      </w:r>
      <w:r w:rsidR="003A045B">
        <w:rPr>
          <w:lang w:val="es-419"/>
        </w:rPr>
        <w:t>21</w:t>
      </w:r>
      <w:r w:rsidRPr="003F4222">
        <w:rPr>
          <w:lang w:val="es-419"/>
        </w:rPr>
        <w:t>.6), la Conferencia Diplomática confirmó que esos párrafos no excluyen la posibilidad de que una Parte Contratante que cuente con un sistema de diseños conexos exija que se formule una petición colectiva para los registros conexos, de conformidad con la legislación aplicable.</w:t>
      </w:r>
    </w:p>
    <w:p w14:paraId="207B7948" w14:textId="550A8C02" w:rsidR="00F50227" w:rsidRDefault="004E72F1" w:rsidP="00F50227">
      <w:pPr>
        <w:pStyle w:val="ListParagraph"/>
        <w:numPr>
          <w:ilvl w:val="0"/>
          <w:numId w:val="7"/>
        </w:numPr>
        <w:tabs>
          <w:tab w:val="left" w:pos="720"/>
        </w:tabs>
        <w:spacing w:after="220"/>
        <w:ind w:left="0" w:firstLine="0"/>
        <w:contextualSpacing w:val="0"/>
        <w:rPr>
          <w:lang w:val="es-419"/>
        </w:rPr>
      </w:pPr>
      <w:r w:rsidRPr="003F4222">
        <w:rPr>
          <w:lang w:val="es-419"/>
        </w:rPr>
        <w:lastRenderedPageBreak/>
        <w:t xml:space="preserve">La Conferencia Diplomática confirmó que nada de lo dispuesto en la Regla 3.2) </w:t>
      </w:r>
      <w:r w:rsidR="003F4222" w:rsidRPr="003F4222">
        <w:rPr>
          <w:lang w:val="es-419"/>
        </w:rPr>
        <w:t xml:space="preserve">se interpretará </w:t>
      </w:r>
      <w:r w:rsidRPr="003F4222">
        <w:rPr>
          <w:lang w:val="es-419"/>
        </w:rPr>
        <w:t>como exigencia de que las Partes Contratantes otorguen protección a los diseños parciales.</w:t>
      </w:r>
    </w:p>
    <w:p w14:paraId="662FD713" w14:textId="22E0F7E0" w:rsidR="003A045B" w:rsidRPr="003F4222" w:rsidRDefault="003A045B" w:rsidP="00F50227">
      <w:pPr>
        <w:pStyle w:val="ListParagraph"/>
        <w:numPr>
          <w:ilvl w:val="0"/>
          <w:numId w:val="7"/>
        </w:numPr>
        <w:tabs>
          <w:tab w:val="left" w:pos="720"/>
        </w:tabs>
        <w:spacing w:after="220"/>
        <w:ind w:left="0" w:firstLine="0"/>
        <w:contextualSpacing w:val="0"/>
        <w:rPr>
          <w:lang w:val="es-419"/>
        </w:rPr>
      </w:pPr>
      <w:r>
        <w:rPr>
          <w:lang w:val="es-419"/>
        </w:rPr>
        <w:t>Cuando los plazos en el Tratado y el Reglamento se indiquen en meses, una Parte Contratante podrá, a excepción de lo relativo a los Artículos 7, 26 y 30 y de la Regla 9, considerar que un mes equivale a un período de 30 días.</w:t>
      </w:r>
    </w:p>
    <w:p w14:paraId="0BEC68F8" w14:textId="0CA508E5" w:rsidR="00152CEA" w:rsidRPr="003F4222" w:rsidRDefault="00AA3899" w:rsidP="00CC0E6C">
      <w:pPr>
        <w:pStyle w:val="Endofdocument-Annex"/>
        <w:spacing w:before="720"/>
        <w:rPr>
          <w:lang w:val="es-419"/>
        </w:rPr>
      </w:pPr>
      <w:r w:rsidRPr="003F4222">
        <w:rPr>
          <w:lang w:val="es-419"/>
        </w:rPr>
        <w:t>[Fin del documento]</w:t>
      </w:r>
    </w:p>
    <w:sectPr w:rsidR="00152CEA" w:rsidRPr="003F4222" w:rsidSect="00910BAD">
      <w:headerReference w:type="default" r:id="rId8"/>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C7B3AA" w14:textId="77777777" w:rsidR="00910BAD" w:rsidRDefault="00910BAD">
      <w:r>
        <w:separator/>
      </w:r>
    </w:p>
  </w:endnote>
  <w:endnote w:type="continuationSeparator" w:id="0">
    <w:p w14:paraId="12A1B6BF" w14:textId="77777777" w:rsidR="00910BAD" w:rsidRPr="009D30E6" w:rsidRDefault="00910BAD" w:rsidP="007E663E">
      <w:pPr>
        <w:rPr>
          <w:sz w:val="17"/>
          <w:szCs w:val="17"/>
        </w:rPr>
      </w:pPr>
      <w:r w:rsidRPr="009D30E6">
        <w:rPr>
          <w:sz w:val="17"/>
          <w:szCs w:val="17"/>
        </w:rPr>
        <w:separator/>
      </w:r>
    </w:p>
    <w:p w14:paraId="60EC6F96" w14:textId="77777777" w:rsidR="00910BAD" w:rsidRPr="007E663E" w:rsidRDefault="00910BAD" w:rsidP="007E663E">
      <w:pPr>
        <w:spacing w:after="60"/>
        <w:rPr>
          <w:sz w:val="17"/>
          <w:szCs w:val="17"/>
        </w:rPr>
      </w:pPr>
      <w:r>
        <w:rPr>
          <w:sz w:val="17"/>
        </w:rPr>
        <w:t>[Continuación de la nota de la página anterior]</w:t>
      </w:r>
    </w:p>
  </w:endnote>
  <w:endnote w:type="continuationNotice" w:id="1">
    <w:p w14:paraId="32024B41" w14:textId="77777777" w:rsidR="00910BAD" w:rsidRPr="007E663E" w:rsidRDefault="00910BAD"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03782E" w14:textId="77777777" w:rsidR="00910BAD" w:rsidRDefault="00910BAD">
      <w:r>
        <w:separator/>
      </w:r>
    </w:p>
  </w:footnote>
  <w:footnote w:type="continuationSeparator" w:id="0">
    <w:p w14:paraId="2866FADF" w14:textId="77777777" w:rsidR="00910BAD" w:rsidRPr="009D30E6" w:rsidRDefault="00910BAD" w:rsidP="007E663E">
      <w:pPr>
        <w:rPr>
          <w:sz w:val="17"/>
          <w:szCs w:val="17"/>
        </w:rPr>
      </w:pPr>
      <w:r w:rsidRPr="009D30E6">
        <w:rPr>
          <w:sz w:val="17"/>
          <w:szCs w:val="17"/>
        </w:rPr>
        <w:separator/>
      </w:r>
    </w:p>
    <w:p w14:paraId="11B30120" w14:textId="77777777" w:rsidR="00910BAD" w:rsidRPr="007E663E" w:rsidRDefault="00910BAD" w:rsidP="007E663E">
      <w:pPr>
        <w:spacing w:after="60"/>
        <w:rPr>
          <w:sz w:val="17"/>
          <w:szCs w:val="17"/>
        </w:rPr>
      </w:pPr>
      <w:r>
        <w:rPr>
          <w:sz w:val="17"/>
        </w:rPr>
        <w:t>[Continuación de la nota de la página anterior]</w:t>
      </w:r>
    </w:p>
  </w:footnote>
  <w:footnote w:type="continuationNotice" w:id="1">
    <w:p w14:paraId="56327BBF" w14:textId="77777777" w:rsidR="00910BAD" w:rsidRPr="007E663E" w:rsidRDefault="00910BAD"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3710DA" w14:textId="77777777" w:rsidR="00F84474" w:rsidRDefault="00910BAD" w:rsidP="00477D6B">
    <w:pPr>
      <w:jc w:val="right"/>
    </w:pPr>
    <w:bookmarkStart w:id="5" w:name="Code2"/>
    <w:bookmarkEnd w:id="5"/>
    <w:r>
      <w:t>DLT/DC/24</w:t>
    </w:r>
  </w:p>
  <w:p w14:paraId="3F8E4C31"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510DDB33" w14:textId="77777777" w:rsidR="00F84474" w:rsidRDefault="00F84474" w:rsidP="00477D6B">
    <w:pPr>
      <w:jc w:val="right"/>
    </w:pPr>
  </w:p>
  <w:p w14:paraId="1B9F26D8"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C5C6304"/>
    <w:multiLevelType w:val="hybridMultilevel"/>
    <w:tmpl w:val="357A0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72930950">
    <w:abstractNumId w:val="2"/>
  </w:num>
  <w:num w:numId="2" w16cid:durableId="803157564">
    <w:abstractNumId w:val="5"/>
  </w:num>
  <w:num w:numId="3" w16cid:durableId="1677994612">
    <w:abstractNumId w:val="0"/>
  </w:num>
  <w:num w:numId="4" w16cid:durableId="1032074281">
    <w:abstractNumId w:val="6"/>
  </w:num>
  <w:num w:numId="5" w16cid:durableId="1045062155">
    <w:abstractNumId w:val="1"/>
  </w:num>
  <w:num w:numId="6" w16cid:durableId="1621913335">
    <w:abstractNumId w:val="3"/>
  </w:num>
  <w:num w:numId="7" w16cid:durableId="16095089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BAD"/>
    <w:rsid w:val="00042C03"/>
    <w:rsid w:val="00060234"/>
    <w:rsid w:val="000E3BB3"/>
    <w:rsid w:val="000F5E56"/>
    <w:rsid w:val="00104B83"/>
    <w:rsid w:val="001362EE"/>
    <w:rsid w:val="00152CEA"/>
    <w:rsid w:val="001832A6"/>
    <w:rsid w:val="001C4DD3"/>
    <w:rsid w:val="002634C4"/>
    <w:rsid w:val="002E5139"/>
    <w:rsid w:val="002F4E68"/>
    <w:rsid w:val="00307787"/>
    <w:rsid w:val="00354647"/>
    <w:rsid w:val="00376810"/>
    <w:rsid w:val="00377273"/>
    <w:rsid w:val="003845C1"/>
    <w:rsid w:val="00387287"/>
    <w:rsid w:val="003A045B"/>
    <w:rsid w:val="003D41D4"/>
    <w:rsid w:val="003F3D70"/>
    <w:rsid w:val="003F4222"/>
    <w:rsid w:val="00423E3E"/>
    <w:rsid w:val="00427AF4"/>
    <w:rsid w:val="0045231F"/>
    <w:rsid w:val="004647DA"/>
    <w:rsid w:val="00477D6B"/>
    <w:rsid w:val="004A6C37"/>
    <w:rsid w:val="004C166C"/>
    <w:rsid w:val="004E72F1"/>
    <w:rsid w:val="004F7418"/>
    <w:rsid w:val="005456B1"/>
    <w:rsid w:val="0055013B"/>
    <w:rsid w:val="0056224D"/>
    <w:rsid w:val="00571B99"/>
    <w:rsid w:val="005D64EC"/>
    <w:rsid w:val="005E780E"/>
    <w:rsid w:val="00605827"/>
    <w:rsid w:val="00675021"/>
    <w:rsid w:val="006A06C6"/>
    <w:rsid w:val="006A60BE"/>
    <w:rsid w:val="007A5154"/>
    <w:rsid w:val="007E4A0A"/>
    <w:rsid w:val="007E63AC"/>
    <w:rsid w:val="007E663E"/>
    <w:rsid w:val="00814EA4"/>
    <w:rsid w:val="00815082"/>
    <w:rsid w:val="00837D00"/>
    <w:rsid w:val="00843582"/>
    <w:rsid w:val="008620D6"/>
    <w:rsid w:val="00873BA9"/>
    <w:rsid w:val="008B14EA"/>
    <w:rsid w:val="008B2CC1"/>
    <w:rsid w:val="008C43FD"/>
    <w:rsid w:val="0090731E"/>
    <w:rsid w:val="00910BAD"/>
    <w:rsid w:val="00966A22"/>
    <w:rsid w:val="00972F03"/>
    <w:rsid w:val="009906F8"/>
    <w:rsid w:val="009A0C8B"/>
    <w:rsid w:val="009B6241"/>
    <w:rsid w:val="009C1696"/>
    <w:rsid w:val="009E4D3B"/>
    <w:rsid w:val="00A16FC0"/>
    <w:rsid w:val="00A32C9E"/>
    <w:rsid w:val="00A3467A"/>
    <w:rsid w:val="00A7453D"/>
    <w:rsid w:val="00AA3899"/>
    <w:rsid w:val="00AB613D"/>
    <w:rsid w:val="00B65A0A"/>
    <w:rsid w:val="00B72D36"/>
    <w:rsid w:val="00BA063E"/>
    <w:rsid w:val="00BC4164"/>
    <w:rsid w:val="00BD2DCC"/>
    <w:rsid w:val="00BE1A8C"/>
    <w:rsid w:val="00C06472"/>
    <w:rsid w:val="00C90559"/>
    <w:rsid w:val="00CB743C"/>
    <w:rsid w:val="00CC0E6C"/>
    <w:rsid w:val="00CE5BE8"/>
    <w:rsid w:val="00D05711"/>
    <w:rsid w:val="00D36B79"/>
    <w:rsid w:val="00D40CF0"/>
    <w:rsid w:val="00D441A4"/>
    <w:rsid w:val="00D56C7C"/>
    <w:rsid w:val="00D71B4D"/>
    <w:rsid w:val="00D90289"/>
    <w:rsid w:val="00D93D55"/>
    <w:rsid w:val="00E2115C"/>
    <w:rsid w:val="00E45C84"/>
    <w:rsid w:val="00E504E5"/>
    <w:rsid w:val="00E73ABF"/>
    <w:rsid w:val="00E945FD"/>
    <w:rsid w:val="00EB7A3E"/>
    <w:rsid w:val="00EC401A"/>
    <w:rsid w:val="00EF530A"/>
    <w:rsid w:val="00EF6622"/>
    <w:rsid w:val="00F159A3"/>
    <w:rsid w:val="00F50227"/>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5F8C8A"/>
  <w15:docId w15:val="{99A89963-BAA3-4402-AD34-1644122B5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F50227"/>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DLT\DLT_DC%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DLT_DC (S)</Template>
  <TotalTime>8</TotalTime>
  <Pages>2</Pages>
  <Words>359</Words>
  <Characters>1828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DLT/DC/24</vt:lpstr>
    </vt:vector>
  </TitlesOfParts>
  <Company>WIPO</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DLT/DC/24</dc:title>
  <dc:creator>CEVALLOS DUQUE Nilo</dc:creator>
  <cp:keywords>FOR OFFICIAL USE ONLY</cp:keywords>
  <cp:lastModifiedBy>MOUTOUT Noëlle</cp:lastModifiedBy>
  <cp:revision>4</cp:revision>
  <dcterms:created xsi:type="dcterms:W3CDTF">2024-11-21T15:40:00Z</dcterms:created>
  <dcterms:modified xsi:type="dcterms:W3CDTF">2024-11-21T21:01:00Z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2023-06-15T13:24:07Z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4548e92f-e6d0-48b6-9248-f7e0185e35b5</vt:lpwstr>
  </property>
  <property fmtid="{D5CDD505-2E9C-101B-9397-08002B2CF9AE}" pid="14" name="MSIP_Label_20773ee6-353b-4fb9-a59d-0b94c8c67bea_ContentBits">
    <vt:lpwstr>0</vt:lpwstr>
  </property>
</Properties>
</file>