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D29C" w14:textId="77777777" w:rsidR="008B2CC1" w:rsidRPr="00ED7DF1" w:rsidRDefault="00472A6E" w:rsidP="00AF1A9F">
      <w:pPr>
        <w:pBdr>
          <w:bottom w:val="single" w:sz="4" w:space="9" w:color="auto"/>
        </w:pBdr>
        <w:spacing w:after="120"/>
        <w:ind w:right="-57"/>
        <w:jc w:val="right"/>
        <w:rPr>
          <w:lang w:val="es-ES_tradnl"/>
        </w:rPr>
      </w:pPr>
      <w:r w:rsidRPr="00ED7DF1">
        <w:rPr>
          <w:noProof/>
          <w:lang w:val="es-ES_tradnl" w:eastAsia="fr-CH"/>
        </w:rPr>
        <w:drawing>
          <wp:inline distT="0" distB="0" distL="0" distR="0" wp14:anchorId="3A7DF5B2" wp14:editId="0D4782F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67FC9A3D" w14:textId="77777777" w:rsidR="00472A6E" w:rsidRPr="00ED7DF1" w:rsidRDefault="00AF1A9F" w:rsidP="00472A6E">
      <w:pPr>
        <w:jc w:val="right"/>
        <w:rPr>
          <w:rFonts w:ascii="Arial Black" w:hAnsi="Arial Black"/>
          <w:caps/>
          <w:sz w:val="15"/>
          <w:lang w:val="es-ES_tradnl"/>
        </w:rPr>
      </w:pPr>
      <w:r w:rsidRPr="00ED7DF1">
        <w:rPr>
          <w:rFonts w:ascii="Arial Black" w:hAnsi="Arial Black"/>
          <w:caps/>
          <w:sz w:val="15"/>
          <w:lang w:val="es-ES_tradnl"/>
        </w:rPr>
        <w:t>DLT/2/PM/</w:t>
      </w:r>
      <w:bookmarkStart w:id="0" w:name="Code"/>
      <w:bookmarkEnd w:id="0"/>
      <w:r w:rsidR="00C95FDC" w:rsidRPr="00ED7DF1">
        <w:rPr>
          <w:rFonts w:ascii="Arial Black" w:hAnsi="Arial Black"/>
          <w:caps/>
          <w:sz w:val="15"/>
          <w:lang w:val="es-ES_tradnl"/>
        </w:rPr>
        <w:t>5</w:t>
      </w:r>
    </w:p>
    <w:p w14:paraId="60B61024" w14:textId="77777777" w:rsidR="008B2CC1" w:rsidRPr="00ED7DF1" w:rsidRDefault="00472A6E" w:rsidP="00472A6E">
      <w:pPr>
        <w:jc w:val="right"/>
        <w:rPr>
          <w:lang w:val="es-ES_tradnl"/>
        </w:rPr>
      </w:pPr>
      <w:r w:rsidRPr="00ED7DF1">
        <w:rPr>
          <w:rFonts w:ascii="Arial Black" w:hAnsi="Arial Black"/>
          <w:caps/>
          <w:sz w:val="15"/>
          <w:lang w:val="es-ES_tradnl"/>
        </w:rPr>
        <w:t xml:space="preserve">ORIGINAL: </w:t>
      </w:r>
      <w:bookmarkStart w:id="1" w:name="Original"/>
      <w:r w:rsidR="00C95FDC" w:rsidRPr="00ED7DF1">
        <w:rPr>
          <w:rFonts w:ascii="Arial Black" w:hAnsi="Arial Black"/>
          <w:caps/>
          <w:sz w:val="15"/>
          <w:lang w:val="es-ES_tradnl"/>
        </w:rPr>
        <w:t>Inglés</w:t>
      </w:r>
    </w:p>
    <w:bookmarkEnd w:id="1"/>
    <w:p w14:paraId="43962A31" w14:textId="77777777" w:rsidR="008B2CC1" w:rsidRPr="00ED7DF1" w:rsidRDefault="00472A6E" w:rsidP="00472A6E">
      <w:pPr>
        <w:spacing w:after="1200"/>
        <w:jc w:val="right"/>
        <w:rPr>
          <w:lang w:val="es-ES_tradnl"/>
        </w:rPr>
      </w:pPr>
      <w:r w:rsidRPr="00ED7DF1">
        <w:rPr>
          <w:rFonts w:ascii="Arial Black" w:hAnsi="Arial Black"/>
          <w:caps/>
          <w:sz w:val="15"/>
          <w:lang w:val="es-ES_tradnl"/>
        </w:rPr>
        <w:t xml:space="preserve">fecha: </w:t>
      </w:r>
      <w:bookmarkStart w:id="2" w:name="Date"/>
      <w:r w:rsidR="00C95FDC" w:rsidRPr="00ED7DF1">
        <w:rPr>
          <w:rFonts w:ascii="Arial Black" w:hAnsi="Arial Black"/>
          <w:caps/>
          <w:sz w:val="15"/>
          <w:lang w:val="es-ES_tradnl"/>
        </w:rPr>
        <w:t>26 de septiembre de 2023</w:t>
      </w:r>
    </w:p>
    <w:bookmarkEnd w:id="2"/>
    <w:p w14:paraId="72DD6FF7" w14:textId="77777777" w:rsidR="00B67CDC" w:rsidRPr="00ED7DF1" w:rsidRDefault="00AF1A9F" w:rsidP="00472A6E">
      <w:pPr>
        <w:pStyle w:val="Heading1"/>
        <w:spacing w:before="0" w:after="480"/>
        <w:rPr>
          <w:sz w:val="28"/>
          <w:lang w:val="es-ES_tradnl"/>
        </w:rPr>
      </w:pPr>
      <w:r w:rsidRPr="00ED7DF1">
        <w:rPr>
          <w:caps w:val="0"/>
          <w:sz w:val="28"/>
          <w:lang w:val="es-ES_tradnl"/>
        </w:rPr>
        <w:t>Comité Preparatorio de la C</w:t>
      </w:r>
      <w:r w:rsidR="004206CF" w:rsidRPr="00ED7DF1">
        <w:rPr>
          <w:caps w:val="0"/>
          <w:sz w:val="28"/>
          <w:lang w:val="es-ES_tradnl"/>
        </w:rPr>
        <w:t>onferencia Diplomática para la C</w:t>
      </w:r>
      <w:r w:rsidRPr="00ED7DF1">
        <w:rPr>
          <w:caps w:val="0"/>
          <w:sz w:val="28"/>
          <w:lang w:val="es-ES_tradnl"/>
        </w:rPr>
        <w:t xml:space="preserve">elebración y </w:t>
      </w:r>
      <w:r w:rsidR="004206CF" w:rsidRPr="00ED7DF1">
        <w:rPr>
          <w:caps w:val="0"/>
          <w:sz w:val="28"/>
          <w:lang w:val="es-ES_tradnl"/>
        </w:rPr>
        <w:t>A</w:t>
      </w:r>
      <w:r w:rsidRPr="00ED7DF1">
        <w:rPr>
          <w:caps w:val="0"/>
          <w:sz w:val="28"/>
          <w:lang w:val="es-ES_tradnl"/>
        </w:rPr>
        <w:t xml:space="preserve">dopción de un </w:t>
      </w:r>
      <w:r w:rsidR="004206CF" w:rsidRPr="00ED7DF1">
        <w:rPr>
          <w:caps w:val="0"/>
          <w:sz w:val="28"/>
          <w:lang w:val="es-ES_tradnl"/>
        </w:rPr>
        <w:t>T</w:t>
      </w:r>
      <w:r w:rsidRPr="00ED7DF1">
        <w:rPr>
          <w:caps w:val="0"/>
          <w:sz w:val="28"/>
          <w:lang w:val="es-ES_tradnl"/>
        </w:rPr>
        <w:t xml:space="preserve">ratado sobre el Derecho de los </w:t>
      </w:r>
      <w:r w:rsidR="004206CF" w:rsidRPr="00ED7DF1">
        <w:rPr>
          <w:caps w:val="0"/>
          <w:sz w:val="28"/>
          <w:lang w:val="es-ES_tradnl"/>
        </w:rPr>
        <w:t>D</w:t>
      </w:r>
      <w:r w:rsidRPr="00ED7DF1">
        <w:rPr>
          <w:caps w:val="0"/>
          <w:sz w:val="28"/>
          <w:lang w:val="es-ES_tradnl"/>
        </w:rPr>
        <w:t>iseños</w:t>
      </w:r>
      <w:r w:rsidRPr="00ED7DF1">
        <w:rPr>
          <w:sz w:val="28"/>
          <w:szCs w:val="28"/>
          <w:lang w:val="es-ES_tradnl"/>
        </w:rPr>
        <w:t> </w:t>
      </w:r>
      <w:r w:rsidRPr="00ED7DF1">
        <w:rPr>
          <w:caps w:val="0"/>
          <w:sz w:val="28"/>
          <w:lang w:val="es-ES_tradnl"/>
        </w:rPr>
        <w:t>(DLT)</w:t>
      </w:r>
    </w:p>
    <w:p w14:paraId="341D5297" w14:textId="77777777" w:rsidR="00B67CDC" w:rsidRPr="00ED7DF1" w:rsidRDefault="00AF1A9F" w:rsidP="00472A6E">
      <w:pPr>
        <w:spacing w:after="720"/>
        <w:outlineLvl w:val="1"/>
        <w:rPr>
          <w:b/>
          <w:sz w:val="24"/>
          <w:szCs w:val="24"/>
          <w:lang w:val="es-ES_tradnl"/>
        </w:rPr>
      </w:pPr>
      <w:r w:rsidRPr="00ED7DF1">
        <w:rPr>
          <w:b/>
          <w:sz w:val="24"/>
          <w:szCs w:val="24"/>
          <w:lang w:val="es-ES_tradnl"/>
        </w:rPr>
        <w:t>Ginebra, 9 a 11 de octubre de 2023</w:t>
      </w:r>
    </w:p>
    <w:p w14:paraId="63F62812" w14:textId="77777777" w:rsidR="008B2CC1" w:rsidRPr="00ED7DF1" w:rsidRDefault="00C95FDC" w:rsidP="00472A6E">
      <w:pPr>
        <w:spacing w:after="360"/>
        <w:rPr>
          <w:caps/>
          <w:sz w:val="24"/>
          <w:lang w:val="es-ES_tradnl"/>
        </w:rPr>
      </w:pPr>
      <w:bookmarkStart w:id="3" w:name="TitleOfDoc"/>
      <w:r w:rsidRPr="00ED7DF1">
        <w:rPr>
          <w:caps/>
          <w:sz w:val="24"/>
          <w:lang w:val="es-ES_tradnl"/>
        </w:rPr>
        <w:t>Orden del día, fechas y lugar de celebración de la Conferencia Diplomática</w:t>
      </w:r>
    </w:p>
    <w:p w14:paraId="483E9C6C" w14:textId="77777777" w:rsidR="00C95FDC" w:rsidRPr="00ED7DF1" w:rsidRDefault="00C95FDC" w:rsidP="00C95FDC">
      <w:pPr>
        <w:rPr>
          <w:lang w:val="es-ES_tradnl"/>
        </w:rPr>
        <w:sectPr w:rsidR="00C95FDC" w:rsidRPr="00ED7DF1">
          <w:headerReference w:type="first" r:id="rId9"/>
          <w:endnotePr>
            <w:numFmt w:val="decimal"/>
          </w:endnotePr>
          <w:pgSz w:w="11907" w:h="16840"/>
          <w:pgMar w:top="567" w:right="1134" w:bottom="1418" w:left="1418" w:header="510" w:footer="1021" w:gutter="0"/>
          <w:cols w:space="720"/>
        </w:sectPr>
      </w:pPr>
      <w:bookmarkStart w:id="4" w:name="Prepared"/>
      <w:bookmarkEnd w:id="3"/>
      <w:bookmarkEnd w:id="4"/>
      <w:r w:rsidRPr="00ED7DF1">
        <w:rPr>
          <w:i/>
          <w:lang w:val="es-ES_tradnl"/>
        </w:rPr>
        <w:t>Documento preparado por el director general</w:t>
      </w:r>
    </w:p>
    <w:p w14:paraId="3BA0130D" w14:textId="77777777" w:rsidR="00FB6220" w:rsidRPr="00ED7DF1" w:rsidRDefault="00FB6220" w:rsidP="00FB6220">
      <w:pPr>
        <w:pStyle w:val="Heading1"/>
        <w:spacing w:before="480" w:after="240"/>
        <w:rPr>
          <w:lang w:val="es-ES_tradnl"/>
        </w:rPr>
      </w:pPr>
      <w:r w:rsidRPr="00ED7DF1">
        <w:rPr>
          <w:lang w:val="es-ES_tradnl"/>
        </w:rPr>
        <w:lastRenderedPageBreak/>
        <w:t>INTRODUcCión</w:t>
      </w:r>
    </w:p>
    <w:p w14:paraId="07079C1D" w14:textId="77777777" w:rsidR="00FB6220" w:rsidRPr="00ED7DF1" w:rsidRDefault="00FB6220" w:rsidP="00FB6220">
      <w:pPr>
        <w:pStyle w:val="ListParagraph"/>
        <w:numPr>
          <w:ilvl w:val="0"/>
          <w:numId w:val="7"/>
        </w:numPr>
        <w:spacing w:after="220"/>
        <w:ind w:left="0" w:firstLine="0"/>
        <w:rPr>
          <w:lang w:val="es-ES_tradnl"/>
        </w:rPr>
      </w:pPr>
      <w:r w:rsidRPr="00ED7DF1">
        <w:rPr>
          <w:lang w:val="es-ES_tradnl"/>
        </w:rPr>
        <w:t>En su quincuagésimo quinto período de sesiones (30.º extraordinario), celebrado en Ginebra del 14 al 22 de julio de 2022, la Asamblea General de la Organización Mundial de la Propiedad Intelectual (OMPI) decidió lo siguiente (véase el párrafo 309 del documento WO/GA/55/12):</w:t>
      </w:r>
    </w:p>
    <w:p w14:paraId="49FCB577" w14:textId="77777777" w:rsidR="00FB6220" w:rsidRPr="00ED7DF1" w:rsidRDefault="00FB6220" w:rsidP="00FB6220">
      <w:pPr>
        <w:pStyle w:val="ONUME"/>
        <w:numPr>
          <w:ilvl w:val="0"/>
          <w:numId w:val="0"/>
        </w:numPr>
        <w:ind w:left="567"/>
        <w:rPr>
          <w:lang w:val="es-ES_tradnl"/>
        </w:rPr>
      </w:pPr>
      <w:r w:rsidRPr="00ED7DF1">
        <w:rPr>
          <w:lang w:val="es-ES_tradnl"/>
        </w:rPr>
        <w:t>“La Asamblea General:</w:t>
      </w:r>
    </w:p>
    <w:p w14:paraId="7ECA6128" w14:textId="77777777" w:rsidR="00FB6220" w:rsidRPr="00ED7DF1" w:rsidRDefault="00FB6220" w:rsidP="00FB6220">
      <w:pPr>
        <w:numPr>
          <w:ilvl w:val="0"/>
          <w:numId w:val="8"/>
        </w:numPr>
        <w:spacing w:after="120"/>
        <w:ind w:left="1701" w:hanging="567"/>
        <w:rPr>
          <w:rFonts w:eastAsia="Calibri"/>
          <w:szCs w:val="22"/>
          <w:lang w:val="es-ES_tradnl" w:eastAsia="en-US"/>
        </w:rPr>
      </w:pPr>
      <w:r w:rsidRPr="00ED7DF1">
        <w:rPr>
          <w:rFonts w:eastAsia="Calibri"/>
          <w:szCs w:val="22"/>
          <w:lang w:val="es-ES_tradnl" w:eastAsia="en-US"/>
        </w:rPr>
        <w:t>examinó el contenido del documento WO/GA/55/4;</w:t>
      </w:r>
    </w:p>
    <w:p w14:paraId="34FE2DF3" w14:textId="76A0C128" w:rsidR="00FB6220" w:rsidRPr="00ED7DF1" w:rsidRDefault="00FB6220" w:rsidP="00FB6220">
      <w:pPr>
        <w:numPr>
          <w:ilvl w:val="0"/>
          <w:numId w:val="8"/>
        </w:numPr>
        <w:spacing w:after="120"/>
        <w:ind w:left="1701" w:hanging="567"/>
        <w:rPr>
          <w:rFonts w:eastAsia="Calibri"/>
          <w:szCs w:val="22"/>
          <w:lang w:val="es-ES_tradnl" w:eastAsia="en-US"/>
        </w:rPr>
      </w:pPr>
      <w:r w:rsidRPr="00ED7DF1">
        <w:rPr>
          <w:rFonts w:eastAsia="Calibri"/>
          <w:szCs w:val="22"/>
          <w:lang w:val="es-ES_tradnl" w:eastAsia="en-US"/>
        </w:rPr>
        <w:t>decidió convocar una conferencia diplomática para concertar y aprobar un tratado sobre el Derecho de los diseños que se celebrará a más tardar en</w:t>
      </w:r>
      <w:r w:rsidR="00ED7DF1">
        <w:rPr>
          <w:rFonts w:eastAsia="Calibri"/>
          <w:szCs w:val="22"/>
          <w:lang w:val="es-ES_tradnl" w:eastAsia="en-US"/>
        </w:rPr>
        <w:t> </w:t>
      </w:r>
      <w:r w:rsidRPr="00ED7DF1">
        <w:rPr>
          <w:rFonts w:eastAsia="Calibri"/>
          <w:szCs w:val="22"/>
          <w:lang w:val="es-ES_tradnl" w:eastAsia="en-US"/>
        </w:rPr>
        <w:t>2024;</w:t>
      </w:r>
    </w:p>
    <w:p w14:paraId="163584D8" w14:textId="77777777" w:rsidR="00FB6220" w:rsidRPr="00ED7DF1" w:rsidRDefault="00FB6220" w:rsidP="00FB6220">
      <w:pPr>
        <w:numPr>
          <w:ilvl w:val="0"/>
          <w:numId w:val="8"/>
        </w:numPr>
        <w:spacing w:after="240"/>
        <w:ind w:left="1701" w:hanging="567"/>
        <w:rPr>
          <w:rFonts w:eastAsia="Calibri"/>
          <w:szCs w:val="22"/>
          <w:lang w:val="es-ES_tradnl" w:eastAsia="en-US"/>
        </w:rPr>
      </w:pPr>
      <w:r w:rsidRPr="00ED7DF1">
        <w:rPr>
          <w:rFonts w:eastAsia="Calibri"/>
          <w:szCs w:val="22"/>
          <w:lang w:val="es-ES_tradnl" w:eastAsia="en-US"/>
        </w:rPr>
        <w:t>decidió convocar una reunión del Comité Preparatorio en el segundo semestre de 2023 para establecer las disposiciones necesarias en relación con la conferencia diplomática. El Comité Preparatorio estudiará en ese momento el proyecto de Reglamento interno que se someterá a la aprobación de la conferencia diplomática, la lista de invitados que participarán en la conferencia, y el texto de los proyectos de cartas de invitación, así como cualquier otro documento o cuestión organizativa relacionados con la conferencia diplomática. El Comité Preparatorio aprobará también la propuesta básica de disposiciones administrativas y cláusulas finales del tratado;</w:t>
      </w:r>
    </w:p>
    <w:p w14:paraId="1E360379" w14:textId="77777777" w:rsidR="00FB6220" w:rsidRPr="00ED7DF1" w:rsidRDefault="00FB6220" w:rsidP="00FB6220">
      <w:pPr>
        <w:numPr>
          <w:ilvl w:val="0"/>
          <w:numId w:val="8"/>
        </w:numPr>
        <w:spacing w:after="120"/>
        <w:ind w:left="1701" w:hanging="567"/>
        <w:rPr>
          <w:rFonts w:eastAsia="Calibri"/>
          <w:szCs w:val="22"/>
          <w:lang w:val="es-ES_tradnl" w:eastAsia="en-US"/>
        </w:rPr>
      </w:pPr>
      <w:r w:rsidRPr="00ED7DF1">
        <w:rPr>
          <w:rFonts w:eastAsia="Calibri"/>
          <w:szCs w:val="22"/>
          <w:lang w:val="es-ES_tradnl" w:eastAsia="en-US"/>
        </w:rPr>
        <w:t>manifestó su agradecimiento ante la oferta de algunos Estados miembros de acoger la conferencia diplomática a más tardar en 2024;</w:t>
      </w:r>
    </w:p>
    <w:p w14:paraId="19300ADB" w14:textId="77777777" w:rsidR="00FB6220" w:rsidRPr="00ED7DF1" w:rsidRDefault="00FB6220" w:rsidP="00FB6220">
      <w:pPr>
        <w:numPr>
          <w:ilvl w:val="0"/>
          <w:numId w:val="8"/>
        </w:numPr>
        <w:spacing w:after="120"/>
        <w:ind w:left="1701" w:hanging="567"/>
        <w:rPr>
          <w:rFonts w:eastAsia="Calibri"/>
          <w:szCs w:val="22"/>
          <w:lang w:val="es-ES_tradnl" w:eastAsia="en-US"/>
        </w:rPr>
      </w:pPr>
      <w:r w:rsidRPr="00ED7DF1">
        <w:rPr>
          <w:rFonts w:eastAsia="Calibri"/>
          <w:szCs w:val="22"/>
          <w:lang w:val="es-ES_tradnl" w:eastAsia="en-US"/>
        </w:rPr>
        <w:t>instruyó al SCT a reunirse durante el segundo semestre de 2023 en una sesión especial de cinco días de duración que preceda al Comité Preparatorio, para reducir las carencias existentes hasta un nivel suficiente. Queda entendido que el Comité Preparatorio invitará a Delegaciones observadoras y a observadores;</w:t>
      </w:r>
    </w:p>
    <w:p w14:paraId="631D3B7D" w14:textId="6AF1014A" w:rsidR="00FB6220" w:rsidRPr="00ED7DF1" w:rsidRDefault="00FB6220" w:rsidP="00FB6220">
      <w:pPr>
        <w:numPr>
          <w:ilvl w:val="0"/>
          <w:numId w:val="8"/>
        </w:numPr>
        <w:spacing w:after="120"/>
        <w:ind w:left="1701" w:hanging="567"/>
        <w:rPr>
          <w:rFonts w:eastAsia="Calibri"/>
          <w:szCs w:val="22"/>
          <w:lang w:val="es-ES_tradnl" w:eastAsia="en-US"/>
        </w:rPr>
      </w:pPr>
      <w:r w:rsidRPr="00ED7DF1">
        <w:rPr>
          <w:rFonts w:eastAsia="Calibri"/>
          <w:szCs w:val="22"/>
          <w:lang w:val="es-ES_tradnl" w:eastAsia="en-US"/>
        </w:rPr>
        <w:t>convino en que los documentos SCT/35/2 y SCT/35/3, así como la propuesta de 2019 examinada por la Asamblea General sobre el proyecto de artículos y de Reglamento relativos a la legislación y práctica en materia de diseños industriales, constituirá el texto de los artículos de fondo de la propuesta básica que se someta a la conferencia diplomática. El Comité Preparatorio incorporará en la propuesta básica los acuerdos que se alcancen en el SCT de conformidad con el párrafo e), en el entendimiento de que todo Estado miembro y la delegación especial de la Unión Europea podrán presentar propuestas en la conferencia diplomática.</w:t>
      </w:r>
    </w:p>
    <w:p w14:paraId="50A3E466" w14:textId="12B192D9" w:rsidR="00152CEA" w:rsidRPr="00ED7DF1" w:rsidRDefault="00FB6220" w:rsidP="00FB6220">
      <w:pPr>
        <w:spacing w:after="220"/>
        <w:ind w:left="1710"/>
        <w:rPr>
          <w:rFonts w:eastAsia="Calibri"/>
          <w:bCs/>
          <w:iCs/>
          <w:szCs w:val="22"/>
          <w:lang w:val="es-ES_tradnl" w:eastAsia="en-US"/>
        </w:rPr>
      </w:pPr>
      <w:r w:rsidRPr="00ED7DF1">
        <w:rPr>
          <w:rFonts w:eastAsia="Calibri"/>
          <w:iCs/>
          <w:szCs w:val="22"/>
          <w:lang w:val="es-ES_tradnl" w:eastAsia="en-US"/>
        </w:rPr>
        <w:t>La Asamblea General de la OMPI decidió convocar conferencias diplomáticas para celebrar</w:t>
      </w:r>
      <w:r w:rsidRPr="00ED7DF1">
        <w:rPr>
          <w:rFonts w:eastAsia="Calibri"/>
          <w:bCs/>
          <w:iCs/>
          <w:szCs w:val="22"/>
          <w:lang w:val="es-ES_tradnl" w:eastAsia="en-US"/>
        </w:rPr>
        <w:t xml:space="preserve"> y aprobar instrumentos jurídicos internacionales relativos a la propiedad intelectual, los recursos genéticos y los conocimientos tradicionales asociados a los recursos genéticos, </w:t>
      </w:r>
      <w:r w:rsidRPr="00ED7DF1">
        <w:rPr>
          <w:rFonts w:eastAsia="Calibri"/>
          <w:iCs/>
          <w:szCs w:val="22"/>
          <w:lang w:val="es-ES_tradnl" w:eastAsia="en-US"/>
        </w:rPr>
        <w:t>y el</w:t>
      </w:r>
      <w:r w:rsidRPr="00ED7DF1">
        <w:rPr>
          <w:rFonts w:eastAsia="Calibri"/>
          <w:bCs/>
          <w:iCs/>
          <w:szCs w:val="22"/>
          <w:lang w:val="es-ES_tradnl" w:eastAsia="en-US"/>
        </w:rPr>
        <w:t xml:space="preserve"> tratado sobre el Derecho de los diseños, </w:t>
      </w:r>
      <w:r w:rsidRPr="00ED7DF1">
        <w:rPr>
          <w:rFonts w:eastAsia="Calibri"/>
          <w:iCs/>
          <w:szCs w:val="22"/>
          <w:lang w:val="es-ES_tradnl" w:eastAsia="en-US"/>
        </w:rPr>
        <w:t>a más tardar en</w:t>
      </w:r>
      <w:r w:rsidRPr="00ED7DF1">
        <w:rPr>
          <w:rFonts w:eastAsia="Calibri"/>
          <w:bCs/>
          <w:iCs/>
          <w:szCs w:val="22"/>
          <w:lang w:val="es-ES_tradnl" w:eastAsia="en-US"/>
        </w:rPr>
        <w:t> 2024.”</w:t>
      </w:r>
    </w:p>
    <w:p w14:paraId="415B4335" w14:textId="46E15277" w:rsidR="0019400E" w:rsidRPr="00ED7DF1" w:rsidRDefault="0019400E" w:rsidP="0019400E">
      <w:pPr>
        <w:pStyle w:val="ListParagraph"/>
        <w:numPr>
          <w:ilvl w:val="0"/>
          <w:numId w:val="7"/>
        </w:numPr>
        <w:spacing w:after="220"/>
        <w:ind w:left="0" w:firstLine="0"/>
        <w:rPr>
          <w:lang w:val="es-ES_tradnl"/>
        </w:rPr>
      </w:pPr>
      <w:r w:rsidRPr="00ED7DF1">
        <w:rPr>
          <w:lang w:val="es-ES_tradnl"/>
        </w:rPr>
        <w:t>En sintonía con la decisión de la Asamblea General de la OMPI, en el presente documento se proponen un proyecto de orden del día, las fechas y el lugar de celebración de la Conferencia Diplomática para la Celebración y Adopción de un Tratado sobre el Derecho de los Diseños (DLT).</w:t>
      </w:r>
    </w:p>
    <w:p w14:paraId="4D2568E2" w14:textId="7FA75BDF" w:rsidR="0019400E" w:rsidRPr="00ED7DF1" w:rsidRDefault="0019400E" w:rsidP="0019400E">
      <w:pPr>
        <w:spacing w:after="220"/>
        <w:rPr>
          <w:lang w:val="es-ES_tradnl"/>
        </w:rPr>
      </w:pPr>
      <w:r w:rsidRPr="00ED7DF1">
        <w:rPr>
          <w:szCs w:val="22"/>
          <w:lang w:val="es-ES_tradnl"/>
        </w:rPr>
        <w:lastRenderedPageBreak/>
        <w:t>ORDEN DEL DÍA DE LA CONFERENCIA DIPLOMÁTICA</w:t>
      </w:r>
    </w:p>
    <w:p w14:paraId="2061FDB5" w14:textId="210D5139" w:rsidR="0019400E" w:rsidRPr="00ED7DF1" w:rsidRDefault="0019400E" w:rsidP="0019400E">
      <w:pPr>
        <w:pStyle w:val="ListParagraph"/>
        <w:numPr>
          <w:ilvl w:val="0"/>
          <w:numId w:val="7"/>
        </w:numPr>
        <w:spacing w:after="220"/>
        <w:ind w:left="0" w:firstLine="0"/>
        <w:rPr>
          <w:lang w:val="es-ES_tradnl"/>
        </w:rPr>
      </w:pPr>
      <w:r w:rsidRPr="00ED7DF1">
        <w:rPr>
          <w:szCs w:val="22"/>
          <w:lang w:val="es-ES_tradnl"/>
        </w:rPr>
        <w:t>El proyecto de orden del día propuesto para la Conferencia Diplomática figura en el Anexo y se inspira en el de anteriores conferencias diplomáticas celebradas bajos los auspicios de la OMPI.</w:t>
      </w:r>
    </w:p>
    <w:p w14:paraId="78DDFAED" w14:textId="6D67DBB1" w:rsidR="0019400E" w:rsidRPr="00ED7DF1" w:rsidRDefault="0019400E" w:rsidP="0019400E">
      <w:pPr>
        <w:spacing w:after="220"/>
        <w:rPr>
          <w:lang w:val="es-ES_tradnl"/>
        </w:rPr>
      </w:pPr>
      <w:r w:rsidRPr="00ED7DF1">
        <w:rPr>
          <w:color w:val="000000" w:themeColor="text1"/>
          <w:szCs w:val="22"/>
          <w:lang w:val="es-ES_tradnl"/>
        </w:rPr>
        <w:t>FECHAS</w:t>
      </w:r>
      <w:r w:rsidRPr="00ED7DF1">
        <w:rPr>
          <w:szCs w:val="22"/>
          <w:lang w:val="es-ES_tradnl"/>
        </w:rPr>
        <w:t xml:space="preserve"> Y LUGAR DE CELEBRACIÓN DE LA CONFERENCIA DIPLOMÁTICA</w:t>
      </w:r>
    </w:p>
    <w:p w14:paraId="60CFE28F" w14:textId="0C125AA1" w:rsidR="0019400E" w:rsidRPr="00ED7DF1" w:rsidRDefault="0019400E" w:rsidP="0019400E">
      <w:pPr>
        <w:pStyle w:val="ListParagraph"/>
        <w:numPr>
          <w:ilvl w:val="0"/>
          <w:numId w:val="7"/>
        </w:numPr>
        <w:spacing w:after="220"/>
        <w:ind w:left="0" w:firstLine="0"/>
        <w:rPr>
          <w:lang w:val="es-ES_tradnl"/>
        </w:rPr>
      </w:pPr>
      <w:r w:rsidRPr="00ED7DF1">
        <w:rPr>
          <w:lang w:val="es-ES_tradnl"/>
        </w:rPr>
        <w:t>Mediante Nota verbal de fecha 24 de noviembre de 2022, el Gobierno del Reino de la Arabia Saudita expres</w:t>
      </w:r>
      <w:r w:rsidR="000C38DE" w:rsidRPr="00ED7DF1">
        <w:rPr>
          <w:lang w:val="es-ES_tradnl"/>
        </w:rPr>
        <w:t>ó</w:t>
      </w:r>
      <w:r w:rsidRPr="00ED7DF1">
        <w:rPr>
          <w:lang w:val="es-ES_tradnl"/>
        </w:rPr>
        <w:t xml:space="preserve"> inter</w:t>
      </w:r>
      <w:r w:rsidR="000C38DE" w:rsidRPr="00ED7DF1">
        <w:rPr>
          <w:lang w:val="es-ES_tradnl"/>
        </w:rPr>
        <w:t>és</w:t>
      </w:r>
      <w:r w:rsidRPr="00ED7DF1">
        <w:rPr>
          <w:lang w:val="es-ES_tradnl"/>
        </w:rPr>
        <w:t xml:space="preserve"> </w:t>
      </w:r>
      <w:r w:rsidR="000C38DE" w:rsidRPr="00ED7DF1">
        <w:rPr>
          <w:lang w:val="es-ES_tradnl"/>
        </w:rPr>
        <w:t>e</w:t>
      </w:r>
      <w:r w:rsidRPr="00ED7DF1">
        <w:rPr>
          <w:lang w:val="es-ES_tradnl"/>
        </w:rPr>
        <w:t xml:space="preserve">n </w:t>
      </w:r>
      <w:r w:rsidR="000C38DE" w:rsidRPr="00ED7DF1">
        <w:rPr>
          <w:lang w:val="es-ES_tradnl"/>
        </w:rPr>
        <w:t>acoger la</w:t>
      </w:r>
      <w:r w:rsidRPr="00ED7DF1">
        <w:rPr>
          <w:lang w:val="es-ES_tradnl"/>
        </w:rPr>
        <w:t xml:space="preserve"> </w:t>
      </w:r>
      <w:r w:rsidR="000C38DE" w:rsidRPr="00ED7DF1">
        <w:rPr>
          <w:lang w:val="es-ES_tradnl"/>
        </w:rPr>
        <w:t>Conferencia Diplomática para la Celebración y Adopción de un Tratado sobre el Derecho de los Diseños</w:t>
      </w:r>
      <w:r w:rsidRPr="00ED7DF1">
        <w:rPr>
          <w:lang w:val="es-ES_tradnl"/>
        </w:rPr>
        <w:t xml:space="preserve">. </w:t>
      </w:r>
      <w:r w:rsidR="000C38DE" w:rsidRPr="00ED7DF1">
        <w:rPr>
          <w:lang w:val="es-ES_tradnl"/>
        </w:rPr>
        <w:t xml:space="preserve">En referencia a la </w:t>
      </w:r>
      <w:r w:rsidR="0029138B" w:rsidRPr="00ED7DF1">
        <w:rPr>
          <w:lang w:val="es-ES_tradnl"/>
        </w:rPr>
        <w:t>expresión</w:t>
      </w:r>
      <w:r w:rsidR="000C38DE" w:rsidRPr="00ED7DF1">
        <w:rPr>
          <w:lang w:val="es-ES_tradnl"/>
        </w:rPr>
        <w:t xml:space="preserve"> de interés del Reino de la Arabia Saudita </w:t>
      </w:r>
      <w:r w:rsidR="00D40121" w:rsidRPr="00ED7DF1">
        <w:rPr>
          <w:lang w:val="es-ES_tradnl"/>
        </w:rPr>
        <w:t>en acoger la Conferencia Diplomática para la Celebración y Adopción de un Tratado sobre el Derecho de los Diseños</w:t>
      </w:r>
      <w:r w:rsidRPr="00ED7DF1">
        <w:rPr>
          <w:lang w:val="es-ES_tradnl"/>
        </w:rPr>
        <w:t xml:space="preserve">, </w:t>
      </w:r>
      <w:r w:rsidR="00D40121" w:rsidRPr="00ED7DF1">
        <w:rPr>
          <w:lang w:val="es-ES_tradnl"/>
        </w:rPr>
        <w:t>se propone que la Conferencia Diplomática se celebre en Riad, Reino de la Arabia Saudita, del 11 al 22 de noviembre de</w:t>
      </w:r>
      <w:r w:rsidRPr="00ED7DF1">
        <w:rPr>
          <w:lang w:val="es-ES_tradnl"/>
        </w:rPr>
        <w:t xml:space="preserve"> 2024</w:t>
      </w:r>
      <w:r w:rsidR="00D40121" w:rsidRPr="00ED7DF1">
        <w:rPr>
          <w:lang w:val="es-ES_tradnl"/>
        </w:rPr>
        <w:t>.</w:t>
      </w:r>
    </w:p>
    <w:p w14:paraId="3A935A02" w14:textId="6E09E253" w:rsidR="004C4BCC" w:rsidRPr="00ED7DF1" w:rsidRDefault="004C4BCC" w:rsidP="00ED7DF1">
      <w:pPr>
        <w:pStyle w:val="DecisionParagraph"/>
        <w:numPr>
          <w:ilvl w:val="0"/>
          <w:numId w:val="7"/>
        </w:numPr>
        <w:tabs>
          <w:tab w:val="left" w:pos="6096"/>
        </w:tabs>
        <w:spacing w:after="600"/>
        <w:ind w:left="5528" w:firstLine="0"/>
        <w:rPr>
          <w:lang w:val="es-ES_tradnl"/>
        </w:rPr>
      </w:pPr>
      <w:r w:rsidRPr="00ED7DF1">
        <w:rPr>
          <w:rFonts w:ascii="Arial" w:hAnsi="Arial" w:cs="Arial"/>
          <w:sz w:val="22"/>
          <w:szCs w:val="22"/>
          <w:lang w:val="es-ES_tradnl"/>
        </w:rPr>
        <w:t>Se invita al Comité Preparatorio a aprobar el proyecto de orden del día, y el lugar y las fechas propuestas para la Conferencia Diplomática.</w:t>
      </w:r>
    </w:p>
    <w:p w14:paraId="38E3925F" w14:textId="77777777" w:rsidR="008E1F27" w:rsidRDefault="004C4BCC" w:rsidP="004C4BCC">
      <w:pPr>
        <w:pStyle w:val="Endofdocument-Annex"/>
        <w:rPr>
          <w:lang w:val="es-ES_tradnl"/>
        </w:rPr>
      </w:pPr>
      <w:r w:rsidRPr="00ED7DF1">
        <w:rPr>
          <w:lang w:val="es-ES_tradnl"/>
        </w:rPr>
        <w:t>[Sigue el Anexo]</w:t>
      </w:r>
    </w:p>
    <w:p w14:paraId="141ECA3E" w14:textId="21865124" w:rsidR="008E1F27" w:rsidRDefault="008E1F27" w:rsidP="004C4BCC">
      <w:pPr>
        <w:pStyle w:val="Endofdocument-Annex"/>
        <w:rPr>
          <w:lang w:val="es-ES_tradnl"/>
        </w:rPr>
        <w:sectPr w:rsidR="008E1F27" w:rsidSect="00C95FDC">
          <w:headerReference w:type="default" r:id="rId10"/>
          <w:footerReference w:type="default" r:id="rId11"/>
          <w:footerReference w:type="first" r:id="rId12"/>
          <w:pgSz w:w="11907" w:h="16840" w:code="9"/>
          <w:pgMar w:top="567" w:right="1134" w:bottom="1418" w:left="1418" w:header="510" w:footer="1021" w:gutter="0"/>
          <w:cols w:space="720"/>
          <w:titlePg/>
          <w:docGrid w:linePitch="299"/>
        </w:sectPr>
      </w:pPr>
    </w:p>
    <w:p w14:paraId="48AD61CB" w14:textId="0D05643A" w:rsidR="004C4BCC" w:rsidRPr="00ED7DF1" w:rsidRDefault="00A207E9" w:rsidP="00A207E9">
      <w:pPr>
        <w:pStyle w:val="Endofdocument-Annex"/>
        <w:spacing w:after="480"/>
        <w:ind w:left="0"/>
        <w:rPr>
          <w:szCs w:val="22"/>
          <w:lang w:val="es-ES_tradnl"/>
        </w:rPr>
      </w:pPr>
      <w:r w:rsidRPr="00ED7DF1">
        <w:rPr>
          <w:szCs w:val="22"/>
          <w:lang w:val="es-ES_tradnl"/>
        </w:rPr>
        <w:lastRenderedPageBreak/>
        <w:t>PROYECTO DE ORDEN DEL DÍA DE LA CONFERENCIA DIPLOMÁTICA</w:t>
      </w:r>
    </w:p>
    <w:p w14:paraId="4769963F" w14:textId="2836D374" w:rsidR="00A207E9" w:rsidRPr="00ED7DF1" w:rsidRDefault="00A207E9" w:rsidP="008E1F27">
      <w:pPr>
        <w:pStyle w:val="ONUMFS"/>
        <w:ind w:left="567" w:hanging="567"/>
        <w:rPr>
          <w:lang w:val="es-ES_tradnl"/>
        </w:rPr>
      </w:pPr>
      <w:r w:rsidRPr="00ED7DF1">
        <w:rPr>
          <w:lang w:val="es-ES_tradnl"/>
        </w:rPr>
        <w:t xml:space="preserve">Apertura de la Conferencia por el </w:t>
      </w:r>
      <w:r w:rsidR="00FA250C" w:rsidRPr="00ED7DF1">
        <w:rPr>
          <w:lang w:val="es-ES_tradnl"/>
        </w:rPr>
        <w:t>director general</w:t>
      </w:r>
      <w:r w:rsidRPr="00ED7DF1">
        <w:rPr>
          <w:lang w:val="es-ES_tradnl"/>
        </w:rPr>
        <w:t xml:space="preserve"> de la OMPI</w:t>
      </w:r>
    </w:p>
    <w:p w14:paraId="3260FA88" w14:textId="4AFB538D" w:rsidR="00A207E9" w:rsidRPr="00ED7DF1" w:rsidRDefault="00A207E9" w:rsidP="008E1F27">
      <w:pPr>
        <w:pStyle w:val="ONUMFS"/>
        <w:ind w:left="567" w:hanging="567"/>
        <w:rPr>
          <w:lang w:val="es-ES_tradnl"/>
        </w:rPr>
      </w:pPr>
      <w:r w:rsidRPr="00ED7DF1">
        <w:rPr>
          <w:szCs w:val="22"/>
          <w:lang w:val="es-ES_tradnl"/>
        </w:rPr>
        <w:t>Examen y aprobación del Reglamento de la Conferencia Diplomática</w:t>
      </w:r>
    </w:p>
    <w:p w14:paraId="26C13672" w14:textId="245D45BC" w:rsidR="00A207E9" w:rsidRPr="00ED7DF1" w:rsidRDefault="00A207E9" w:rsidP="008E1F27">
      <w:pPr>
        <w:pStyle w:val="ONUMFS"/>
        <w:ind w:left="567" w:hanging="567"/>
        <w:rPr>
          <w:lang w:val="es-ES_tradnl"/>
        </w:rPr>
      </w:pPr>
      <w:r w:rsidRPr="00ED7DF1">
        <w:rPr>
          <w:szCs w:val="22"/>
          <w:lang w:val="es-ES_tradnl"/>
        </w:rPr>
        <w:t xml:space="preserve">Elección del </w:t>
      </w:r>
      <w:r w:rsidR="00FA250C" w:rsidRPr="00ED7DF1">
        <w:rPr>
          <w:szCs w:val="22"/>
          <w:lang w:val="es-ES_tradnl"/>
        </w:rPr>
        <w:t>presidente</w:t>
      </w:r>
      <w:r w:rsidRPr="00ED7DF1">
        <w:rPr>
          <w:szCs w:val="22"/>
          <w:lang w:val="es-ES_tradnl"/>
        </w:rPr>
        <w:t xml:space="preserve"> de la Conferencia</w:t>
      </w:r>
    </w:p>
    <w:p w14:paraId="6C946ECF" w14:textId="77777777" w:rsidR="00A207E9" w:rsidRPr="00ED7DF1" w:rsidRDefault="00A207E9" w:rsidP="008E1F27">
      <w:pPr>
        <w:pStyle w:val="ONUMFS"/>
        <w:ind w:left="567" w:hanging="567"/>
        <w:rPr>
          <w:lang w:val="es-ES_tradnl"/>
        </w:rPr>
      </w:pPr>
      <w:r w:rsidRPr="00ED7DF1">
        <w:rPr>
          <w:lang w:val="es-ES_tradnl"/>
        </w:rPr>
        <w:t>Examen y aprobación del orden del día</w:t>
      </w:r>
    </w:p>
    <w:p w14:paraId="60978193" w14:textId="71298C7E" w:rsidR="00A207E9" w:rsidRPr="00ED7DF1" w:rsidRDefault="00A207E9" w:rsidP="008E1F27">
      <w:pPr>
        <w:pStyle w:val="ONUMFS"/>
        <w:ind w:left="567" w:hanging="567"/>
        <w:rPr>
          <w:lang w:val="es-ES_tradnl"/>
        </w:rPr>
      </w:pPr>
      <w:r w:rsidRPr="00ED7DF1">
        <w:rPr>
          <w:lang w:val="es-ES_tradnl"/>
        </w:rPr>
        <w:t xml:space="preserve">Elección de los </w:t>
      </w:r>
      <w:r w:rsidR="00FA250C" w:rsidRPr="00ED7DF1">
        <w:rPr>
          <w:lang w:val="es-ES_tradnl"/>
        </w:rPr>
        <w:t>vicepresidentes</w:t>
      </w:r>
      <w:r w:rsidRPr="00ED7DF1">
        <w:rPr>
          <w:lang w:val="es-ES_tradnl"/>
        </w:rPr>
        <w:t xml:space="preserve"> de la Conferencia</w:t>
      </w:r>
    </w:p>
    <w:p w14:paraId="294F20E2" w14:textId="77777777" w:rsidR="000901A4" w:rsidRPr="00ED7DF1" w:rsidRDefault="000901A4" w:rsidP="008E1F27">
      <w:pPr>
        <w:pStyle w:val="ONUMFS"/>
        <w:ind w:left="567" w:hanging="567"/>
        <w:rPr>
          <w:lang w:val="es-ES_tradnl"/>
        </w:rPr>
      </w:pPr>
      <w:r w:rsidRPr="00ED7DF1">
        <w:rPr>
          <w:lang w:val="es-ES_tradnl"/>
        </w:rPr>
        <w:t>Elección de los miembros de la Comisión de Verificación de Poderes</w:t>
      </w:r>
    </w:p>
    <w:p w14:paraId="0585FD09" w14:textId="77777777" w:rsidR="000901A4" w:rsidRPr="00ED7DF1" w:rsidRDefault="000901A4" w:rsidP="008E1F27">
      <w:pPr>
        <w:pStyle w:val="ONUMFS"/>
        <w:ind w:left="567" w:hanging="567"/>
        <w:rPr>
          <w:lang w:val="es-ES_tradnl"/>
        </w:rPr>
      </w:pPr>
      <w:r w:rsidRPr="00ED7DF1">
        <w:rPr>
          <w:lang w:val="es-ES_tradnl"/>
        </w:rPr>
        <w:t>Elección de los miembros del Comité de Redacción</w:t>
      </w:r>
    </w:p>
    <w:p w14:paraId="3D377592" w14:textId="77777777" w:rsidR="000901A4" w:rsidRPr="00ED7DF1" w:rsidRDefault="000901A4" w:rsidP="008E1F27">
      <w:pPr>
        <w:pStyle w:val="ONUMFS"/>
        <w:tabs>
          <w:tab w:val="clear" w:pos="567"/>
          <w:tab w:val="num" w:pos="540"/>
        </w:tabs>
        <w:ind w:left="567" w:hanging="567"/>
        <w:rPr>
          <w:lang w:val="es-ES_tradnl"/>
        </w:rPr>
      </w:pPr>
      <w:r w:rsidRPr="00ED7DF1">
        <w:rPr>
          <w:lang w:val="es-ES_tradnl"/>
        </w:rPr>
        <w:t>Elección de los integrantes de las Mesas de la Comisión de Verificación de Poderes, de las Comisiones Principales y del Comité de Redacción</w:t>
      </w:r>
    </w:p>
    <w:p w14:paraId="046E943B" w14:textId="77777777" w:rsidR="000901A4" w:rsidRPr="00ED7DF1" w:rsidRDefault="000901A4" w:rsidP="008E1F27">
      <w:pPr>
        <w:pStyle w:val="ONUMFS"/>
        <w:ind w:left="567" w:hanging="567"/>
        <w:rPr>
          <w:lang w:val="es-ES_tradnl"/>
        </w:rPr>
      </w:pPr>
      <w:r w:rsidRPr="00ED7DF1">
        <w:rPr>
          <w:lang w:val="es-ES_tradnl"/>
        </w:rPr>
        <w:t>Declaraciones de apertura de las delegaciones y los representantes de los observadores</w:t>
      </w:r>
    </w:p>
    <w:p w14:paraId="1898623F" w14:textId="77777777" w:rsidR="000901A4" w:rsidRPr="00ED7DF1" w:rsidRDefault="000901A4" w:rsidP="008E1F27">
      <w:pPr>
        <w:pStyle w:val="ONUMFS"/>
        <w:ind w:left="567" w:hanging="567"/>
        <w:rPr>
          <w:lang w:val="es-ES_tradnl"/>
        </w:rPr>
      </w:pPr>
      <w:r w:rsidRPr="00ED7DF1">
        <w:rPr>
          <w:lang w:val="es-ES_tradnl"/>
        </w:rPr>
        <w:t>Examen del primer informe de la Comisión de Verificación de Poderes</w:t>
      </w:r>
    </w:p>
    <w:p w14:paraId="3D3235BC" w14:textId="77777777" w:rsidR="000901A4" w:rsidRPr="00ED7DF1" w:rsidRDefault="000901A4" w:rsidP="008E1F27">
      <w:pPr>
        <w:pStyle w:val="ONUMFS"/>
        <w:ind w:left="567" w:hanging="567"/>
        <w:rPr>
          <w:lang w:val="es-ES_tradnl"/>
        </w:rPr>
      </w:pPr>
      <w:r w:rsidRPr="00ED7DF1">
        <w:rPr>
          <w:lang w:val="es-ES_tradnl"/>
        </w:rPr>
        <w:t>Examen de los textos propuestos por las Comisiones Principales</w:t>
      </w:r>
    </w:p>
    <w:p w14:paraId="5E4D9756" w14:textId="77777777" w:rsidR="000901A4" w:rsidRPr="00ED7DF1" w:rsidRDefault="000901A4" w:rsidP="008E1F27">
      <w:pPr>
        <w:pStyle w:val="ONUMFS"/>
        <w:ind w:left="567" w:hanging="567"/>
        <w:rPr>
          <w:lang w:val="es-ES_tradnl"/>
        </w:rPr>
      </w:pPr>
      <w:r w:rsidRPr="00ED7DF1">
        <w:rPr>
          <w:lang w:val="es-ES_tradnl"/>
        </w:rPr>
        <w:t>Examen del segundo informe de la Comisión de Verificación de Poderes</w:t>
      </w:r>
    </w:p>
    <w:p w14:paraId="37980F66" w14:textId="77777777" w:rsidR="000901A4" w:rsidRPr="00ED7DF1" w:rsidRDefault="000901A4" w:rsidP="008E1F27">
      <w:pPr>
        <w:pStyle w:val="ONUMFS"/>
        <w:ind w:left="567" w:hanging="567"/>
        <w:rPr>
          <w:lang w:val="es-ES_tradnl"/>
        </w:rPr>
      </w:pPr>
      <w:r w:rsidRPr="00ED7DF1">
        <w:rPr>
          <w:lang w:val="es-ES_tradnl"/>
        </w:rPr>
        <w:t>Adopción del Tratado y de su Reglamento</w:t>
      </w:r>
    </w:p>
    <w:p w14:paraId="52EEBE9D" w14:textId="77777777" w:rsidR="000901A4" w:rsidRPr="00ED7DF1" w:rsidRDefault="000901A4" w:rsidP="008E1F27">
      <w:pPr>
        <w:pStyle w:val="ONUMFS"/>
        <w:ind w:left="567" w:hanging="567"/>
        <w:rPr>
          <w:lang w:val="es-ES_tradnl"/>
        </w:rPr>
      </w:pPr>
      <w:r w:rsidRPr="00ED7DF1">
        <w:rPr>
          <w:lang w:val="es-ES_tradnl"/>
        </w:rPr>
        <w:t>Adopción de toda recomendación, resolución, declaración concertada o acta final</w:t>
      </w:r>
    </w:p>
    <w:p w14:paraId="568CB3F8" w14:textId="77777777" w:rsidR="000901A4" w:rsidRPr="00ED7DF1" w:rsidRDefault="000901A4" w:rsidP="008E1F27">
      <w:pPr>
        <w:pStyle w:val="ONUMFS"/>
        <w:ind w:left="567" w:hanging="567"/>
        <w:rPr>
          <w:lang w:val="es-ES_tradnl"/>
        </w:rPr>
      </w:pPr>
      <w:r w:rsidRPr="00ED7DF1">
        <w:rPr>
          <w:lang w:val="es-ES_tradnl"/>
        </w:rPr>
        <w:t>Declaraciones de clausura de las delegaciones y los representantes de los observadores</w:t>
      </w:r>
    </w:p>
    <w:p w14:paraId="13FC4681" w14:textId="0DEE4403" w:rsidR="000901A4" w:rsidRPr="00ED7DF1" w:rsidRDefault="000901A4" w:rsidP="008E1F27">
      <w:pPr>
        <w:pStyle w:val="ONUMFS"/>
        <w:ind w:left="567" w:hanging="567"/>
        <w:rPr>
          <w:lang w:val="es-ES_tradnl"/>
        </w:rPr>
      </w:pPr>
      <w:r w:rsidRPr="00ED7DF1">
        <w:rPr>
          <w:szCs w:val="22"/>
          <w:lang w:val="es-ES_tradnl"/>
        </w:rPr>
        <w:t xml:space="preserve">Clausura de la Conferencia por el </w:t>
      </w:r>
      <w:r w:rsidR="008E1F27">
        <w:rPr>
          <w:szCs w:val="22"/>
          <w:lang w:val="es-ES_tradnl"/>
        </w:rPr>
        <w:t>p</w:t>
      </w:r>
      <w:r w:rsidRPr="00ED7DF1">
        <w:rPr>
          <w:szCs w:val="22"/>
          <w:lang w:val="es-ES_tradnl"/>
        </w:rPr>
        <w:t>residente</w:t>
      </w:r>
      <w:r w:rsidRPr="00ED7DF1">
        <w:rPr>
          <w:rStyle w:val="FootnoteReference"/>
          <w:szCs w:val="22"/>
          <w:lang w:val="es-ES_tradnl"/>
        </w:rPr>
        <w:footnoteReference w:customMarkFollows="1" w:id="2"/>
        <w:sym w:font="Symbol" w:char="F02A"/>
      </w:r>
    </w:p>
    <w:sectPr w:rsidR="000901A4" w:rsidRPr="00ED7DF1" w:rsidSect="00C95FDC">
      <w:head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CCEDE" w14:textId="77777777" w:rsidR="00C95FDC" w:rsidRDefault="00C95FDC">
      <w:r>
        <w:separator/>
      </w:r>
    </w:p>
  </w:endnote>
  <w:endnote w:type="continuationSeparator" w:id="0">
    <w:p w14:paraId="21E085FA" w14:textId="77777777" w:rsidR="00C95FDC" w:rsidRPr="009D30E6" w:rsidRDefault="00C95FDC" w:rsidP="007E663E">
      <w:pPr>
        <w:rPr>
          <w:sz w:val="17"/>
          <w:szCs w:val="17"/>
        </w:rPr>
      </w:pPr>
      <w:r w:rsidRPr="009D30E6">
        <w:rPr>
          <w:sz w:val="17"/>
          <w:szCs w:val="17"/>
        </w:rPr>
        <w:separator/>
      </w:r>
    </w:p>
    <w:p w14:paraId="3D809EBD" w14:textId="77777777" w:rsidR="00C95FDC" w:rsidRPr="007E663E" w:rsidRDefault="00C95FDC" w:rsidP="007E663E">
      <w:pPr>
        <w:spacing w:after="60"/>
        <w:rPr>
          <w:sz w:val="17"/>
          <w:szCs w:val="17"/>
        </w:rPr>
      </w:pPr>
      <w:r>
        <w:rPr>
          <w:sz w:val="17"/>
        </w:rPr>
        <w:t>[Continuación de la nota de la página anterior]</w:t>
      </w:r>
    </w:p>
  </w:endnote>
  <w:endnote w:type="continuationNotice" w:id="1">
    <w:p w14:paraId="348A1DD5" w14:textId="77777777" w:rsidR="00C95FDC" w:rsidRPr="007E663E" w:rsidRDefault="00C95FD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C5DB" w14:textId="76B913E3" w:rsidR="00850375" w:rsidRDefault="00850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E4B62" w14:textId="304F8BF5" w:rsidR="00850375" w:rsidRPr="008E1F27" w:rsidRDefault="00850375" w:rsidP="008E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6AF44" w14:textId="77777777" w:rsidR="00C95FDC" w:rsidRDefault="00C95FDC">
      <w:r>
        <w:separator/>
      </w:r>
    </w:p>
  </w:footnote>
  <w:footnote w:type="continuationSeparator" w:id="0">
    <w:p w14:paraId="421A6050" w14:textId="77777777" w:rsidR="00C95FDC" w:rsidRPr="009D30E6" w:rsidRDefault="00C95FDC" w:rsidP="007E663E">
      <w:pPr>
        <w:rPr>
          <w:sz w:val="17"/>
          <w:szCs w:val="17"/>
        </w:rPr>
      </w:pPr>
      <w:r w:rsidRPr="009D30E6">
        <w:rPr>
          <w:sz w:val="17"/>
          <w:szCs w:val="17"/>
        </w:rPr>
        <w:separator/>
      </w:r>
    </w:p>
    <w:p w14:paraId="08EDAFB6" w14:textId="77777777" w:rsidR="00C95FDC" w:rsidRPr="007E663E" w:rsidRDefault="00C95FDC" w:rsidP="007E663E">
      <w:pPr>
        <w:spacing w:after="60"/>
        <w:rPr>
          <w:sz w:val="17"/>
          <w:szCs w:val="17"/>
        </w:rPr>
      </w:pPr>
      <w:r>
        <w:rPr>
          <w:sz w:val="17"/>
        </w:rPr>
        <w:t>[Continuación de la nota de la página anterior]</w:t>
      </w:r>
    </w:p>
  </w:footnote>
  <w:footnote w:type="continuationNotice" w:id="1">
    <w:p w14:paraId="7772FDBD" w14:textId="77777777" w:rsidR="00C95FDC" w:rsidRPr="007E663E" w:rsidRDefault="00C95FDC" w:rsidP="007E663E">
      <w:pPr>
        <w:spacing w:before="60"/>
        <w:jc w:val="right"/>
        <w:rPr>
          <w:sz w:val="17"/>
          <w:szCs w:val="17"/>
        </w:rPr>
      </w:pPr>
      <w:r w:rsidRPr="007E663E">
        <w:rPr>
          <w:sz w:val="17"/>
          <w:szCs w:val="17"/>
        </w:rPr>
        <w:t>[Sigue la nota en la página siguiente]</w:t>
      </w:r>
    </w:p>
  </w:footnote>
  <w:footnote w:id="2">
    <w:p w14:paraId="667B8C7B" w14:textId="5A878AFE" w:rsidR="000901A4" w:rsidRPr="000901A4" w:rsidRDefault="000901A4">
      <w:pPr>
        <w:pStyle w:val="FootnoteText"/>
        <w:rPr>
          <w:lang w:val="es-419"/>
        </w:rPr>
      </w:pPr>
      <w:r w:rsidRPr="000901A4">
        <w:rPr>
          <w:rStyle w:val="FootnoteReference"/>
        </w:rPr>
        <w:sym w:font="Symbol" w:char="F02A"/>
      </w:r>
      <w:r>
        <w:t xml:space="preserve"> </w:t>
      </w:r>
      <w:r w:rsidRPr="00ED0FB2">
        <w:rPr>
          <w:sz w:val="16"/>
          <w:szCs w:val="16"/>
          <w:lang w:val="es-ES_tradnl"/>
        </w:rPr>
        <w:t>Inmediatamente después de la clausura de la Conferencia, quedarán abiertos a la firma el acta final, de haberla, y el instrumento.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366A" w14:textId="77777777" w:rsidR="00C95FDC" w:rsidRDefault="00C95FDC" w:rsidP="00C95FDC">
    <w:pPr>
      <w:pStyle w:val="Header"/>
      <w:jc w:val="right"/>
    </w:pPr>
    <w:r>
      <w:t>DLT/2/PM/5</w:t>
    </w:r>
  </w:p>
  <w:p w14:paraId="4FD26671" w14:textId="2E2FB9A4" w:rsidR="00C95FDC" w:rsidRDefault="008E1F27" w:rsidP="00C95FDC">
    <w:pPr>
      <w:pStyle w:val="Header"/>
      <w:jc w:val="right"/>
    </w:pPr>
    <w:r>
      <w:t>p</w:t>
    </w:r>
    <w:r w:rsidR="00C95FDC">
      <w:t xml:space="preserve">ágina </w:t>
    </w:r>
    <w:r w:rsidR="00C95FDC">
      <w:fldChar w:fldCharType="begin"/>
    </w:r>
    <w:r w:rsidR="00C95FDC">
      <w:instrText xml:space="preserve"> PAGE   \* MERGEFORMAT </w:instrText>
    </w:r>
    <w:r w:rsidR="00C95FDC">
      <w:fldChar w:fldCharType="separate"/>
    </w:r>
    <w:r w:rsidR="00C95FDC">
      <w:rPr>
        <w:noProof/>
      </w:rPr>
      <w:t>1</w:t>
    </w:r>
    <w:r w:rsidR="00C95FDC">
      <w:rPr>
        <w:noProof/>
      </w:rPr>
      <w:fldChar w:fldCharType="end"/>
    </w:r>
  </w:p>
  <w:p w14:paraId="5CF9B813" w14:textId="3A44B659" w:rsidR="00C95FDC" w:rsidRDefault="00C95FDC" w:rsidP="00C95FDC">
    <w:pPr>
      <w:pStyle w:val="Header"/>
      <w:jc w:val="right"/>
    </w:pPr>
  </w:p>
  <w:p w14:paraId="79143C2F" w14:textId="77777777" w:rsidR="00C95FDC" w:rsidRDefault="00C95FDC" w:rsidP="00C95FD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7947" w14:textId="77777777" w:rsidR="00AE7F20" w:rsidRPr="00EB0D93" w:rsidRDefault="00C95FDC" w:rsidP="00477D6B">
    <w:pPr>
      <w:jc w:val="right"/>
      <w:rPr>
        <w:caps/>
      </w:rPr>
    </w:pPr>
    <w:bookmarkStart w:id="5" w:name="Code2"/>
    <w:bookmarkEnd w:id="5"/>
    <w:r>
      <w:rPr>
        <w:caps/>
      </w:rPr>
      <w:t>DLT/2/PM/5</w:t>
    </w:r>
  </w:p>
  <w:p w14:paraId="7FA055C4" w14:textId="77777777" w:rsidR="008E1F27" w:rsidRDefault="008E1F27" w:rsidP="008E1F27">
    <w:pPr>
      <w:pStyle w:val="Header"/>
      <w:jc w:val="right"/>
    </w:pPr>
    <w:r>
      <w:t xml:space="preserve">página </w:t>
    </w:r>
    <w:r>
      <w:fldChar w:fldCharType="begin"/>
    </w:r>
    <w:r>
      <w:instrText xml:space="preserve"> PAGE   \* MERGEFORMAT </w:instrText>
    </w:r>
    <w:r>
      <w:fldChar w:fldCharType="separate"/>
    </w:r>
    <w:r>
      <w:t>2</w:t>
    </w:r>
    <w:r>
      <w:rPr>
        <w:noProof/>
      </w:rPr>
      <w:fldChar w:fldCharType="end"/>
    </w:r>
  </w:p>
  <w:p w14:paraId="0D801F24" w14:textId="77777777" w:rsidR="00EC1AA7" w:rsidRDefault="00EC1AA7"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5A87C" w14:textId="77777777" w:rsidR="008E1F27" w:rsidRDefault="008E1F27" w:rsidP="00C95FDC">
    <w:pPr>
      <w:pStyle w:val="Header"/>
      <w:jc w:val="right"/>
    </w:pPr>
    <w:r>
      <w:t>DLT/2/PM/5</w:t>
    </w:r>
  </w:p>
  <w:p w14:paraId="474D504C" w14:textId="01E74D1F" w:rsidR="008E1F27" w:rsidRDefault="008E1F27" w:rsidP="00C95FDC">
    <w:pPr>
      <w:pStyle w:val="Header"/>
      <w:jc w:val="right"/>
    </w:pPr>
    <w:r>
      <w:t>ANEXO</w:t>
    </w:r>
  </w:p>
  <w:p w14:paraId="7C0E56BC" w14:textId="77777777" w:rsidR="008E1F27" w:rsidRDefault="008E1F27" w:rsidP="00C95FDC">
    <w:pPr>
      <w:pStyle w:val="Header"/>
      <w:jc w:val="right"/>
    </w:pPr>
  </w:p>
  <w:p w14:paraId="4D22766A" w14:textId="77777777" w:rsidR="008E1F27" w:rsidRDefault="008E1F27" w:rsidP="00C95FD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6CD5ACC"/>
    <w:multiLevelType w:val="hybridMultilevel"/>
    <w:tmpl w:val="26E22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D8C59C2"/>
    <w:multiLevelType w:val="hybridMultilevel"/>
    <w:tmpl w:val="405C779C"/>
    <w:lvl w:ilvl="0" w:tplc="F6FA7710">
      <w:start w:val="1"/>
      <w:numFmt w:val="lowerLetter"/>
      <w:lvlText w:val="%1)"/>
      <w:lvlJc w:val="left"/>
      <w:pPr>
        <w:ind w:left="1260" w:hanging="360"/>
      </w:pPr>
      <w:rPr>
        <w:rFonts w:hint="default"/>
      </w:rPr>
    </w:lvl>
    <w:lvl w:ilvl="1" w:tplc="3B2C6D76" w:tentative="1">
      <w:start w:val="1"/>
      <w:numFmt w:val="lowerLetter"/>
      <w:lvlText w:val="%2."/>
      <w:lvlJc w:val="left"/>
      <w:pPr>
        <w:ind w:left="1980" w:hanging="360"/>
      </w:pPr>
    </w:lvl>
    <w:lvl w:ilvl="2" w:tplc="BD62FDCC" w:tentative="1">
      <w:start w:val="1"/>
      <w:numFmt w:val="lowerRoman"/>
      <w:lvlText w:val="%3."/>
      <w:lvlJc w:val="right"/>
      <w:pPr>
        <w:ind w:left="2700" w:hanging="180"/>
      </w:pPr>
    </w:lvl>
    <w:lvl w:ilvl="3" w:tplc="478C4508" w:tentative="1">
      <w:start w:val="1"/>
      <w:numFmt w:val="decimal"/>
      <w:lvlText w:val="%4."/>
      <w:lvlJc w:val="left"/>
      <w:pPr>
        <w:ind w:left="3420" w:hanging="360"/>
      </w:pPr>
    </w:lvl>
    <w:lvl w:ilvl="4" w:tplc="D1927038" w:tentative="1">
      <w:start w:val="1"/>
      <w:numFmt w:val="lowerLetter"/>
      <w:lvlText w:val="%5."/>
      <w:lvlJc w:val="left"/>
      <w:pPr>
        <w:ind w:left="4140" w:hanging="360"/>
      </w:pPr>
    </w:lvl>
    <w:lvl w:ilvl="5" w:tplc="8BBA05D6" w:tentative="1">
      <w:start w:val="1"/>
      <w:numFmt w:val="lowerRoman"/>
      <w:lvlText w:val="%6."/>
      <w:lvlJc w:val="right"/>
      <w:pPr>
        <w:ind w:left="4860" w:hanging="180"/>
      </w:pPr>
    </w:lvl>
    <w:lvl w:ilvl="6" w:tplc="1AC8EF8A" w:tentative="1">
      <w:start w:val="1"/>
      <w:numFmt w:val="decimal"/>
      <w:lvlText w:val="%7."/>
      <w:lvlJc w:val="left"/>
      <w:pPr>
        <w:ind w:left="5580" w:hanging="360"/>
      </w:pPr>
    </w:lvl>
    <w:lvl w:ilvl="7" w:tplc="4A6ECA1E" w:tentative="1">
      <w:start w:val="1"/>
      <w:numFmt w:val="lowerLetter"/>
      <w:lvlText w:val="%8."/>
      <w:lvlJc w:val="left"/>
      <w:pPr>
        <w:ind w:left="6300" w:hanging="360"/>
      </w:pPr>
    </w:lvl>
    <w:lvl w:ilvl="8" w:tplc="83E2F80E" w:tentative="1">
      <w:start w:val="1"/>
      <w:numFmt w:val="lowerRoman"/>
      <w:lvlText w:val="%9."/>
      <w:lvlJc w:val="right"/>
      <w:pPr>
        <w:ind w:left="70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DF8074E"/>
    <w:multiLevelType w:val="hybridMultilevel"/>
    <w:tmpl w:val="617EA5B2"/>
    <w:lvl w:ilvl="0" w:tplc="2F52B9C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4138308">
    <w:abstractNumId w:val="3"/>
  </w:num>
  <w:num w:numId="2" w16cid:durableId="708260709">
    <w:abstractNumId w:val="6"/>
  </w:num>
  <w:num w:numId="3" w16cid:durableId="1838420954">
    <w:abstractNumId w:val="0"/>
  </w:num>
  <w:num w:numId="4" w16cid:durableId="2065131002">
    <w:abstractNumId w:val="7"/>
  </w:num>
  <w:num w:numId="5" w16cid:durableId="1806967245">
    <w:abstractNumId w:val="1"/>
  </w:num>
  <w:num w:numId="6" w16cid:durableId="854344894">
    <w:abstractNumId w:val="4"/>
  </w:num>
  <w:num w:numId="7" w16cid:durableId="1531992625">
    <w:abstractNumId w:val="8"/>
  </w:num>
  <w:num w:numId="8" w16cid:durableId="1446074442">
    <w:abstractNumId w:val="5"/>
  </w:num>
  <w:num w:numId="9" w16cid:durableId="1086536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DC"/>
    <w:rsid w:val="00010686"/>
    <w:rsid w:val="00052915"/>
    <w:rsid w:val="000901A4"/>
    <w:rsid w:val="000C38DE"/>
    <w:rsid w:val="000E3BB3"/>
    <w:rsid w:val="000F5E56"/>
    <w:rsid w:val="001012A4"/>
    <w:rsid w:val="001362EE"/>
    <w:rsid w:val="00152CEA"/>
    <w:rsid w:val="001832A6"/>
    <w:rsid w:val="0019400E"/>
    <w:rsid w:val="002634C4"/>
    <w:rsid w:val="0029138B"/>
    <w:rsid w:val="002C2E2F"/>
    <w:rsid w:val="002D23B5"/>
    <w:rsid w:val="002E0F47"/>
    <w:rsid w:val="002F4E68"/>
    <w:rsid w:val="00310826"/>
    <w:rsid w:val="00354647"/>
    <w:rsid w:val="00377273"/>
    <w:rsid w:val="003845C1"/>
    <w:rsid w:val="00387287"/>
    <w:rsid w:val="003E48F1"/>
    <w:rsid w:val="003F347A"/>
    <w:rsid w:val="004206CF"/>
    <w:rsid w:val="00423E3E"/>
    <w:rsid w:val="00427AF4"/>
    <w:rsid w:val="0045231F"/>
    <w:rsid w:val="004647DA"/>
    <w:rsid w:val="0046793F"/>
    <w:rsid w:val="00472A6E"/>
    <w:rsid w:val="00477808"/>
    <w:rsid w:val="00477D6B"/>
    <w:rsid w:val="004A6C37"/>
    <w:rsid w:val="004C4BCC"/>
    <w:rsid w:val="004E297D"/>
    <w:rsid w:val="00531B02"/>
    <w:rsid w:val="005332F0"/>
    <w:rsid w:val="0055013B"/>
    <w:rsid w:val="00571B99"/>
    <w:rsid w:val="005B2EAE"/>
    <w:rsid w:val="00605827"/>
    <w:rsid w:val="00675021"/>
    <w:rsid w:val="006A06C6"/>
    <w:rsid w:val="007224C8"/>
    <w:rsid w:val="00794BE2"/>
    <w:rsid w:val="007A5581"/>
    <w:rsid w:val="007B71FE"/>
    <w:rsid w:val="007D781E"/>
    <w:rsid w:val="007E663E"/>
    <w:rsid w:val="00810EAF"/>
    <w:rsid w:val="00815082"/>
    <w:rsid w:val="00850375"/>
    <w:rsid w:val="0088395E"/>
    <w:rsid w:val="008B2CC1"/>
    <w:rsid w:val="008E1F27"/>
    <w:rsid w:val="008E6BD6"/>
    <w:rsid w:val="0090731E"/>
    <w:rsid w:val="00966A22"/>
    <w:rsid w:val="00972F03"/>
    <w:rsid w:val="0098367F"/>
    <w:rsid w:val="009A0C8B"/>
    <w:rsid w:val="009A20CD"/>
    <w:rsid w:val="009B6241"/>
    <w:rsid w:val="00A16FC0"/>
    <w:rsid w:val="00A207E9"/>
    <w:rsid w:val="00A32C9E"/>
    <w:rsid w:val="00AB613D"/>
    <w:rsid w:val="00AE7F20"/>
    <w:rsid w:val="00AF1A9F"/>
    <w:rsid w:val="00B534D5"/>
    <w:rsid w:val="00B65A0A"/>
    <w:rsid w:val="00B67CDC"/>
    <w:rsid w:val="00B72D36"/>
    <w:rsid w:val="00BC4164"/>
    <w:rsid w:val="00BD2DCC"/>
    <w:rsid w:val="00BF5A8E"/>
    <w:rsid w:val="00C90559"/>
    <w:rsid w:val="00C95FDC"/>
    <w:rsid w:val="00CA0500"/>
    <w:rsid w:val="00CA2251"/>
    <w:rsid w:val="00D40121"/>
    <w:rsid w:val="00D56C7C"/>
    <w:rsid w:val="00D71B4D"/>
    <w:rsid w:val="00D90289"/>
    <w:rsid w:val="00D93D55"/>
    <w:rsid w:val="00DC4C60"/>
    <w:rsid w:val="00DD6CF4"/>
    <w:rsid w:val="00E0079A"/>
    <w:rsid w:val="00E444DA"/>
    <w:rsid w:val="00E45C84"/>
    <w:rsid w:val="00E504E5"/>
    <w:rsid w:val="00E833E8"/>
    <w:rsid w:val="00EB0D93"/>
    <w:rsid w:val="00EB7A3E"/>
    <w:rsid w:val="00EC1AA7"/>
    <w:rsid w:val="00EC401A"/>
    <w:rsid w:val="00ED7DF1"/>
    <w:rsid w:val="00EF530A"/>
    <w:rsid w:val="00EF6622"/>
    <w:rsid w:val="00EF78A9"/>
    <w:rsid w:val="00F55408"/>
    <w:rsid w:val="00F63DCE"/>
    <w:rsid w:val="00F66152"/>
    <w:rsid w:val="00F80845"/>
    <w:rsid w:val="00F84474"/>
    <w:rsid w:val="00FA0F0D"/>
    <w:rsid w:val="00FA250C"/>
    <w:rsid w:val="00FB6220"/>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37454"/>
  <w15:docId w15:val="{CD042ED1-C60B-4F33-8676-9E773EFC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erChar">
    <w:name w:val="Footer Char"/>
    <w:basedOn w:val="DefaultParagraphFont"/>
    <w:link w:val="Footer"/>
    <w:semiHidden/>
    <w:rsid w:val="00C95FDC"/>
    <w:rPr>
      <w:rFonts w:ascii="Arial" w:eastAsia="SimSun" w:hAnsi="Arial" w:cs="Arial"/>
      <w:sz w:val="22"/>
      <w:lang w:val="es-ES" w:eastAsia="zh-CN"/>
    </w:rPr>
  </w:style>
  <w:style w:type="character" w:customStyle="1" w:styleId="HeaderChar">
    <w:name w:val="Header Char"/>
    <w:basedOn w:val="DefaultParagraphFont"/>
    <w:link w:val="Header"/>
    <w:uiPriority w:val="99"/>
    <w:rsid w:val="00C95FDC"/>
    <w:rPr>
      <w:rFonts w:ascii="Arial" w:eastAsia="SimSun" w:hAnsi="Arial" w:cs="Arial"/>
      <w:sz w:val="22"/>
      <w:lang w:val="es-ES" w:eastAsia="zh-CN"/>
    </w:rPr>
  </w:style>
  <w:style w:type="character" w:customStyle="1" w:styleId="Heading1Char">
    <w:name w:val="Heading 1 Char"/>
    <w:basedOn w:val="DefaultParagraphFont"/>
    <w:link w:val="Heading1"/>
    <w:rsid w:val="00FB6220"/>
    <w:rPr>
      <w:rFonts w:ascii="Arial" w:eastAsia="SimSun" w:hAnsi="Arial" w:cs="Arial"/>
      <w:b/>
      <w:bCs/>
      <w:caps/>
      <w:kern w:val="32"/>
      <w:sz w:val="22"/>
      <w:szCs w:val="32"/>
      <w:lang w:val="es-ES" w:eastAsia="zh-CN"/>
    </w:rPr>
  </w:style>
  <w:style w:type="character" w:customStyle="1" w:styleId="ONUMEChar">
    <w:name w:val="ONUM E Char"/>
    <w:link w:val="ONUME"/>
    <w:rsid w:val="00FB6220"/>
    <w:rPr>
      <w:rFonts w:ascii="Arial" w:eastAsia="SimSun" w:hAnsi="Arial" w:cs="Arial"/>
      <w:sz w:val="22"/>
      <w:lang w:val="es-ES" w:eastAsia="zh-CN"/>
    </w:rPr>
  </w:style>
  <w:style w:type="paragraph" w:styleId="ListParagraph">
    <w:name w:val="List Paragraph"/>
    <w:basedOn w:val="Normal"/>
    <w:uiPriority w:val="34"/>
    <w:qFormat/>
    <w:rsid w:val="00FB6220"/>
    <w:pPr>
      <w:ind w:left="567"/>
    </w:pPr>
    <w:rPr>
      <w:lang w:val="en-US"/>
    </w:rPr>
  </w:style>
  <w:style w:type="paragraph" w:styleId="Revision">
    <w:name w:val="Revision"/>
    <w:hidden/>
    <w:uiPriority w:val="99"/>
    <w:semiHidden/>
    <w:rsid w:val="0019400E"/>
    <w:rPr>
      <w:rFonts w:ascii="Arial" w:eastAsia="SimSun" w:hAnsi="Arial" w:cs="Arial"/>
      <w:sz w:val="22"/>
      <w:lang w:val="es-ES" w:eastAsia="zh-CN"/>
    </w:rPr>
  </w:style>
  <w:style w:type="paragraph" w:customStyle="1" w:styleId="DecisionParagraph">
    <w:name w:val="Decision Paragraph"/>
    <w:basedOn w:val="Normal"/>
    <w:rsid w:val="004C4BCC"/>
    <w:pPr>
      <w:ind w:left="4536"/>
    </w:pPr>
    <w:rPr>
      <w:rFonts w:ascii="Times New Roman" w:eastAsia="Times New Roman" w:hAnsi="Times New Roman" w:cs="Times New Roman"/>
      <w:i/>
      <w:sz w:val="24"/>
      <w:lang w:eastAsia="en-US"/>
    </w:rPr>
  </w:style>
  <w:style w:type="paragraph" w:styleId="BodyTextIndent2">
    <w:name w:val="Body Text Indent 2"/>
    <w:basedOn w:val="Normal"/>
    <w:link w:val="BodyTextIndent2Char"/>
    <w:rsid w:val="000901A4"/>
    <w:pPr>
      <w:tabs>
        <w:tab w:val="right" w:pos="851"/>
      </w:tabs>
      <w:spacing w:after="240"/>
      <w:ind w:firstLine="567"/>
    </w:pPr>
    <w:rPr>
      <w:rFonts w:ascii="Times New Roman" w:eastAsia="Times New Roman" w:hAnsi="Times New Roman" w:cs="Times New Roman"/>
      <w:sz w:val="24"/>
      <w:lang w:eastAsia="en-US"/>
    </w:rPr>
  </w:style>
  <w:style w:type="character" w:customStyle="1" w:styleId="BodyTextIndent2Char">
    <w:name w:val="Body Text Indent 2 Char"/>
    <w:basedOn w:val="DefaultParagraphFont"/>
    <w:link w:val="BodyTextIndent2"/>
    <w:rsid w:val="000901A4"/>
    <w:rPr>
      <w:sz w:val="24"/>
      <w:lang w:val="es-ES" w:eastAsia="en-US"/>
    </w:rPr>
  </w:style>
  <w:style w:type="character" w:styleId="FootnoteReference">
    <w:name w:val="footnote reference"/>
    <w:semiHidden/>
    <w:rsid w:val="000901A4"/>
    <w:rPr>
      <w:vertAlign w:val="superscript"/>
    </w:rPr>
  </w:style>
  <w:style w:type="character" w:customStyle="1" w:styleId="FootnoteTextChar">
    <w:name w:val="Footnote Text Char"/>
    <w:basedOn w:val="DefaultParagraphFont"/>
    <w:link w:val="FootnoteText"/>
    <w:semiHidden/>
    <w:rsid w:val="000901A4"/>
    <w:rPr>
      <w:rFonts w:ascii="Arial" w:eastAsia="SimSun" w:hAnsi="Arial" w:cs="Arial"/>
      <w:sz w:val="1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47C3-153A-4D07-8F3F-52EB6F34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(S).dotm</Template>
  <TotalTime>3</TotalTime>
  <Pages>4</Pages>
  <Words>859</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DLT/2/PM/</vt:lpstr>
    </vt:vector>
  </TitlesOfParts>
  <Company>WIPO</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dc:title>
  <dc:creator>MIGLIORE Liliana</dc:creator>
  <cp:keywords>FOR OFFICIAL USE ONLY</cp:keywords>
  <cp:lastModifiedBy>BOU LLORET Amparo</cp:lastModifiedBy>
  <cp:revision>4</cp:revision>
  <dcterms:created xsi:type="dcterms:W3CDTF">2023-10-02T14:35:00Z</dcterms:created>
  <dcterms:modified xsi:type="dcterms:W3CDTF">2023-10-03T07:20:00Z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2023-10-03T07:18:57Z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390ed07c-fde5-4ac0-80f5-add491b7af78</vt:lpwstr>
  </property>
  <property fmtid="{D5CDD505-2E9C-101B-9397-08002B2CF9AE}" pid="13" name="MSIP_Label_20773ee6-353b-4fb9-a59d-0b94c8c67bea_ContentBits">
    <vt:lpwstr>0</vt:lpwstr>
  </property>
</Properties>
</file>