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08F1A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4BA9C8D3" wp14:editId="4B8A2E5A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F211B86" wp14:editId="04299B9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08832D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8DEAF24" w14:textId="696CE082" w:rsidR="008B2CC1" w:rsidRPr="001024FE" w:rsidRDefault="00EF0D3D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EF0D3D">
        <w:rPr>
          <w:rFonts w:ascii="Arial Black" w:hAnsi="Arial Black"/>
          <w:caps/>
          <w:sz w:val="15"/>
        </w:rPr>
        <w:t>DLT/DC</w:t>
      </w:r>
      <w:r w:rsidR="005F10BC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0A74B3">
        <w:rPr>
          <w:rFonts w:ascii="Arial Black" w:hAnsi="Arial Black"/>
          <w:caps/>
          <w:sz w:val="15"/>
          <w:szCs w:val="15"/>
        </w:rPr>
        <w:t>24</w:t>
      </w:r>
    </w:p>
    <w:bookmarkEnd w:id="0"/>
    <w:p w14:paraId="31F1B1A0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634590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20380DC9" w14:textId="790B6D1C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5F7584">
        <w:rPr>
          <w:rFonts w:ascii="Arial Black" w:hAnsi="Arial Black"/>
          <w:caps/>
          <w:sz w:val="15"/>
          <w:szCs w:val="15"/>
        </w:rPr>
        <w:t>november 21</w:t>
      </w:r>
      <w:r w:rsidR="00634590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21759683" w14:textId="77777777" w:rsidR="008B2CC1" w:rsidRPr="003845C1" w:rsidRDefault="00EF0D3D" w:rsidP="00CE65D4">
      <w:pPr>
        <w:spacing w:after="600"/>
        <w:rPr>
          <w:b/>
          <w:sz w:val="28"/>
          <w:szCs w:val="28"/>
        </w:rPr>
      </w:pPr>
      <w:r w:rsidRPr="00EF0D3D">
        <w:rPr>
          <w:b/>
          <w:sz w:val="28"/>
          <w:szCs w:val="28"/>
        </w:rPr>
        <w:t>Diplomatic Conference to Conclude and Adopt a Design Law Treaty</w:t>
      </w:r>
      <w:r w:rsidRPr="007E79BE">
        <w:rPr>
          <w:b/>
          <w:sz w:val="28"/>
          <w:szCs w:val="28"/>
        </w:rPr>
        <w:t> </w:t>
      </w:r>
      <w:r w:rsidRPr="00EF0D3D">
        <w:rPr>
          <w:b/>
          <w:sz w:val="28"/>
          <w:szCs w:val="28"/>
        </w:rPr>
        <w:t>(DLT</w:t>
      </w:r>
      <w:r>
        <w:rPr>
          <w:b/>
          <w:sz w:val="28"/>
          <w:szCs w:val="28"/>
        </w:rPr>
        <w:t>)</w:t>
      </w:r>
    </w:p>
    <w:p w14:paraId="371BE5CC" w14:textId="77777777" w:rsidR="008B2CC1" w:rsidRPr="009F3BF9" w:rsidRDefault="00EF0D3D" w:rsidP="00CE65D4">
      <w:pPr>
        <w:spacing w:after="720"/>
      </w:pPr>
      <w:r w:rsidRPr="007E79BE">
        <w:rPr>
          <w:b/>
          <w:sz w:val="24"/>
          <w:szCs w:val="24"/>
        </w:rPr>
        <w:t xml:space="preserve">Riyadh, November 11 to 22, </w:t>
      </w:r>
      <w:r w:rsidR="008417FC" w:rsidRPr="005F10BC">
        <w:rPr>
          <w:b/>
          <w:sz w:val="24"/>
          <w:szCs w:val="24"/>
        </w:rPr>
        <w:t>202</w:t>
      </w:r>
      <w:r w:rsidR="008417FC">
        <w:rPr>
          <w:b/>
          <w:sz w:val="24"/>
          <w:szCs w:val="24"/>
        </w:rPr>
        <w:t>4</w:t>
      </w:r>
    </w:p>
    <w:p w14:paraId="444BA484" w14:textId="6A6A270E" w:rsidR="008B2CC1" w:rsidRPr="009F3BF9" w:rsidRDefault="00BE2235" w:rsidP="00E37960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DRAFT RESOLUTION BY THE DIPLOMATIC CONFERENCE SUPPLEMENTARY TO THE DESIGN LAW TREATY (dlt) AND THE REGULATIONS THEREUNDER</w:t>
      </w:r>
    </w:p>
    <w:p w14:paraId="24F33AE4" w14:textId="18B09DE7" w:rsidR="008B2CC1" w:rsidRPr="004D39C4" w:rsidRDefault="00A60643" w:rsidP="001C57CC">
      <w:pPr>
        <w:spacing w:before="480" w:after="960"/>
        <w:rPr>
          <w:i/>
        </w:rPr>
      </w:pPr>
      <w:bookmarkStart w:id="4" w:name="Prepared"/>
      <w:bookmarkEnd w:id="3"/>
      <w:r>
        <w:rPr>
          <w:i/>
        </w:rPr>
        <w:t>Submitted to Main Committee I by the Drafting Committee</w:t>
      </w:r>
    </w:p>
    <w:bookmarkEnd w:id="4"/>
    <w:p w14:paraId="28C60CEE" w14:textId="614620DF" w:rsidR="00A60643" w:rsidRDefault="00A927BA" w:rsidP="00A927BA">
      <w:pPr>
        <w:pStyle w:val="ListParagraph"/>
        <w:numPr>
          <w:ilvl w:val="0"/>
          <w:numId w:val="7"/>
        </w:numPr>
        <w:tabs>
          <w:tab w:val="left" w:pos="720"/>
        </w:tabs>
        <w:spacing w:after="220"/>
        <w:ind w:left="0" w:firstLine="0"/>
        <w:contextualSpacing w:val="0"/>
      </w:pPr>
      <w:r w:rsidRPr="00A927BA">
        <w:t>When adopting the Treaty, the Diplomatic Conference confirmed that the words “procedure before the Office” in Article 1(viii) would not cover judicial procedures under the applicable law.</w:t>
      </w:r>
    </w:p>
    <w:p w14:paraId="24AD590D" w14:textId="3411EEB9" w:rsidR="005F7584" w:rsidRDefault="005F7584" w:rsidP="00A927BA">
      <w:pPr>
        <w:pStyle w:val="ListParagraph"/>
        <w:numPr>
          <w:ilvl w:val="0"/>
          <w:numId w:val="7"/>
        </w:numPr>
        <w:tabs>
          <w:tab w:val="left" w:pos="720"/>
        </w:tabs>
        <w:spacing w:after="220"/>
        <w:ind w:left="0" w:firstLine="0"/>
        <w:contextualSpacing w:val="0"/>
      </w:pPr>
      <w:r w:rsidRPr="009968B7">
        <w:t>When adopting Article</w:t>
      </w:r>
      <w:r w:rsidR="00B37A6B">
        <w:t> </w:t>
      </w:r>
      <w:r w:rsidR="0046371E" w:rsidRPr="009968B7">
        <w:t>1</w:t>
      </w:r>
      <w:r w:rsidR="0046371E">
        <w:t>6</w:t>
      </w:r>
      <w:r w:rsidRPr="009968B7">
        <w:t xml:space="preserve">, the Diplomatic Conference confirmed that it was desirable that where the correction or addition of a priority claim is made pursuant to Article </w:t>
      </w:r>
      <w:r w:rsidR="0046371E" w:rsidRPr="009968B7">
        <w:t>1</w:t>
      </w:r>
      <w:r w:rsidR="0046371E">
        <w:t>6</w:t>
      </w:r>
      <w:r w:rsidRPr="009968B7">
        <w:t xml:space="preserve">(1), a Contracting Party that requires evidence pursuant to Article </w:t>
      </w:r>
      <w:r w:rsidR="0046371E">
        <w:t>4</w:t>
      </w:r>
      <w:r w:rsidRPr="009968B7">
        <w:t>(1)(vii) allows the evidence to be submitted at least within the time limit for filing the request referred to in Rule 12(2).</w:t>
      </w:r>
    </w:p>
    <w:p w14:paraId="2D2A7104" w14:textId="61B86161" w:rsidR="00A927BA" w:rsidRDefault="009F344E" w:rsidP="002C01CC">
      <w:pPr>
        <w:pStyle w:val="ListParagraph"/>
        <w:numPr>
          <w:ilvl w:val="0"/>
          <w:numId w:val="7"/>
        </w:numPr>
        <w:tabs>
          <w:tab w:val="left" w:pos="720"/>
          <w:tab w:val="left" w:pos="3962"/>
          <w:tab w:val="left" w:pos="4284"/>
        </w:tabs>
        <w:spacing w:after="220"/>
        <w:ind w:left="0" w:firstLine="0"/>
        <w:contextualSpacing w:val="0"/>
      </w:pPr>
      <w:r w:rsidRPr="00E37C38">
        <w:t xml:space="preserve">When adopting Articles </w:t>
      </w:r>
      <w:r w:rsidR="0046371E" w:rsidRPr="00E37C38">
        <w:t>1</w:t>
      </w:r>
      <w:r w:rsidR="0046371E">
        <w:t>7</w:t>
      </w:r>
      <w:r w:rsidRPr="00E37C38">
        <w:t xml:space="preserve">, </w:t>
      </w:r>
      <w:r w:rsidR="0046371E" w:rsidRPr="00E37C38">
        <w:t>1</w:t>
      </w:r>
      <w:r w:rsidR="0046371E">
        <w:t>8</w:t>
      </w:r>
      <w:r w:rsidR="0046371E" w:rsidRPr="00E37C38">
        <w:t xml:space="preserve"> </w:t>
      </w:r>
      <w:r w:rsidRPr="00E37C38">
        <w:t xml:space="preserve">and </w:t>
      </w:r>
      <w:r w:rsidR="0046371E">
        <w:t>21</w:t>
      </w:r>
      <w:r w:rsidRPr="00E37C38">
        <w:t>, the Diplomatic Conference confirmed that these provisions do not prevent an Office from requiring the parties to a license</w:t>
      </w:r>
      <w:r w:rsidRPr="00E37C38">
        <w:rPr>
          <w:i/>
          <w:iCs/>
        </w:rPr>
        <w:t xml:space="preserve"> </w:t>
      </w:r>
      <w:r w:rsidRPr="00E37C38">
        <w:rPr>
          <w:lang w:val="en-GB"/>
        </w:rPr>
        <w:t>or, in the case of Article</w:t>
      </w:r>
      <w:r w:rsidR="00F35A6A">
        <w:rPr>
          <w:lang w:val="en-GB"/>
        </w:rPr>
        <w:t> </w:t>
      </w:r>
      <w:r w:rsidR="0046371E">
        <w:rPr>
          <w:lang w:val="en-GB"/>
        </w:rPr>
        <w:t>21</w:t>
      </w:r>
      <w:r w:rsidRPr="00E37C38">
        <w:rPr>
          <w:lang w:val="en-GB"/>
        </w:rPr>
        <w:t>, the holder or new owner</w:t>
      </w:r>
      <w:r w:rsidRPr="00A339D1">
        <w:rPr>
          <w:lang w:val="en-GB"/>
        </w:rPr>
        <w:t>,</w:t>
      </w:r>
      <w:r w:rsidR="00A339D1">
        <w:rPr>
          <w:lang w:val="en-GB"/>
        </w:rPr>
        <w:t xml:space="preserve"> </w:t>
      </w:r>
      <w:r w:rsidRPr="00A339D1">
        <w:t>t</w:t>
      </w:r>
      <w:r w:rsidRPr="00E37C38">
        <w:t xml:space="preserve">o furnish information, in accordance with the applicable law of that Contracting Party, for use </w:t>
      </w:r>
      <w:r w:rsidR="00931D6C">
        <w:t>by</w:t>
      </w:r>
      <w:r w:rsidRPr="00E37C38">
        <w:t xml:space="preserve"> another authority, such as for tax or monetary authorities.</w:t>
      </w:r>
    </w:p>
    <w:p w14:paraId="0BD8C23F" w14:textId="305C380A" w:rsidR="009F344E" w:rsidRDefault="009F344E" w:rsidP="00A927BA">
      <w:pPr>
        <w:pStyle w:val="ListParagraph"/>
        <w:numPr>
          <w:ilvl w:val="0"/>
          <w:numId w:val="7"/>
        </w:numPr>
        <w:tabs>
          <w:tab w:val="left" w:pos="720"/>
        </w:tabs>
        <w:spacing w:after="220"/>
        <w:ind w:left="0" w:firstLine="0"/>
        <w:contextualSpacing w:val="0"/>
      </w:pPr>
      <w:r w:rsidRPr="002171ED">
        <w:t>When adopting Articles</w:t>
      </w:r>
      <w:r w:rsidR="00B37A6B">
        <w:t> </w:t>
      </w:r>
      <w:r w:rsidR="0046371E">
        <w:t>17</w:t>
      </w:r>
      <w:r w:rsidRPr="002171ED">
        <w:t xml:space="preserve">(4), </w:t>
      </w:r>
      <w:r w:rsidR="0046371E">
        <w:t>18</w:t>
      </w:r>
      <w:r w:rsidRPr="002171ED">
        <w:t xml:space="preserve">(3) and </w:t>
      </w:r>
      <w:r w:rsidR="0046371E">
        <w:t>21</w:t>
      </w:r>
      <w:r w:rsidRPr="002171ED">
        <w:t xml:space="preserve">(6), the Diplomatic Conference confirmed that these paragraphs do not exclude the possibility that a Contracting Party which has </w:t>
      </w:r>
      <w:r w:rsidR="00CE55E3">
        <w:t xml:space="preserve">a </w:t>
      </w:r>
      <w:r w:rsidRPr="002171ED">
        <w:t>Related Design System requires a collective request for related registrations to be made in accordance with its applicable law.</w:t>
      </w:r>
    </w:p>
    <w:p w14:paraId="5C2CD98F" w14:textId="7AF8BD42" w:rsidR="006D77C0" w:rsidRDefault="006D77C0" w:rsidP="00A927BA">
      <w:pPr>
        <w:pStyle w:val="ListParagraph"/>
        <w:numPr>
          <w:ilvl w:val="0"/>
          <w:numId w:val="7"/>
        </w:numPr>
        <w:tabs>
          <w:tab w:val="left" w:pos="720"/>
        </w:tabs>
        <w:spacing w:after="220"/>
        <w:ind w:left="0" w:firstLine="0"/>
        <w:contextualSpacing w:val="0"/>
      </w:pPr>
      <w:r w:rsidRPr="005F7584">
        <w:t>The Diplomatic Conference confirmed that nothing in Rule </w:t>
      </w:r>
      <w:r w:rsidR="005F7584">
        <w:t>3</w:t>
      </w:r>
      <w:r w:rsidRPr="005F7584">
        <w:t>(</w:t>
      </w:r>
      <w:r w:rsidR="005F7584">
        <w:t>2</w:t>
      </w:r>
      <w:r w:rsidRPr="005F7584">
        <w:t>) shall be construed as requiring Contracting Parties to protect partial designs.</w:t>
      </w:r>
    </w:p>
    <w:p w14:paraId="7B0D92C8" w14:textId="71D8EB18" w:rsidR="00A14D40" w:rsidRPr="00CE3A83" w:rsidRDefault="00A14D40" w:rsidP="00A927BA">
      <w:pPr>
        <w:pStyle w:val="ListParagraph"/>
        <w:numPr>
          <w:ilvl w:val="0"/>
          <w:numId w:val="7"/>
        </w:numPr>
        <w:tabs>
          <w:tab w:val="left" w:pos="720"/>
        </w:tabs>
        <w:spacing w:after="220"/>
        <w:ind w:left="0" w:firstLine="0"/>
        <w:contextualSpacing w:val="0"/>
      </w:pPr>
      <w:r w:rsidRPr="00CE3A83">
        <w:lastRenderedPageBreak/>
        <w:t xml:space="preserve">Where time periods in the Treaty and Regulations are identified in months, a Contracting Party may, other than </w:t>
      </w:r>
      <w:r w:rsidR="00B82099">
        <w:t xml:space="preserve">with respect to </w:t>
      </w:r>
      <w:r w:rsidRPr="00CE3A83">
        <w:t xml:space="preserve">Articles </w:t>
      </w:r>
      <w:r w:rsidR="0046371E">
        <w:t>7</w:t>
      </w:r>
      <w:r w:rsidRPr="00CE3A83">
        <w:t xml:space="preserve">, </w:t>
      </w:r>
      <w:r w:rsidR="0046371E">
        <w:t>26</w:t>
      </w:r>
      <w:r w:rsidR="00B82099">
        <w:t>,</w:t>
      </w:r>
      <w:r w:rsidR="0046371E" w:rsidRPr="00CE3A83">
        <w:t xml:space="preserve"> </w:t>
      </w:r>
      <w:r w:rsidRPr="00CE3A83">
        <w:t xml:space="preserve">and </w:t>
      </w:r>
      <w:r w:rsidR="0046371E">
        <w:t>30</w:t>
      </w:r>
      <w:r w:rsidR="0046371E" w:rsidRPr="00CE3A83">
        <w:t xml:space="preserve"> </w:t>
      </w:r>
      <w:r w:rsidRPr="00CE3A83">
        <w:t>and Rule 9, consider one month to be a period of 30 days.</w:t>
      </w:r>
    </w:p>
    <w:p w14:paraId="4B6CEAE2" w14:textId="06B7AEEA" w:rsidR="00634590" w:rsidRDefault="00286C1D" w:rsidP="009F344E">
      <w:pPr>
        <w:pStyle w:val="Endofdocument-Annex"/>
        <w:spacing w:before="720"/>
      </w:pPr>
      <w:r w:rsidRPr="00634590">
        <w:t>[</w:t>
      </w:r>
      <w:r>
        <w:t>End of document</w:t>
      </w:r>
      <w:r w:rsidRPr="00634590">
        <w:t>]</w:t>
      </w:r>
    </w:p>
    <w:sectPr w:rsidR="00634590" w:rsidSect="005941E9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B808A" w14:textId="77777777" w:rsidR="0020725B" w:rsidRDefault="0020725B">
      <w:r>
        <w:separator/>
      </w:r>
    </w:p>
  </w:endnote>
  <w:endnote w:type="continuationSeparator" w:id="0">
    <w:p w14:paraId="59C9945F" w14:textId="77777777" w:rsidR="0020725B" w:rsidRDefault="0020725B" w:rsidP="003B38C1">
      <w:r>
        <w:separator/>
      </w:r>
    </w:p>
    <w:p w14:paraId="254DEF42" w14:textId="77777777" w:rsidR="0020725B" w:rsidRPr="003B38C1" w:rsidRDefault="0020725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40CD708" w14:textId="77777777" w:rsidR="0020725B" w:rsidRPr="003B38C1" w:rsidRDefault="0020725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45CE6" w14:textId="77777777" w:rsidR="0020725B" w:rsidRDefault="0020725B">
      <w:r>
        <w:separator/>
      </w:r>
    </w:p>
  </w:footnote>
  <w:footnote w:type="continuationSeparator" w:id="0">
    <w:p w14:paraId="65CEEC38" w14:textId="77777777" w:rsidR="0020725B" w:rsidRDefault="0020725B" w:rsidP="008B60B2">
      <w:r>
        <w:separator/>
      </w:r>
    </w:p>
    <w:p w14:paraId="4E4900C7" w14:textId="77777777" w:rsidR="0020725B" w:rsidRPr="00ED77FB" w:rsidRDefault="0020725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A1B1528" w14:textId="77777777" w:rsidR="0020725B" w:rsidRPr="00ED77FB" w:rsidRDefault="0020725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E60D1" w14:textId="1DD36335" w:rsidR="00E37960" w:rsidRDefault="005F7584" w:rsidP="005F7584">
    <w:pPr>
      <w:jc w:val="right"/>
    </w:pPr>
    <w:r>
      <w:t>DLT/DC</w:t>
    </w:r>
    <w:r w:rsidR="00F35A6A">
      <w:t>/</w:t>
    </w:r>
    <w:r>
      <w:t>24</w:t>
    </w:r>
  </w:p>
  <w:p w14:paraId="3926FF40" w14:textId="48E8855F" w:rsidR="00E37960" w:rsidRDefault="00E37960" w:rsidP="005F7584">
    <w:pPr>
      <w:spacing w:after="48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94E3E" w14:textId="761CB5E5" w:rsidR="00286C1D" w:rsidRDefault="00286C1D" w:rsidP="00BE223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C5C6304"/>
    <w:multiLevelType w:val="hybridMultilevel"/>
    <w:tmpl w:val="357A0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5"/>
  </w:num>
  <w:num w:numId="3" w16cid:durableId="1356350649">
    <w:abstractNumId w:val="0"/>
  </w:num>
  <w:num w:numId="4" w16cid:durableId="1151099335">
    <w:abstractNumId w:val="6"/>
  </w:num>
  <w:num w:numId="5" w16cid:durableId="797770133">
    <w:abstractNumId w:val="1"/>
  </w:num>
  <w:num w:numId="6" w16cid:durableId="878471050">
    <w:abstractNumId w:val="3"/>
  </w:num>
  <w:num w:numId="7" w16cid:durableId="1609508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90"/>
    <w:rsid w:val="000005D2"/>
    <w:rsid w:val="000156B3"/>
    <w:rsid w:val="0001647B"/>
    <w:rsid w:val="00032B9C"/>
    <w:rsid w:val="00043CAA"/>
    <w:rsid w:val="00075432"/>
    <w:rsid w:val="000968ED"/>
    <w:rsid w:val="000A334D"/>
    <w:rsid w:val="000A74B3"/>
    <w:rsid w:val="000B5077"/>
    <w:rsid w:val="000D1365"/>
    <w:rsid w:val="000E070F"/>
    <w:rsid w:val="000F5E56"/>
    <w:rsid w:val="001024FE"/>
    <w:rsid w:val="00124096"/>
    <w:rsid w:val="001362EE"/>
    <w:rsid w:val="00142868"/>
    <w:rsid w:val="00174B8E"/>
    <w:rsid w:val="001832A6"/>
    <w:rsid w:val="001A7170"/>
    <w:rsid w:val="001C57CC"/>
    <w:rsid w:val="001C6808"/>
    <w:rsid w:val="001D0885"/>
    <w:rsid w:val="001F7D79"/>
    <w:rsid w:val="0020725B"/>
    <w:rsid w:val="002121FA"/>
    <w:rsid w:val="00231717"/>
    <w:rsid w:val="00250141"/>
    <w:rsid w:val="002634C4"/>
    <w:rsid w:val="00266FCF"/>
    <w:rsid w:val="00286C1D"/>
    <w:rsid w:val="002928D3"/>
    <w:rsid w:val="002C01CC"/>
    <w:rsid w:val="002C0B23"/>
    <w:rsid w:val="002F1FE6"/>
    <w:rsid w:val="002F4E68"/>
    <w:rsid w:val="00312F7F"/>
    <w:rsid w:val="003228B7"/>
    <w:rsid w:val="00327290"/>
    <w:rsid w:val="003312FE"/>
    <w:rsid w:val="003508A3"/>
    <w:rsid w:val="003571FE"/>
    <w:rsid w:val="003673CF"/>
    <w:rsid w:val="003827D3"/>
    <w:rsid w:val="003845C1"/>
    <w:rsid w:val="003A0552"/>
    <w:rsid w:val="003A6F89"/>
    <w:rsid w:val="003B38C1"/>
    <w:rsid w:val="003C20CB"/>
    <w:rsid w:val="003D352A"/>
    <w:rsid w:val="00423E3E"/>
    <w:rsid w:val="00427AF4"/>
    <w:rsid w:val="004400E2"/>
    <w:rsid w:val="00461632"/>
    <w:rsid w:val="0046371E"/>
    <w:rsid w:val="004647DA"/>
    <w:rsid w:val="00474062"/>
    <w:rsid w:val="00477D6B"/>
    <w:rsid w:val="004D39C4"/>
    <w:rsid w:val="00513DA9"/>
    <w:rsid w:val="00521E3E"/>
    <w:rsid w:val="0053057A"/>
    <w:rsid w:val="0053645F"/>
    <w:rsid w:val="00560798"/>
    <w:rsid w:val="00560A29"/>
    <w:rsid w:val="005941E9"/>
    <w:rsid w:val="00594D27"/>
    <w:rsid w:val="005B588E"/>
    <w:rsid w:val="005E7644"/>
    <w:rsid w:val="005F10BC"/>
    <w:rsid w:val="005F7584"/>
    <w:rsid w:val="00601760"/>
    <w:rsid w:val="00605827"/>
    <w:rsid w:val="00634590"/>
    <w:rsid w:val="00646050"/>
    <w:rsid w:val="00657E20"/>
    <w:rsid w:val="006713CA"/>
    <w:rsid w:val="00676C5C"/>
    <w:rsid w:val="00695558"/>
    <w:rsid w:val="006A2CDE"/>
    <w:rsid w:val="006D5E0F"/>
    <w:rsid w:val="006D77C0"/>
    <w:rsid w:val="007058FB"/>
    <w:rsid w:val="00765D80"/>
    <w:rsid w:val="007B6A58"/>
    <w:rsid w:val="007C1943"/>
    <w:rsid w:val="007C3B57"/>
    <w:rsid w:val="007C481B"/>
    <w:rsid w:val="007D1613"/>
    <w:rsid w:val="007F4AAE"/>
    <w:rsid w:val="00802BA4"/>
    <w:rsid w:val="00813C5E"/>
    <w:rsid w:val="008254E0"/>
    <w:rsid w:val="008417FC"/>
    <w:rsid w:val="00847705"/>
    <w:rsid w:val="00847FF7"/>
    <w:rsid w:val="00857EBA"/>
    <w:rsid w:val="00873EE5"/>
    <w:rsid w:val="00886726"/>
    <w:rsid w:val="0089582E"/>
    <w:rsid w:val="008B2CC1"/>
    <w:rsid w:val="008B4B5E"/>
    <w:rsid w:val="008B60B2"/>
    <w:rsid w:val="0090731E"/>
    <w:rsid w:val="00916EE2"/>
    <w:rsid w:val="00931D6C"/>
    <w:rsid w:val="00966A22"/>
    <w:rsid w:val="0096722F"/>
    <w:rsid w:val="00975D46"/>
    <w:rsid w:val="00980843"/>
    <w:rsid w:val="009C2277"/>
    <w:rsid w:val="009E2791"/>
    <w:rsid w:val="009E3F6F"/>
    <w:rsid w:val="009F344E"/>
    <w:rsid w:val="009F3BF9"/>
    <w:rsid w:val="009F499F"/>
    <w:rsid w:val="009F77D4"/>
    <w:rsid w:val="00A14D40"/>
    <w:rsid w:val="00A24004"/>
    <w:rsid w:val="00A339D1"/>
    <w:rsid w:val="00A42DAF"/>
    <w:rsid w:val="00A45BD8"/>
    <w:rsid w:val="00A60643"/>
    <w:rsid w:val="00A67E77"/>
    <w:rsid w:val="00A70DB4"/>
    <w:rsid w:val="00A778BF"/>
    <w:rsid w:val="00A85B8E"/>
    <w:rsid w:val="00A927BA"/>
    <w:rsid w:val="00AB0283"/>
    <w:rsid w:val="00AC205C"/>
    <w:rsid w:val="00AE0684"/>
    <w:rsid w:val="00AF5C73"/>
    <w:rsid w:val="00B05A69"/>
    <w:rsid w:val="00B171B4"/>
    <w:rsid w:val="00B3296A"/>
    <w:rsid w:val="00B37A6B"/>
    <w:rsid w:val="00B40598"/>
    <w:rsid w:val="00B423F2"/>
    <w:rsid w:val="00B43D80"/>
    <w:rsid w:val="00B50B99"/>
    <w:rsid w:val="00B62CD9"/>
    <w:rsid w:val="00B66FCB"/>
    <w:rsid w:val="00B747CE"/>
    <w:rsid w:val="00B82099"/>
    <w:rsid w:val="00B9734B"/>
    <w:rsid w:val="00BC1CAD"/>
    <w:rsid w:val="00BC62F3"/>
    <w:rsid w:val="00BE2235"/>
    <w:rsid w:val="00C11BFE"/>
    <w:rsid w:val="00C3091E"/>
    <w:rsid w:val="00C92D47"/>
    <w:rsid w:val="00C94629"/>
    <w:rsid w:val="00CB4802"/>
    <w:rsid w:val="00CE2756"/>
    <w:rsid w:val="00CE3A83"/>
    <w:rsid w:val="00CE55E3"/>
    <w:rsid w:val="00CE65D4"/>
    <w:rsid w:val="00D45252"/>
    <w:rsid w:val="00D71B4D"/>
    <w:rsid w:val="00D93D55"/>
    <w:rsid w:val="00DD5A88"/>
    <w:rsid w:val="00DF6A37"/>
    <w:rsid w:val="00E141C0"/>
    <w:rsid w:val="00E161A2"/>
    <w:rsid w:val="00E335FE"/>
    <w:rsid w:val="00E37960"/>
    <w:rsid w:val="00E5021F"/>
    <w:rsid w:val="00E671A6"/>
    <w:rsid w:val="00E748F7"/>
    <w:rsid w:val="00E85D7D"/>
    <w:rsid w:val="00EA526B"/>
    <w:rsid w:val="00EA79F3"/>
    <w:rsid w:val="00EC4E49"/>
    <w:rsid w:val="00ED4E13"/>
    <w:rsid w:val="00ED77FB"/>
    <w:rsid w:val="00EE42C6"/>
    <w:rsid w:val="00EF0D3D"/>
    <w:rsid w:val="00F021A6"/>
    <w:rsid w:val="00F11D94"/>
    <w:rsid w:val="00F301AE"/>
    <w:rsid w:val="00F35A6A"/>
    <w:rsid w:val="00F66152"/>
    <w:rsid w:val="00F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253C0"/>
  <w15:docId w15:val="{F030C33B-A0D4-45D7-97F2-EBE4DB94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5941E9"/>
    <w:pPr>
      <w:ind w:left="4536"/>
      <w:jc w:val="center"/>
    </w:pPr>
    <w:rPr>
      <w:rFonts w:ascii="Times New Roman" w:eastAsia="Yu Mincho" w:hAnsi="Times New Roman" w:cs="Times New Roman"/>
      <w:sz w:val="24"/>
      <w:lang w:eastAsia="ja-JP"/>
    </w:rPr>
  </w:style>
  <w:style w:type="character" w:styleId="FootnoteReference">
    <w:name w:val="footnote reference"/>
    <w:semiHidden/>
    <w:rsid w:val="005941E9"/>
    <w:rPr>
      <w:vertAlign w:val="superscript"/>
    </w:rPr>
  </w:style>
  <w:style w:type="paragraph" w:customStyle="1" w:styleId="TitleofDoc">
    <w:name w:val="Title of Doc"/>
    <w:basedOn w:val="Normal"/>
    <w:rsid w:val="005941E9"/>
    <w:pPr>
      <w:spacing w:before="1200"/>
      <w:jc w:val="center"/>
    </w:pPr>
    <w:rPr>
      <w:rFonts w:ascii="Times New Roman" w:eastAsia="Yu Mincho" w:hAnsi="Times New Roman" w:cs="Times New Roman"/>
      <w:caps/>
      <w:sz w:val="24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sid w:val="005941E9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uiPriority w:val="99"/>
    <w:unhideWhenUsed/>
    <w:rsid w:val="005941E9"/>
    <w:rPr>
      <w:color w:val="0563C1"/>
      <w:u w:val="single"/>
    </w:rPr>
  </w:style>
  <w:style w:type="paragraph" w:styleId="Revision">
    <w:name w:val="Revision"/>
    <w:hidden/>
    <w:uiPriority w:val="99"/>
    <w:semiHidden/>
    <w:rsid w:val="00174B8E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BE2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(E).dotm</Template>
  <TotalTime>12</TotalTime>
  <Pages>2</Pages>
  <Words>312</Words>
  <Characters>1624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DLT/DC/8</vt:lpstr>
    </vt:vector>
  </TitlesOfParts>
  <Company>WIPO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DLT/DC/24</dc:title>
  <dc:creator>AHADI Ahmad</dc:creator>
  <cp:keywords>FOR OFFICIAL USE ONLY</cp:keywords>
  <cp:lastModifiedBy>PLA DIAZ Katia</cp:lastModifiedBy>
  <cp:revision>5</cp:revision>
  <cp:lastPrinted>2024-11-05T08:46:00Z</cp:lastPrinted>
  <dcterms:created xsi:type="dcterms:W3CDTF">2024-11-21T17:42:00Z</dcterms:created>
  <dcterms:modified xsi:type="dcterms:W3CDTF">2024-11-21T20:56:00Z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