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3E9AE8" w14:textId="77777777" w:rsidR="008B2CC1" w:rsidRPr="008B2CC1" w:rsidRDefault="00873EE5" w:rsidP="00F11D94">
      <w:pPr>
        <w:spacing w:after="120"/>
        <w:jc w:val="right"/>
      </w:pPr>
      <w:r>
        <w:rPr>
          <w:noProof/>
          <w:sz w:val="28"/>
          <w:szCs w:val="28"/>
          <w:lang w:eastAsia="en-US"/>
        </w:rPr>
        <w:drawing>
          <wp:inline distT="0" distB="0" distL="0" distR="0" wp14:anchorId="27DCF0DE" wp14:editId="6211353C">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9342EAA" wp14:editId="71EF10D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96F72A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2C9973C" w14:textId="77777777"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9F1156">
        <w:rPr>
          <w:rFonts w:ascii="Arial Black" w:hAnsi="Arial Black"/>
          <w:caps/>
          <w:sz w:val="15"/>
          <w:szCs w:val="15"/>
        </w:rPr>
        <w:t>10</w:t>
      </w:r>
    </w:p>
    <w:bookmarkEnd w:id="0"/>
    <w:p w14:paraId="3ABBDACC"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F1156">
        <w:rPr>
          <w:rFonts w:ascii="Arial Black" w:hAnsi="Arial Black"/>
          <w:caps/>
          <w:sz w:val="15"/>
          <w:szCs w:val="15"/>
        </w:rPr>
        <w:t>english</w:t>
      </w:r>
    </w:p>
    <w:bookmarkEnd w:id="1"/>
    <w:p w14:paraId="53C5A3A4" w14:textId="5F45C315"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691734">
        <w:rPr>
          <w:rFonts w:ascii="Arial Black" w:hAnsi="Arial Black"/>
          <w:caps/>
          <w:sz w:val="15"/>
          <w:szCs w:val="15"/>
        </w:rPr>
        <w:t>November 11</w:t>
      </w:r>
      <w:r w:rsidR="009F1156">
        <w:rPr>
          <w:rFonts w:ascii="Arial Black" w:hAnsi="Arial Black"/>
          <w:caps/>
          <w:sz w:val="15"/>
          <w:szCs w:val="15"/>
        </w:rPr>
        <w:t>, 2024</w:t>
      </w:r>
    </w:p>
    <w:bookmarkEnd w:id="2"/>
    <w:p w14:paraId="6023BB1E"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55CE675B"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6D30C43F" w14:textId="77777777" w:rsidR="00B67B2F" w:rsidRDefault="00E961D3" w:rsidP="00B67B2F">
      <w:pPr>
        <w:spacing w:before="480" w:after="480"/>
        <w:rPr>
          <w:caps/>
          <w:sz w:val="24"/>
        </w:rPr>
      </w:pPr>
      <w:bookmarkStart w:id="3" w:name="TitleOfDoc"/>
      <w:r w:rsidRPr="00E961D3">
        <w:rPr>
          <w:caps/>
          <w:sz w:val="24"/>
        </w:rPr>
        <w:t>RESOLUTION SUPPLEMENTARY TO THE TREATY PROPOSED FOR ADOPTION BY THE DIPLOMATIC CONFERENCE</w:t>
      </w:r>
    </w:p>
    <w:p w14:paraId="7ED6F720" w14:textId="0A800AF3" w:rsidR="008B2CC1" w:rsidRPr="004D39C4" w:rsidRDefault="009F1156" w:rsidP="00B67B2F">
      <w:pPr>
        <w:spacing w:before="480" w:after="480"/>
        <w:rPr>
          <w:i/>
        </w:rPr>
      </w:pPr>
      <w:r>
        <w:rPr>
          <w:caps/>
          <w:sz w:val="24"/>
        </w:rPr>
        <w:br/>
      </w:r>
      <w:bookmarkStart w:id="4" w:name="Prepared"/>
      <w:bookmarkEnd w:id="3"/>
      <w:r>
        <w:rPr>
          <w:i/>
        </w:rPr>
        <w:t>Proposal by the Delegation of Japan</w:t>
      </w:r>
    </w:p>
    <w:bookmarkEnd w:id="4"/>
    <w:p w14:paraId="17D37FDD" w14:textId="473911B4" w:rsidR="002928D3" w:rsidRDefault="009018CC" w:rsidP="00B67B2F">
      <w:pPr>
        <w:spacing w:after="480"/>
      </w:pPr>
      <w:r>
        <w:t>T</w:t>
      </w:r>
      <w:r w:rsidR="009F1156" w:rsidRPr="009F1156">
        <w:t>he Delegation of Japan transmitted to the Secretariat of the Diplomatic Conference the proposal contained in the Annex to the present document.</w:t>
      </w:r>
    </w:p>
    <w:p w14:paraId="31AFDE4C" w14:textId="77777777" w:rsidR="00B83542" w:rsidRDefault="00B83542" w:rsidP="00B83542">
      <w:pPr>
        <w:spacing w:after="220"/>
        <w:ind w:left="6237"/>
        <w:sectPr w:rsidR="00B83542" w:rsidSect="00B83542">
          <w:headerReference w:type="default" r:id="rId9"/>
          <w:endnotePr>
            <w:numFmt w:val="decimal"/>
          </w:endnotePr>
          <w:pgSz w:w="11907" w:h="16840" w:code="9"/>
          <w:pgMar w:top="567" w:right="1134" w:bottom="1418" w:left="1418" w:header="510" w:footer="1021" w:gutter="0"/>
          <w:cols w:space="720"/>
          <w:titlePg/>
          <w:docGrid w:linePitch="299"/>
        </w:sectPr>
      </w:pPr>
      <w:r w:rsidRPr="00634590">
        <w:t>[Annex follows]</w:t>
      </w:r>
    </w:p>
    <w:p w14:paraId="53FD254B" w14:textId="77777777" w:rsidR="00B83542" w:rsidRPr="00DF3A08" w:rsidRDefault="00B83542">
      <w:pPr>
        <w:pStyle w:val="TitleofDoc"/>
        <w:rPr>
          <w:sz w:val="28"/>
          <w:szCs w:val="21"/>
        </w:rPr>
      </w:pPr>
      <w:r>
        <w:rPr>
          <w:sz w:val="28"/>
          <w:szCs w:val="21"/>
        </w:rPr>
        <w:lastRenderedPageBreak/>
        <w:t xml:space="preserve">Resolution on </w:t>
      </w:r>
      <w:r w:rsidRPr="00DF3A08">
        <w:rPr>
          <w:sz w:val="28"/>
          <w:szCs w:val="21"/>
        </w:rPr>
        <w:t>ARTICLE 14</w:t>
      </w:r>
    </w:p>
    <w:p w14:paraId="318C7FFE" w14:textId="77777777" w:rsidR="00B83542" w:rsidRDefault="00B83542" w:rsidP="00B67B2F">
      <w:pPr>
        <w:pStyle w:val="TitleofDoc"/>
        <w:spacing w:after="240"/>
      </w:pPr>
      <w:r>
        <w:rPr>
          <w:i/>
          <w:caps w:val="0"/>
        </w:rPr>
        <w:t xml:space="preserve">Proposal by the Delegation of </w:t>
      </w:r>
      <w:r>
        <w:rPr>
          <w:rFonts w:hint="eastAsia"/>
          <w:i/>
          <w:caps w:val="0"/>
        </w:rPr>
        <w:t>Japan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B83542" w14:paraId="687F293C" w14:textId="77777777" w:rsidTr="00B67B2F">
        <w:tc>
          <w:tcPr>
            <w:tcW w:w="9345" w:type="dxa"/>
            <w:shd w:val="clear" w:color="auto" w:fill="auto"/>
          </w:tcPr>
          <w:p w14:paraId="6E58F7F4" w14:textId="77777777" w:rsidR="00B83542" w:rsidRPr="00B83542" w:rsidRDefault="00B83542" w:rsidP="00B67B2F">
            <w:pPr>
              <w:spacing w:after="240"/>
              <w:jc w:val="both"/>
              <w:rPr>
                <w:rFonts w:asciiTheme="majorBidi" w:hAnsiTheme="majorBidi" w:cstheme="majorBidi"/>
                <w:b/>
                <w:bCs/>
                <w:sz w:val="24"/>
                <w:szCs w:val="22"/>
              </w:rPr>
            </w:pPr>
            <w:bookmarkStart w:id="5" w:name="_Hlk170404914"/>
            <w:r w:rsidRPr="00B83542">
              <w:rPr>
                <w:rFonts w:asciiTheme="majorBidi" w:hAnsiTheme="majorBidi" w:cstheme="majorBidi"/>
                <w:b/>
                <w:bCs/>
                <w:sz w:val="24"/>
                <w:szCs w:val="22"/>
              </w:rPr>
              <w:t>ONLY FOR CONTRACTING PARTIES</w:t>
            </w:r>
            <w:bookmarkEnd w:id="5"/>
            <w:r w:rsidRPr="00B83542">
              <w:rPr>
                <w:rFonts w:asciiTheme="majorBidi" w:hAnsiTheme="majorBidi" w:cstheme="majorBidi"/>
                <w:b/>
                <w:bCs/>
                <w:sz w:val="24"/>
                <w:szCs w:val="22"/>
              </w:rPr>
              <w:t xml:space="preserve"> WHICH REQUIRES PRIORITY DOCUMENTS</w:t>
            </w:r>
          </w:p>
          <w:p w14:paraId="70B846C0" w14:textId="77777777" w:rsidR="00B83542" w:rsidRPr="003077ED" w:rsidRDefault="00B83542" w:rsidP="001E266D">
            <w:pPr>
              <w:ind w:firstLine="567"/>
              <w:jc w:val="both"/>
            </w:pPr>
            <w:r w:rsidRPr="00B83542">
              <w:rPr>
                <w:rFonts w:asciiTheme="majorBidi" w:hAnsiTheme="majorBidi" w:cstheme="majorBidi"/>
                <w:sz w:val="24"/>
                <w:szCs w:val="28"/>
              </w:rPr>
              <w:t>It is stressed that the following proposal for resolution could, once adopted, provide supplementary elements of clarification in interpreting Article 14 of the DLT only for Contracting Parties which require applicants to submit priority documents when these applicants claim priority based on their earlier applications. This clarification would not affect Contracting Parties which do not require priority documents to be submitted to their Offices.</w:t>
            </w:r>
          </w:p>
        </w:tc>
      </w:tr>
    </w:tbl>
    <w:p w14:paraId="38C65517" w14:textId="77777777" w:rsidR="00B83542" w:rsidRPr="00B83542" w:rsidRDefault="00B83542" w:rsidP="00B67B2F">
      <w:pPr>
        <w:spacing w:before="240" w:after="240"/>
        <w:jc w:val="both"/>
        <w:rPr>
          <w:rFonts w:asciiTheme="majorBidi" w:hAnsiTheme="majorBidi" w:cstheme="majorBidi"/>
          <w:b/>
          <w:bCs/>
          <w:sz w:val="24"/>
          <w:szCs w:val="22"/>
        </w:rPr>
      </w:pPr>
      <w:r w:rsidRPr="00B83542">
        <w:rPr>
          <w:rFonts w:asciiTheme="majorBidi" w:hAnsiTheme="majorBidi" w:cstheme="majorBidi"/>
          <w:b/>
          <w:bCs/>
          <w:sz w:val="24"/>
          <w:szCs w:val="22"/>
        </w:rPr>
        <w:t>OPPORTUNITY FOR SUBMITTING PRIORITY DOCUMENTS AS A RESULT OF A REQUEST FOR THE CORRECTION OR ADDITION OF A PRIORITY CLAIM</w:t>
      </w:r>
    </w:p>
    <w:p w14:paraId="42C256E0" w14:textId="77777777" w:rsidR="00B83542" w:rsidRPr="00B83542" w:rsidRDefault="00B83542" w:rsidP="00B67B2F">
      <w:pPr>
        <w:spacing w:after="240"/>
        <w:ind w:firstLine="567"/>
        <w:jc w:val="both"/>
        <w:rPr>
          <w:rFonts w:asciiTheme="majorBidi" w:hAnsiTheme="majorBidi" w:cstheme="majorBidi"/>
          <w:sz w:val="24"/>
          <w:szCs w:val="22"/>
        </w:rPr>
      </w:pPr>
      <w:r w:rsidRPr="00B83542">
        <w:rPr>
          <w:rFonts w:asciiTheme="majorBidi" w:hAnsiTheme="majorBidi" w:cstheme="majorBidi"/>
          <w:sz w:val="24"/>
          <w:szCs w:val="22"/>
        </w:rPr>
        <w:t>The following Resolution by the Diplomatic Conference Supplementary to the Design Law Treaty (DLT) is proposed.</w:t>
      </w:r>
    </w:p>
    <w:p w14:paraId="6E3AA564" w14:textId="77777777" w:rsidR="00B83542" w:rsidRPr="00B83542" w:rsidRDefault="00B83542" w:rsidP="00B67B2F">
      <w:pPr>
        <w:spacing w:after="240"/>
        <w:ind w:leftChars="200" w:left="440"/>
        <w:jc w:val="both"/>
        <w:rPr>
          <w:rFonts w:asciiTheme="majorBidi" w:hAnsiTheme="majorBidi" w:cstheme="majorBidi"/>
          <w:sz w:val="24"/>
          <w:szCs w:val="22"/>
        </w:rPr>
      </w:pPr>
      <w:r w:rsidRPr="00B83542">
        <w:rPr>
          <w:rFonts w:asciiTheme="majorBidi" w:hAnsiTheme="majorBidi" w:cstheme="majorBidi"/>
          <w:sz w:val="24"/>
          <w:szCs w:val="22"/>
        </w:rPr>
        <w:t>“</w:t>
      </w:r>
      <w:r w:rsidRPr="00B83542">
        <w:rPr>
          <w:rFonts w:asciiTheme="majorBidi" w:hAnsiTheme="majorBidi" w:cstheme="majorBidi"/>
          <w:i/>
          <w:iCs/>
          <w:color w:val="0070C0"/>
          <w:sz w:val="24"/>
          <w:szCs w:val="22"/>
          <w:u w:val="single"/>
        </w:rPr>
        <w:t>When adopting Article 14, the Diplomatic Conference confirmed that it was desirable that where the correction or addition of a priority claim is made pursuant to Article 14(1), a Contracting Party that requires evidence pursuant to Article 3(1)(vii) allows the evidence to be submitted at least within the time limit for filing the request referred to in Rule 12(2).</w:t>
      </w:r>
      <w:r w:rsidRPr="00B83542">
        <w:rPr>
          <w:rFonts w:asciiTheme="majorBidi" w:hAnsiTheme="majorBidi" w:cstheme="majorBidi"/>
          <w:sz w:val="24"/>
          <w:szCs w:val="22"/>
        </w:rPr>
        <w:t>”</w:t>
      </w:r>
    </w:p>
    <w:p w14:paraId="0A9C79AE" w14:textId="77777777" w:rsidR="00B83542" w:rsidRPr="00B83542" w:rsidRDefault="00B83542" w:rsidP="00B67B2F">
      <w:pPr>
        <w:autoSpaceDE w:val="0"/>
        <w:autoSpaceDN w:val="0"/>
        <w:adjustRightInd w:val="0"/>
        <w:spacing w:after="240"/>
        <w:rPr>
          <w:rFonts w:asciiTheme="majorBidi" w:hAnsiTheme="majorBidi" w:cstheme="majorBidi"/>
          <w:b/>
          <w:bCs/>
          <w:sz w:val="24"/>
          <w:szCs w:val="28"/>
        </w:rPr>
      </w:pPr>
      <w:r w:rsidRPr="00B83542">
        <w:rPr>
          <w:rFonts w:asciiTheme="majorBidi" w:hAnsiTheme="majorBidi" w:cstheme="majorBidi"/>
          <w:b/>
          <w:bCs/>
          <w:sz w:val="24"/>
          <w:szCs w:val="28"/>
        </w:rPr>
        <w:t>BACKGROUND</w:t>
      </w:r>
    </w:p>
    <w:p w14:paraId="5AB741C6" w14:textId="77777777" w:rsidR="00B83542" w:rsidRPr="00B83542" w:rsidRDefault="00B83542" w:rsidP="00B67B2F">
      <w:pPr>
        <w:spacing w:after="240"/>
        <w:ind w:firstLine="567"/>
        <w:jc w:val="both"/>
        <w:rPr>
          <w:rFonts w:asciiTheme="majorBidi" w:hAnsiTheme="majorBidi" w:cstheme="majorBidi"/>
          <w:sz w:val="24"/>
          <w:szCs w:val="22"/>
        </w:rPr>
      </w:pPr>
      <w:bookmarkStart w:id="6" w:name="_Hlk160527044"/>
      <w:r w:rsidRPr="00B83542">
        <w:rPr>
          <w:rFonts w:asciiTheme="majorBidi" w:hAnsiTheme="majorBidi" w:cstheme="majorBidi"/>
          <w:sz w:val="24"/>
          <w:szCs w:val="22"/>
        </w:rPr>
        <w:t xml:space="preserve">Recalling Japan’s arguments made at the past several sessions of the SCT, a concern in relation to Article14(1) and Rule 12(2) is explained again with the image below. </w:t>
      </w:r>
    </w:p>
    <w:bookmarkEnd w:id="6"/>
    <w:p w14:paraId="175B2502" w14:textId="02533235" w:rsidR="00B83542" w:rsidRPr="00B67B2F" w:rsidRDefault="00A754D9" w:rsidP="00B67B2F">
      <w:pPr>
        <w:pStyle w:val="Default"/>
        <w:jc w:val="center"/>
        <w:rPr>
          <w:rFonts w:ascii="Times New Roman" w:hAnsi="Times New Roman" w:cs="Times New Roman"/>
          <w:b/>
          <w:bCs/>
          <w:color w:val="auto"/>
        </w:rPr>
      </w:pPr>
      <w:r>
        <w:rPr>
          <w:rFonts w:ascii="Times New Roman" w:hAnsi="Times New Roman" w:cs="Times New Roman"/>
          <w:noProof/>
        </w:rPr>
        <w:pict w14:anchorId="7F394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i1025" type="#_x0000_t75" alt="A graph describing the case when the application is filed immediately after the priority date" style="width:461.45pt;height:184.7pt;visibility:visible">
            <v:imagedata r:id="rId10" o:title=""/>
          </v:shape>
        </w:pict>
      </w:r>
    </w:p>
    <w:p w14:paraId="32CA9CC9" w14:textId="7EE44C96" w:rsidR="00B83542" w:rsidRDefault="00B83542" w:rsidP="00B67B2F">
      <w:pPr>
        <w:pStyle w:val="Default"/>
        <w:keepNext/>
        <w:keepLines/>
        <w:ind w:firstLine="567"/>
        <w:jc w:val="both"/>
        <w:rPr>
          <w:rFonts w:ascii="Times New Roman" w:hAnsi="Times New Roman" w:cs="Times New Roman"/>
          <w:color w:val="auto"/>
        </w:rPr>
      </w:pPr>
      <w:r>
        <w:rPr>
          <w:rFonts w:ascii="Times New Roman" w:hAnsi="Times New Roman" w:cs="Times New Roman"/>
          <w:color w:val="auto"/>
        </w:rPr>
        <w:lastRenderedPageBreak/>
        <w:t xml:space="preserve">Article 14(1) of the basic proposal for the DLT provides that a </w:t>
      </w:r>
      <w:r>
        <w:rPr>
          <w:rFonts w:ascii="Times New Roman" w:hAnsi="Times New Roman" w:cs="Times New Roman" w:hint="eastAsia"/>
          <w:color w:val="auto"/>
        </w:rPr>
        <w:t>C</w:t>
      </w:r>
      <w:r w:rsidRPr="00B953EC">
        <w:rPr>
          <w:rFonts w:ascii="Times New Roman" w:hAnsi="Times New Roman" w:cs="Times New Roman"/>
          <w:color w:val="auto"/>
        </w:rPr>
        <w:t xml:space="preserve">ontracting </w:t>
      </w:r>
      <w:r>
        <w:rPr>
          <w:rFonts w:ascii="Times New Roman" w:hAnsi="Times New Roman" w:cs="Times New Roman" w:hint="eastAsia"/>
          <w:color w:val="auto"/>
        </w:rPr>
        <w:t>P</w:t>
      </w:r>
      <w:r w:rsidRPr="00B953EC">
        <w:rPr>
          <w:rFonts w:ascii="Times New Roman" w:hAnsi="Times New Roman" w:cs="Times New Roman"/>
          <w:color w:val="auto"/>
        </w:rPr>
        <w:t>arty shall provide for the correction or addition of a priority claim with respect to an application</w:t>
      </w:r>
      <w:r>
        <w:rPr>
          <w:rFonts w:ascii="Times New Roman" w:hAnsi="Times New Roman" w:cs="Times New Roman"/>
          <w:color w:val="auto"/>
        </w:rPr>
        <w:t>. However, it does not prescribe any time limit for submitting priority documents in contrast to the Patent Law Treaty (PLT)</w:t>
      </w:r>
      <w:r>
        <w:rPr>
          <w:rStyle w:val="EndnoteReference"/>
          <w:rFonts w:ascii="Times New Roman" w:hAnsi="Times New Roman" w:cs="Times New Roman"/>
          <w:color w:val="auto"/>
        </w:rPr>
        <w:endnoteReference w:id="2"/>
      </w:r>
      <w:r w:rsidRPr="00A45D57">
        <w:rPr>
          <w:rFonts w:ascii="Times New Roman" w:hAnsi="Times New Roman" w:cs="Times New Roman"/>
          <w:color w:val="auto"/>
        </w:rPr>
        <w:t>.</w:t>
      </w:r>
      <w:r>
        <w:rPr>
          <w:rFonts w:ascii="Times New Roman" w:hAnsi="Times New Roman" w:cs="Times New Roman"/>
          <w:color w:val="auto"/>
        </w:rPr>
        <w:t xml:space="preserve"> </w:t>
      </w:r>
    </w:p>
    <w:p w14:paraId="21ED9B0C" w14:textId="77777777" w:rsidR="00B83542" w:rsidRDefault="00B83542" w:rsidP="00533476">
      <w:pPr>
        <w:pStyle w:val="Default"/>
        <w:ind w:firstLine="567"/>
        <w:jc w:val="both"/>
        <w:rPr>
          <w:rFonts w:ascii="Times New Roman" w:hAnsi="Times New Roman" w:cs="Times New Roman"/>
        </w:rPr>
      </w:pPr>
      <w:r>
        <w:rPr>
          <w:rFonts w:ascii="Times New Roman" w:hAnsi="Times New Roman" w:cs="Times New Roman"/>
          <w:color w:val="auto"/>
        </w:rPr>
        <w:t xml:space="preserve">Accordingly, it is uncertain whether an applicant can submit a priority document </w:t>
      </w:r>
      <w:r w:rsidRPr="00FB4631">
        <w:rPr>
          <w:rFonts w:ascii="Times New Roman" w:hAnsi="Times New Roman" w:cs="Times New Roman"/>
          <w:color w:val="auto"/>
        </w:rPr>
        <w:t xml:space="preserve">during the entire </w:t>
      </w:r>
      <w:proofErr w:type="gramStart"/>
      <w:r w:rsidRPr="00FB4631">
        <w:rPr>
          <w:rFonts w:ascii="Times New Roman" w:hAnsi="Times New Roman" w:cs="Times New Roman"/>
          <w:color w:val="auto"/>
        </w:rPr>
        <w:t>time period</w:t>
      </w:r>
      <w:proofErr w:type="gramEnd"/>
      <w:r w:rsidRPr="00FB4631">
        <w:rPr>
          <w:rFonts w:ascii="Times New Roman" w:hAnsi="Times New Roman" w:cs="Times New Roman"/>
          <w:color w:val="auto"/>
        </w:rPr>
        <w:t xml:space="preserve"> when the correction or addition of a priority claim is allowed, </w:t>
      </w:r>
      <w:r>
        <w:rPr>
          <w:rFonts w:ascii="Times New Roman" w:hAnsi="Times New Roman" w:cs="Times New Roman"/>
          <w:color w:val="auto"/>
        </w:rPr>
        <w:t xml:space="preserve">e.g., in the period colored in red in the image above. If an applicant is unable to submit a priority document </w:t>
      </w:r>
      <w:r w:rsidRPr="00FB4631">
        <w:rPr>
          <w:rFonts w:ascii="Times New Roman" w:hAnsi="Times New Roman" w:cs="Times New Roman"/>
          <w:color w:val="auto"/>
        </w:rPr>
        <w:t>to the Office of the Contracting Party that requires such a document, the applicant could not enjoy the priority of the earlier application</w:t>
      </w:r>
      <w:r>
        <w:rPr>
          <w:rFonts w:ascii="Times New Roman" w:hAnsi="Times New Roman" w:cs="Times New Roman"/>
        </w:rPr>
        <w:t xml:space="preserve">. </w:t>
      </w:r>
    </w:p>
    <w:p w14:paraId="3361CE89" w14:textId="77777777" w:rsidR="00B83542" w:rsidRDefault="00B83542" w:rsidP="00B67B2F">
      <w:pPr>
        <w:pStyle w:val="Default"/>
        <w:spacing w:after="240"/>
        <w:ind w:firstLine="567"/>
        <w:jc w:val="both"/>
        <w:rPr>
          <w:rFonts w:ascii="Times New Roman" w:hAnsi="Times New Roman" w:cs="Times New Roman"/>
        </w:rPr>
      </w:pPr>
      <w:r>
        <w:rPr>
          <w:rFonts w:ascii="Times New Roman" w:hAnsi="Times New Roman" w:cs="Times New Roman"/>
        </w:rPr>
        <w:t xml:space="preserve">Therefore, it is desirable </w:t>
      </w:r>
      <w:r w:rsidRPr="00360B2E">
        <w:rPr>
          <w:rFonts w:ascii="Times New Roman" w:hAnsi="Times New Roman" w:cs="Times New Roman"/>
        </w:rPr>
        <w:t>that where the correction or addition of a priority claim is made pursuant to Article 14(1), a Contracting Party that requires evidence pursuant to Article 3(1)(vii) allow</w:t>
      </w:r>
      <w:r>
        <w:rPr>
          <w:rFonts w:ascii="Times New Roman" w:hAnsi="Times New Roman" w:cs="Times New Roman"/>
        </w:rPr>
        <w:t>s</w:t>
      </w:r>
      <w:r w:rsidRPr="00360B2E">
        <w:rPr>
          <w:rFonts w:ascii="Times New Roman" w:hAnsi="Times New Roman" w:cs="Times New Roman"/>
        </w:rPr>
        <w:t xml:space="preserve"> the evidence to be submitted within the time limit for filing the request referred to in Rule 12(2).</w:t>
      </w:r>
    </w:p>
    <w:p w14:paraId="4252D7E8" w14:textId="724AE5D3" w:rsidR="00B83542" w:rsidRPr="00C64095" w:rsidRDefault="00B83542" w:rsidP="000E1A1F">
      <w:pPr>
        <w:spacing w:after="220"/>
        <w:ind w:left="5533"/>
        <w:rPr>
          <w:rFonts w:ascii="Times New Roman" w:hAnsi="Times New Roman" w:cs="Times New Roman"/>
        </w:rPr>
      </w:pPr>
      <w:r w:rsidRPr="00634590">
        <w:t>[</w:t>
      </w:r>
      <w:r>
        <w:t xml:space="preserve">End of </w:t>
      </w:r>
      <w:r w:rsidRPr="00634590">
        <w:t xml:space="preserve">Annex </w:t>
      </w:r>
      <w:r>
        <w:t xml:space="preserve">and </w:t>
      </w:r>
      <w:r w:rsidR="00A72385">
        <w:t xml:space="preserve">of </w:t>
      </w:r>
      <w:r>
        <w:t>document</w:t>
      </w:r>
      <w:r w:rsidRPr="00634590">
        <w:t>]</w:t>
      </w:r>
    </w:p>
    <w:sectPr w:rsidR="00B83542" w:rsidRPr="00C64095" w:rsidSect="00B8354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ECF5E" w14:textId="77777777" w:rsidR="009F1156" w:rsidRDefault="009F1156">
      <w:r>
        <w:separator/>
      </w:r>
    </w:p>
  </w:endnote>
  <w:endnote w:type="continuationSeparator" w:id="0">
    <w:p w14:paraId="316DB735" w14:textId="77777777" w:rsidR="009F1156" w:rsidRDefault="009F1156" w:rsidP="003B38C1">
      <w:r>
        <w:separator/>
      </w:r>
    </w:p>
    <w:p w14:paraId="591A42F2" w14:textId="77777777" w:rsidR="009F1156" w:rsidRPr="003B38C1" w:rsidRDefault="009F1156" w:rsidP="003B38C1">
      <w:pPr>
        <w:spacing w:after="60"/>
        <w:rPr>
          <w:sz w:val="17"/>
        </w:rPr>
      </w:pPr>
      <w:r>
        <w:rPr>
          <w:sz w:val="17"/>
        </w:rPr>
        <w:t>[Endnote continued from previous page]</w:t>
      </w:r>
    </w:p>
  </w:endnote>
  <w:endnote w:type="continuationNotice" w:id="1">
    <w:p w14:paraId="5D8FEE4F" w14:textId="77777777" w:rsidR="009F1156" w:rsidRPr="003B38C1" w:rsidRDefault="009F115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 w:id="2">
    <w:p w14:paraId="35DE34F8" w14:textId="77777777" w:rsidR="00B83542" w:rsidRPr="00B83542" w:rsidRDefault="00B83542" w:rsidP="00B67B2F">
      <w:pPr>
        <w:spacing w:after="220"/>
        <w:jc w:val="both"/>
        <w:rPr>
          <w:rFonts w:asciiTheme="majorBidi" w:hAnsiTheme="majorBidi" w:cstheme="majorBidi"/>
          <w:sz w:val="21"/>
          <w:szCs w:val="21"/>
        </w:rPr>
      </w:pPr>
      <w:r w:rsidRPr="00B83542">
        <w:rPr>
          <w:rFonts w:asciiTheme="majorBidi" w:hAnsiTheme="majorBidi" w:cstheme="majorBidi"/>
          <w:sz w:val="21"/>
          <w:szCs w:val="21"/>
          <w:vertAlign w:val="superscript"/>
        </w:rPr>
        <w:t xml:space="preserve">1 </w:t>
      </w:r>
      <w:r w:rsidRPr="00B83542">
        <w:rPr>
          <w:rFonts w:asciiTheme="majorBidi" w:hAnsiTheme="majorBidi" w:cstheme="majorBidi"/>
          <w:sz w:val="21"/>
          <w:szCs w:val="21"/>
        </w:rPr>
        <w:t>Rule 4 of the Regulations under the Patent Law Treaty prescribes a time limit for filing priority documents, which covers the time limit for the correction or addition of the priority claim (see Rules 4 and 14).</w:t>
      </w:r>
    </w:p>
    <w:p w14:paraId="0CA88D80" w14:textId="77777777" w:rsidR="00B83542" w:rsidRPr="00B83542" w:rsidRDefault="00B83542" w:rsidP="008C72E1">
      <w:pPr>
        <w:ind w:leftChars="100" w:left="220"/>
        <w:jc w:val="both"/>
        <w:rPr>
          <w:rFonts w:asciiTheme="majorBidi" w:hAnsiTheme="majorBidi" w:cstheme="majorBidi"/>
          <w:b/>
          <w:bCs/>
          <w:sz w:val="21"/>
          <w:szCs w:val="21"/>
        </w:rPr>
      </w:pPr>
      <w:r w:rsidRPr="00B83542">
        <w:rPr>
          <w:rFonts w:asciiTheme="majorBidi" w:hAnsiTheme="majorBidi" w:cstheme="majorBidi"/>
          <w:b/>
          <w:bCs/>
          <w:sz w:val="21"/>
          <w:szCs w:val="21"/>
        </w:rPr>
        <w:t>Patent Law Treaty</w:t>
      </w:r>
    </w:p>
    <w:p w14:paraId="39491A87" w14:textId="77777777" w:rsidR="00B83542" w:rsidRPr="00B83542" w:rsidRDefault="00B83542" w:rsidP="008C72E1">
      <w:pPr>
        <w:ind w:leftChars="100" w:left="220"/>
        <w:jc w:val="both"/>
        <w:rPr>
          <w:rFonts w:asciiTheme="majorBidi" w:hAnsiTheme="majorBidi" w:cstheme="majorBidi"/>
          <w:b/>
          <w:bCs/>
          <w:i/>
          <w:iCs/>
          <w:sz w:val="21"/>
          <w:szCs w:val="21"/>
        </w:rPr>
      </w:pPr>
      <w:r w:rsidRPr="00B83542">
        <w:rPr>
          <w:rFonts w:asciiTheme="majorBidi" w:hAnsiTheme="majorBidi" w:cstheme="majorBidi"/>
          <w:b/>
          <w:bCs/>
          <w:i/>
          <w:iCs/>
          <w:sz w:val="21"/>
          <w:szCs w:val="21"/>
        </w:rPr>
        <w:t xml:space="preserve">Article 6 </w:t>
      </w:r>
    </w:p>
    <w:p w14:paraId="448B7B45" w14:textId="77777777" w:rsidR="00B83542" w:rsidRPr="00B83542" w:rsidRDefault="00B83542" w:rsidP="008C72E1">
      <w:pPr>
        <w:ind w:leftChars="100" w:left="220"/>
        <w:jc w:val="both"/>
        <w:rPr>
          <w:rFonts w:asciiTheme="majorBidi" w:hAnsiTheme="majorBidi" w:cstheme="majorBidi"/>
          <w:b/>
          <w:bCs/>
          <w:i/>
          <w:iCs/>
          <w:sz w:val="21"/>
          <w:szCs w:val="21"/>
        </w:rPr>
      </w:pPr>
      <w:r w:rsidRPr="00B83542">
        <w:rPr>
          <w:rFonts w:asciiTheme="majorBidi" w:hAnsiTheme="majorBidi" w:cstheme="majorBidi"/>
          <w:b/>
          <w:bCs/>
          <w:i/>
          <w:iCs/>
          <w:sz w:val="21"/>
          <w:szCs w:val="21"/>
        </w:rPr>
        <w:t>Application</w:t>
      </w:r>
    </w:p>
    <w:p w14:paraId="3604D1D2" w14:textId="77777777" w:rsidR="00B83542" w:rsidRPr="00B83542" w:rsidRDefault="00B83542" w:rsidP="008C72E1">
      <w:pPr>
        <w:ind w:leftChars="100" w:left="220"/>
        <w:jc w:val="both"/>
        <w:rPr>
          <w:rFonts w:asciiTheme="majorBidi" w:hAnsiTheme="majorBidi" w:cstheme="majorBidi"/>
          <w:i/>
          <w:iCs/>
          <w:sz w:val="21"/>
          <w:szCs w:val="21"/>
        </w:rPr>
      </w:pPr>
      <w:r w:rsidRPr="00B83542">
        <w:rPr>
          <w:rFonts w:asciiTheme="majorBidi" w:hAnsiTheme="majorBidi" w:cstheme="majorBidi"/>
          <w:i/>
          <w:iCs/>
          <w:sz w:val="21"/>
          <w:szCs w:val="21"/>
        </w:rPr>
        <w:t>[…]</w:t>
      </w:r>
    </w:p>
    <w:p w14:paraId="71F23143" w14:textId="77777777" w:rsidR="00B83542" w:rsidRPr="00B83542" w:rsidRDefault="00B83542" w:rsidP="008C72E1">
      <w:pPr>
        <w:ind w:leftChars="100" w:left="220"/>
        <w:jc w:val="both"/>
        <w:rPr>
          <w:rFonts w:asciiTheme="majorBidi" w:hAnsiTheme="majorBidi" w:cstheme="majorBidi"/>
          <w:i/>
          <w:iCs/>
          <w:sz w:val="21"/>
          <w:szCs w:val="21"/>
        </w:rPr>
      </w:pPr>
      <w:r w:rsidRPr="00B83542">
        <w:rPr>
          <w:rFonts w:asciiTheme="majorBidi" w:hAnsiTheme="majorBidi" w:cstheme="majorBidi"/>
          <w:i/>
          <w:iCs/>
          <w:sz w:val="21"/>
          <w:szCs w:val="21"/>
        </w:rPr>
        <w:t>(5) [Priority Document] Where the priority of an earlier application is claimed, a Contracting Party may require that a copy of the earlier application, and a translation where the earlier application is not in a language accepted by the Office, be filed in accordance with the requirements prescribed in the Regulations.</w:t>
      </w:r>
    </w:p>
    <w:p w14:paraId="7358DE95" w14:textId="77777777" w:rsidR="00B83542" w:rsidRPr="00B83542" w:rsidRDefault="00B83542" w:rsidP="008C72E1">
      <w:pPr>
        <w:ind w:leftChars="100" w:left="220"/>
        <w:jc w:val="both"/>
        <w:rPr>
          <w:rFonts w:asciiTheme="majorBidi" w:hAnsiTheme="majorBidi" w:cstheme="majorBidi"/>
          <w:sz w:val="21"/>
          <w:szCs w:val="21"/>
        </w:rPr>
      </w:pPr>
      <w:r w:rsidRPr="00B83542">
        <w:rPr>
          <w:rFonts w:asciiTheme="majorBidi" w:hAnsiTheme="majorBidi" w:cstheme="majorBidi"/>
          <w:i/>
          <w:iCs/>
          <w:sz w:val="21"/>
          <w:szCs w:val="21"/>
        </w:rPr>
        <w:t>[…]</w:t>
      </w:r>
      <w:r w:rsidRPr="00B83542">
        <w:rPr>
          <w:rFonts w:asciiTheme="majorBidi" w:hAnsiTheme="majorBidi" w:cstheme="majorBidi"/>
          <w:sz w:val="21"/>
          <w:szCs w:val="21"/>
        </w:rPr>
        <w:t xml:space="preserve"> </w:t>
      </w:r>
    </w:p>
    <w:p w14:paraId="335FF516" w14:textId="77777777" w:rsidR="00B83542" w:rsidRPr="00B83542" w:rsidRDefault="00B83542" w:rsidP="008C72E1">
      <w:pPr>
        <w:ind w:leftChars="100" w:left="220"/>
        <w:jc w:val="both"/>
        <w:rPr>
          <w:rFonts w:asciiTheme="majorBidi" w:hAnsiTheme="majorBidi" w:cstheme="majorBidi"/>
          <w:b/>
          <w:bCs/>
          <w:i/>
          <w:iCs/>
          <w:sz w:val="21"/>
          <w:szCs w:val="21"/>
        </w:rPr>
      </w:pPr>
      <w:r w:rsidRPr="00B83542">
        <w:rPr>
          <w:rFonts w:asciiTheme="majorBidi" w:hAnsiTheme="majorBidi" w:cstheme="majorBidi"/>
          <w:b/>
          <w:bCs/>
          <w:i/>
          <w:iCs/>
          <w:sz w:val="21"/>
          <w:szCs w:val="21"/>
        </w:rPr>
        <w:t>Article 13</w:t>
      </w:r>
    </w:p>
    <w:p w14:paraId="034A29AF" w14:textId="77777777" w:rsidR="00B83542" w:rsidRPr="00B83542" w:rsidRDefault="00B83542" w:rsidP="008C72E1">
      <w:pPr>
        <w:ind w:leftChars="100" w:left="220"/>
        <w:jc w:val="both"/>
        <w:rPr>
          <w:rFonts w:asciiTheme="majorBidi" w:hAnsiTheme="majorBidi" w:cstheme="majorBidi"/>
          <w:b/>
          <w:bCs/>
          <w:i/>
          <w:iCs/>
          <w:sz w:val="21"/>
          <w:szCs w:val="21"/>
        </w:rPr>
      </w:pPr>
      <w:r w:rsidRPr="00B83542">
        <w:rPr>
          <w:rFonts w:asciiTheme="majorBidi" w:hAnsiTheme="majorBidi" w:cstheme="majorBidi"/>
          <w:b/>
          <w:bCs/>
          <w:i/>
          <w:iCs/>
          <w:sz w:val="21"/>
          <w:szCs w:val="21"/>
        </w:rPr>
        <w:t>Correction or Addition of Priority Claim; Restoration of Priority Right</w:t>
      </w:r>
    </w:p>
    <w:p w14:paraId="4F2DC623" w14:textId="77777777" w:rsidR="00B83542" w:rsidRPr="00B83542" w:rsidRDefault="00B83542" w:rsidP="008C72E1">
      <w:pPr>
        <w:ind w:leftChars="100" w:left="220"/>
        <w:jc w:val="both"/>
        <w:rPr>
          <w:rFonts w:asciiTheme="majorBidi" w:hAnsiTheme="majorBidi" w:cstheme="majorBidi"/>
          <w:i/>
          <w:iCs/>
          <w:sz w:val="21"/>
          <w:szCs w:val="21"/>
        </w:rPr>
      </w:pPr>
      <w:r w:rsidRPr="00B83542">
        <w:rPr>
          <w:rFonts w:asciiTheme="majorBidi" w:hAnsiTheme="majorBidi" w:cstheme="majorBidi"/>
          <w:i/>
          <w:iCs/>
          <w:sz w:val="21"/>
          <w:szCs w:val="21"/>
        </w:rPr>
        <w:t xml:space="preserve">(1) [Correction or Addition of Priority Claim] Except where otherwise prescribed in the Regulations, a Contracting Party shall provide for the correction or addition of a priority claim with respect to an application (“the subsequent application”), if: </w:t>
      </w:r>
    </w:p>
    <w:p w14:paraId="2A1702F6" w14:textId="77777777" w:rsidR="00B83542" w:rsidRPr="00B83542" w:rsidRDefault="00B83542" w:rsidP="008C72E1">
      <w:pPr>
        <w:ind w:leftChars="100" w:left="220"/>
        <w:jc w:val="both"/>
        <w:rPr>
          <w:rFonts w:asciiTheme="majorBidi" w:hAnsiTheme="majorBidi" w:cstheme="majorBidi"/>
          <w:sz w:val="21"/>
          <w:szCs w:val="21"/>
        </w:rPr>
      </w:pPr>
      <w:r w:rsidRPr="00B83542">
        <w:rPr>
          <w:rFonts w:asciiTheme="majorBidi" w:hAnsiTheme="majorBidi" w:cstheme="majorBidi"/>
          <w:i/>
          <w:iCs/>
          <w:sz w:val="21"/>
          <w:szCs w:val="21"/>
        </w:rPr>
        <w:t>[…]</w:t>
      </w:r>
      <w:r w:rsidRPr="00B83542">
        <w:rPr>
          <w:rFonts w:asciiTheme="majorBidi" w:hAnsiTheme="majorBidi" w:cstheme="majorBidi"/>
          <w:sz w:val="21"/>
          <w:szCs w:val="21"/>
        </w:rPr>
        <w:t xml:space="preserve"> </w:t>
      </w:r>
    </w:p>
    <w:p w14:paraId="4FD96478" w14:textId="77777777" w:rsidR="00B83542" w:rsidRPr="00B83542" w:rsidRDefault="00B83542" w:rsidP="008C72E1">
      <w:pPr>
        <w:ind w:leftChars="100" w:left="220"/>
        <w:jc w:val="both"/>
        <w:rPr>
          <w:rFonts w:asciiTheme="majorBidi" w:hAnsiTheme="majorBidi" w:cstheme="majorBidi"/>
          <w:i/>
          <w:iCs/>
          <w:sz w:val="21"/>
          <w:szCs w:val="21"/>
        </w:rPr>
      </w:pPr>
      <w:r w:rsidRPr="00B83542">
        <w:rPr>
          <w:rFonts w:asciiTheme="majorBidi" w:hAnsiTheme="majorBidi" w:cstheme="majorBidi"/>
          <w:i/>
          <w:iCs/>
          <w:sz w:val="21"/>
          <w:szCs w:val="21"/>
        </w:rPr>
        <w:t xml:space="preserve">(ii) the request is filed within the time limit prescribed in the Regulations; and </w:t>
      </w:r>
    </w:p>
    <w:p w14:paraId="61F025E9" w14:textId="77777777" w:rsidR="00B83542" w:rsidRPr="00B83542" w:rsidRDefault="00B83542" w:rsidP="00B67B2F">
      <w:pPr>
        <w:spacing w:after="220"/>
        <w:ind w:leftChars="100" w:left="220"/>
        <w:jc w:val="both"/>
        <w:rPr>
          <w:rFonts w:asciiTheme="majorBidi" w:hAnsiTheme="majorBidi" w:cstheme="majorBidi"/>
          <w:sz w:val="21"/>
          <w:szCs w:val="21"/>
        </w:rPr>
      </w:pPr>
      <w:r w:rsidRPr="00B83542">
        <w:rPr>
          <w:rFonts w:asciiTheme="majorBidi" w:hAnsiTheme="majorBidi" w:cstheme="majorBidi"/>
          <w:i/>
          <w:iCs/>
          <w:sz w:val="21"/>
          <w:szCs w:val="21"/>
        </w:rPr>
        <w:t>[…]</w:t>
      </w:r>
      <w:r w:rsidRPr="00B83542">
        <w:rPr>
          <w:rFonts w:asciiTheme="majorBidi" w:hAnsiTheme="majorBidi" w:cstheme="majorBidi"/>
          <w:sz w:val="21"/>
          <w:szCs w:val="21"/>
        </w:rPr>
        <w:t xml:space="preserve"> </w:t>
      </w:r>
    </w:p>
    <w:p w14:paraId="5FDF972A" w14:textId="77777777" w:rsidR="00B83542" w:rsidRPr="00B83542" w:rsidRDefault="00B83542" w:rsidP="008C72E1">
      <w:pPr>
        <w:ind w:leftChars="100" w:left="220"/>
        <w:jc w:val="both"/>
        <w:rPr>
          <w:rFonts w:asciiTheme="majorBidi" w:hAnsiTheme="majorBidi" w:cstheme="majorBidi"/>
          <w:b/>
          <w:bCs/>
          <w:i/>
          <w:iCs/>
          <w:sz w:val="21"/>
          <w:szCs w:val="21"/>
        </w:rPr>
      </w:pPr>
      <w:r w:rsidRPr="00B83542">
        <w:rPr>
          <w:rFonts w:asciiTheme="majorBidi" w:hAnsiTheme="majorBidi" w:cstheme="majorBidi"/>
          <w:b/>
          <w:bCs/>
          <w:i/>
          <w:iCs/>
          <w:sz w:val="21"/>
          <w:szCs w:val="21"/>
        </w:rPr>
        <w:t>Regulations Under the Patent Law Treaty</w:t>
      </w:r>
    </w:p>
    <w:p w14:paraId="1FB7093E" w14:textId="77777777" w:rsidR="00B83542" w:rsidRPr="00B83542" w:rsidRDefault="00B83542" w:rsidP="008C72E1">
      <w:pPr>
        <w:ind w:leftChars="100" w:left="220"/>
        <w:jc w:val="both"/>
        <w:rPr>
          <w:rFonts w:asciiTheme="majorBidi" w:hAnsiTheme="majorBidi" w:cstheme="majorBidi"/>
          <w:b/>
          <w:bCs/>
          <w:i/>
          <w:iCs/>
          <w:sz w:val="21"/>
          <w:szCs w:val="21"/>
        </w:rPr>
      </w:pPr>
      <w:r w:rsidRPr="00B83542">
        <w:rPr>
          <w:rFonts w:asciiTheme="majorBidi" w:hAnsiTheme="majorBidi" w:cstheme="majorBidi"/>
          <w:b/>
          <w:bCs/>
          <w:i/>
          <w:iCs/>
          <w:sz w:val="21"/>
          <w:szCs w:val="21"/>
        </w:rPr>
        <w:t>Rule 4</w:t>
      </w:r>
    </w:p>
    <w:p w14:paraId="4BEA40FA" w14:textId="77777777" w:rsidR="00B83542" w:rsidRPr="00B83542" w:rsidRDefault="00B83542" w:rsidP="008C72E1">
      <w:pPr>
        <w:ind w:leftChars="100" w:left="220"/>
        <w:jc w:val="both"/>
        <w:rPr>
          <w:rFonts w:asciiTheme="majorBidi" w:hAnsiTheme="majorBidi" w:cstheme="majorBidi"/>
          <w:b/>
          <w:bCs/>
          <w:i/>
          <w:iCs/>
          <w:sz w:val="21"/>
          <w:szCs w:val="21"/>
        </w:rPr>
      </w:pPr>
      <w:r w:rsidRPr="00B83542">
        <w:rPr>
          <w:rFonts w:asciiTheme="majorBidi" w:hAnsiTheme="majorBidi" w:cstheme="majorBidi"/>
          <w:b/>
          <w:bCs/>
          <w:i/>
          <w:iCs/>
          <w:sz w:val="21"/>
          <w:szCs w:val="21"/>
        </w:rPr>
        <w:t>Availability of Earlier Application Under Article 6(5) and Rule 2(4) or of Previously Filed Application Under Rule 2(5)(b)</w:t>
      </w:r>
    </w:p>
    <w:p w14:paraId="74CB8C29" w14:textId="77777777" w:rsidR="00B83542" w:rsidRPr="00B83542" w:rsidRDefault="00B83542" w:rsidP="008C72E1">
      <w:pPr>
        <w:ind w:leftChars="100" w:left="220"/>
        <w:jc w:val="both"/>
        <w:rPr>
          <w:rFonts w:asciiTheme="majorBidi" w:hAnsiTheme="majorBidi" w:cstheme="majorBidi"/>
          <w:i/>
          <w:iCs/>
          <w:sz w:val="21"/>
          <w:szCs w:val="21"/>
        </w:rPr>
      </w:pPr>
      <w:r w:rsidRPr="00B83542">
        <w:rPr>
          <w:rFonts w:asciiTheme="majorBidi" w:hAnsiTheme="majorBidi" w:cstheme="majorBidi"/>
          <w:i/>
          <w:iCs/>
          <w:sz w:val="21"/>
          <w:szCs w:val="21"/>
        </w:rPr>
        <w:t>(1) [Copy of Earlier Application Under Article 6(5)] Subject to paragraph (3), a Contracting Party may require that a copy of the earlier application referred to in Article 6(5) be filed with the Office within a time limit which shall be not less than 16 months from the filing date of that earlier application or, where there is more than one such earlier application, from the earliest filing date of those earlier applications.</w:t>
      </w:r>
    </w:p>
    <w:p w14:paraId="3FCCFCD4" w14:textId="77777777" w:rsidR="00B83542" w:rsidRPr="00B83542" w:rsidRDefault="00B83542" w:rsidP="008C72E1">
      <w:pPr>
        <w:ind w:leftChars="100" w:left="220"/>
        <w:jc w:val="both"/>
        <w:rPr>
          <w:rFonts w:asciiTheme="majorBidi" w:hAnsiTheme="majorBidi" w:cstheme="majorBidi"/>
          <w:i/>
          <w:iCs/>
          <w:sz w:val="21"/>
          <w:szCs w:val="21"/>
        </w:rPr>
      </w:pPr>
      <w:r w:rsidRPr="00B83542">
        <w:rPr>
          <w:rFonts w:asciiTheme="majorBidi" w:hAnsiTheme="majorBidi" w:cstheme="majorBidi"/>
          <w:i/>
          <w:iCs/>
          <w:sz w:val="21"/>
          <w:szCs w:val="21"/>
        </w:rPr>
        <w:t>[…]</w:t>
      </w:r>
    </w:p>
    <w:p w14:paraId="360C1547" w14:textId="77777777" w:rsidR="00B83542" w:rsidRPr="00B83542" w:rsidRDefault="00B83542" w:rsidP="008C72E1">
      <w:pPr>
        <w:ind w:leftChars="100" w:left="220"/>
        <w:jc w:val="both"/>
        <w:rPr>
          <w:rFonts w:asciiTheme="majorBidi" w:hAnsiTheme="majorBidi" w:cstheme="majorBidi"/>
          <w:b/>
          <w:bCs/>
          <w:i/>
          <w:iCs/>
          <w:sz w:val="21"/>
          <w:szCs w:val="21"/>
        </w:rPr>
      </w:pPr>
      <w:r w:rsidRPr="00B83542">
        <w:rPr>
          <w:rFonts w:asciiTheme="majorBidi" w:hAnsiTheme="majorBidi" w:cstheme="majorBidi"/>
          <w:b/>
          <w:bCs/>
          <w:i/>
          <w:iCs/>
          <w:sz w:val="21"/>
          <w:szCs w:val="21"/>
        </w:rPr>
        <w:t>Rule 14</w:t>
      </w:r>
    </w:p>
    <w:p w14:paraId="08990A7B" w14:textId="77777777" w:rsidR="00B83542" w:rsidRPr="00B83542" w:rsidRDefault="00B83542" w:rsidP="008C72E1">
      <w:pPr>
        <w:ind w:leftChars="100" w:left="220"/>
        <w:jc w:val="both"/>
        <w:rPr>
          <w:rFonts w:asciiTheme="majorBidi" w:hAnsiTheme="majorBidi" w:cstheme="majorBidi"/>
          <w:b/>
          <w:bCs/>
          <w:i/>
          <w:iCs/>
          <w:sz w:val="21"/>
          <w:szCs w:val="21"/>
        </w:rPr>
      </w:pPr>
      <w:r w:rsidRPr="00B83542">
        <w:rPr>
          <w:rFonts w:asciiTheme="majorBidi" w:hAnsiTheme="majorBidi" w:cstheme="majorBidi"/>
          <w:b/>
          <w:bCs/>
          <w:i/>
          <w:iCs/>
          <w:sz w:val="21"/>
          <w:szCs w:val="21"/>
        </w:rPr>
        <w:t>Details Concerning Correction or Addition of Priority Claim and Restoration of Priority Right Under Article 13</w:t>
      </w:r>
    </w:p>
    <w:p w14:paraId="7233C14F" w14:textId="77777777" w:rsidR="00B83542" w:rsidRPr="00B83542" w:rsidRDefault="00B83542" w:rsidP="008C72E1">
      <w:pPr>
        <w:ind w:leftChars="100" w:left="220"/>
        <w:jc w:val="both"/>
        <w:rPr>
          <w:rFonts w:asciiTheme="majorBidi" w:hAnsiTheme="majorBidi" w:cstheme="majorBidi"/>
          <w:i/>
          <w:iCs/>
          <w:sz w:val="21"/>
          <w:szCs w:val="21"/>
        </w:rPr>
      </w:pPr>
      <w:r w:rsidRPr="00B83542">
        <w:rPr>
          <w:rFonts w:asciiTheme="majorBidi" w:hAnsiTheme="majorBidi" w:cstheme="majorBidi"/>
          <w:i/>
          <w:iCs/>
          <w:sz w:val="21"/>
          <w:szCs w:val="21"/>
        </w:rPr>
        <w:t>[…]</w:t>
      </w:r>
      <w:r w:rsidRPr="00B83542">
        <w:rPr>
          <w:rFonts w:asciiTheme="majorBidi" w:hAnsiTheme="majorBidi" w:cstheme="majorBidi"/>
          <w:sz w:val="21"/>
          <w:szCs w:val="21"/>
        </w:rPr>
        <w:t xml:space="preserve"> </w:t>
      </w:r>
    </w:p>
    <w:p w14:paraId="468BEF7B" w14:textId="77777777" w:rsidR="00B83542" w:rsidRPr="00B83542" w:rsidRDefault="00B83542" w:rsidP="008C72E1">
      <w:pPr>
        <w:ind w:leftChars="100" w:left="220"/>
        <w:jc w:val="both"/>
        <w:rPr>
          <w:rFonts w:asciiTheme="majorBidi" w:hAnsiTheme="majorBidi" w:cstheme="majorBidi"/>
          <w:i/>
          <w:iCs/>
          <w:sz w:val="21"/>
          <w:szCs w:val="21"/>
        </w:rPr>
      </w:pPr>
      <w:r w:rsidRPr="00B83542">
        <w:rPr>
          <w:rFonts w:asciiTheme="majorBidi" w:hAnsiTheme="majorBidi" w:cstheme="majorBidi"/>
          <w:i/>
          <w:iCs/>
          <w:sz w:val="21"/>
          <w:szCs w:val="21"/>
        </w:rPr>
        <w:t>(3) [Time Limit Under Article 13(1)(ii)] The time limit referred to in Article 13(1)(ii) shall be not less than the time limit applicable under the Patent Cooperation Treaty to an international application for the submission of a priority claim after the filing of an international application.</w:t>
      </w:r>
    </w:p>
    <w:p w14:paraId="016F1E39" w14:textId="77777777" w:rsidR="00B83542" w:rsidRPr="005D6594" w:rsidRDefault="00B83542" w:rsidP="00B67B2F">
      <w:pPr>
        <w:spacing w:after="220"/>
        <w:ind w:leftChars="100" w:left="220"/>
        <w:jc w:val="both"/>
        <w:rPr>
          <w:i/>
          <w:iCs/>
          <w:sz w:val="21"/>
          <w:szCs w:val="18"/>
        </w:rPr>
      </w:pPr>
      <w:r w:rsidRPr="005D6594">
        <w:rPr>
          <w:rFonts w:hint="eastAsia"/>
          <w:i/>
          <w:iCs/>
          <w:sz w:val="21"/>
          <w:szCs w:val="18"/>
        </w:rPr>
        <w:t>[</w:t>
      </w:r>
      <w:r w:rsidRPr="005D6594">
        <w:rPr>
          <w:i/>
          <w:iCs/>
          <w:sz w:val="21"/>
          <w:szCs w:val="18"/>
        </w:rPr>
        <w:t>…]</w:t>
      </w:r>
      <w:r w:rsidRPr="005D6594">
        <w:t xml:space="preserve"> </w:t>
      </w:r>
    </w:p>
    <w:p w14:paraId="2643FB27" w14:textId="7DDC9E8D" w:rsidR="00B83542" w:rsidRPr="00B83542" w:rsidRDefault="00B83542" w:rsidP="008C72E1">
      <w:pPr>
        <w:ind w:leftChars="100" w:left="220"/>
        <w:jc w:val="both"/>
        <w:rPr>
          <w:rFonts w:asciiTheme="majorBidi" w:hAnsiTheme="majorBidi" w:cstheme="majorBidi"/>
          <w:b/>
          <w:bCs/>
          <w:i/>
          <w:iCs/>
          <w:sz w:val="21"/>
          <w:szCs w:val="18"/>
        </w:rPr>
      </w:pPr>
      <w:r w:rsidRPr="00B83542">
        <w:rPr>
          <w:rFonts w:asciiTheme="majorBidi" w:hAnsiTheme="majorBidi" w:cstheme="majorBidi"/>
          <w:b/>
          <w:bCs/>
          <w:i/>
          <w:iCs/>
          <w:sz w:val="21"/>
          <w:szCs w:val="18"/>
        </w:rPr>
        <w:t>Regulations under the PCT</w:t>
      </w:r>
    </w:p>
    <w:p w14:paraId="1906C805" w14:textId="77777777" w:rsidR="00B83542" w:rsidRPr="00B83542" w:rsidRDefault="00B83542" w:rsidP="008C72E1">
      <w:pPr>
        <w:ind w:leftChars="100" w:left="220"/>
        <w:jc w:val="both"/>
        <w:rPr>
          <w:rFonts w:asciiTheme="majorBidi" w:hAnsiTheme="majorBidi" w:cstheme="majorBidi"/>
          <w:b/>
          <w:bCs/>
          <w:i/>
          <w:iCs/>
          <w:sz w:val="21"/>
          <w:szCs w:val="18"/>
        </w:rPr>
      </w:pPr>
      <w:r w:rsidRPr="00B83542">
        <w:rPr>
          <w:rFonts w:asciiTheme="majorBidi" w:hAnsiTheme="majorBidi" w:cstheme="majorBidi"/>
          <w:b/>
          <w:bCs/>
          <w:i/>
          <w:iCs/>
          <w:sz w:val="21"/>
          <w:szCs w:val="18"/>
        </w:rPr>
        <w:t>Rule 26 bis</w:t>
      </w:r>
    </w:p>
    <w:p w14:paraId="34343688" w14:textId="77777777" w:rsidR="00B83542" w:rsidRPr="00B83542" w:rsidRDefault="00B83542" w:rsidP="008C72E1">
      <w:pPr>
        <w:ind w:leftChars="100" w:left="220"/>
        <w:jc w:val="both"/>
        <w:rPr>
          <w:rFonts w:asciiTheme="majorBidi" w:hAnsiTheme="majorBidi" w:cstheme="majorBidi"/>
          <w:b/>
          <w:bCs/>
          <w:i/>
          <w:iCs/>
          <w:sz w:val="21"/>
          <w:szCs w:val="18"/>
        </w:rPr>
      </w:pPr>
      <w:r w:rsidRPr="00B83542">
        <w:rPr>
          <w:rFonts w:asciiTheme="majorBidi" w:hAnsiTheme="majorBidi" w:cstheme="majorBidi"/>
          <w:b/>
          <w:bCs/>
          <w:i/>
          <w:iCs/>
          <w:sz w:val="21"/>
          <w:szCs w:val="18"/>
        </w:rPr>
        <w:t>26bis.1 Correction or Addition of Priority Claim</w:t>
      </w:r>
    </w:p>
    <w:p w14:paraId="521CBEE8" w14:textId="77777777" w:rsidR="00B83542" w:rsidRPr="00B83542" w:rsidRDefault="00B83542" w:rsidP="008C72E1">
      <w:pPr>
        <w:ind w:leftChars="100" w:left="220"/>
        <w:jc w:val="both"/>
        <w:rPr>
          <w:rFonts w:asciiTheme="majorBidi" w:hAnsiTheme="majorBidi" w:cstheme="majorBidi"/>
          <w:i/>
          <w:iCs/>
          <w:sz w:val="21"/>
          <w:szCs w:val="18"/>
        </w:rPr>
      </w:pPr>
      <w:r w:rsidRPr="00B83542">
        <w:rPr>
          <w:rFonts w:asciiTheme="majorBidi" w:hAnsiTheme="majorBidi" w:cstheme="majorBidi"/>
          <w:i/>
          <w:iCs/>
          <w:sz w:val="21"/>
          <w:szCs w:val="18"/>
        </w:rPr>
        <w:t>(a) The applicant may correct a priority claim or add a priority claim to the request by a notice submitted to the receiving Office or the International Bureau within a time limit of 16 months from the priority date or, where the correction or addition would cause a change in the priority date, 16 months from the priority date as so changed, whichever 16-month period expires first, provided that such a notice may be submitted until the expiration of four months from the international filing date. The correction of a priority claim may include the addition of any indication referred to in Rule 4.10.</w:t>
      </w:r>
    </w:p>
    <w:p w14:paraId="17BB1BB7" w14:textId="1D8B4142" w:rsidR="00B83542" w:rsidRPr="00B67B2F" w:rsidRDefault="00B83542" w:rsidP="00B67B2F">
      <w:pPr>
        <w:ind w:leftChars="100" w:left="220"/>
        <w:jc w:val="both"/>
        <w:rPr>
          <w:rFonts w:asciiTheme="majorBidi" w:hAnsiTheme="majorBidi" w:cstheme="majorBidi"/>
          <w:i/>
          <w:iCs/>
          <w:sz w:val="21"/>
          <w:szCs w:val="18"/>
        </w:rPr>
      </w:pPr>
      <w:r w:rsidRPr="00B83542">
        <w:rPr>
          <w:rFonts w:asciiTheme="majorBidi" w:hAnsiTheme="majorBidi" w:cstheme="majorBidi"/>
          <w:i/>
          <w:iCs/>
          <w:sz w:val="21"/>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6C555" w14:textId="77777777" w:rsidR="009F1156" w:rsidRDefault="009F1156">
      <w:r>
        <w:separator/>
      </w:r>
    </w:p>
  </w:footnote>
  <w:footnote w:type="continuationSeparator" w:id="0">
    <w:p w14:paraId="3B7F8F93" w14:textId="77777777" w:rsidR="009F1156" w:rsidRDefault="009F1156" w:rsidP="008B60B2">
      <w:r>
        <w:separator/>
      </w:r>
    </w:p>
    <w:p w14:paraId="27B3BF57" w14:textId="77777777" w:rsidR="009F1156" w:rsidRPr="00ED77FB" w:rsidRDefault="009F1156" w:rsidP="008B60B2">
      <w:pPr>
        <w:spacing w:after="60"/>
        <w:rPr>
          <w:sz w:val="17"/>
          <w:szCs w:val="17"/>
        </w:rPr>
      </w:pPr>
      <w:r w:rsidRPr="00ED77FB">
        <w:rPr>
          <w:sz w:val="17"/>
          <w:szCs w:val="17"/>
        </w:rPr>
        <w:t>[Footnote continued from previous page]</w:t>
      </w:r>
    </w:p>
  </w:footnote>
  <w:footnote w:type="continuationNotice" w:id="1">
    <w:p w14:paraId="273C900F" w14:textId="77777777" w:rsidR="009F1156" w:rsidRPr="00ED77FB" w:rsidRDefault="009F115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7622" w14:textId="4CB9F94A" w:rsidR="00B83542" w:rsidRDefault="00B83542" w:rsidP="00477D6B">
    <w:pPr>
      <w:jc w:val="right"/>
    </w:pPr>
    <w:r>
      <w:t>DLT/DC/10</w:t>
    </w:r>
  </w:p>
  <w:p w14:paraId="7A89F55A" w14:textId="77777777" w:rsidR="00B83542" w:rsidRDefault="00B83542"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19967968" w14:textId="77777777" w:rsidR="00B83542" w:rsidRDefault="00B83542" w:rsidP="00477D6B">
    <w:pPr>
      <w:jc w:val="right"/>
    </w:pPr>
  </w:p>
  <w:p w14:paraId="3CBC3A10" w14:textId="77777777" w:rsidR="00B83542" w:rsidRDefault="00B8354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7DACB" w14:textId="77777777" w:rsidR="00EC4E49" w:rsidRDefault="009F1156" w:rsidP="00477D6B">
    <w:pPr>
      <w:jc w:val="right"/>
    </w:pPr>
    <w:bookmarkStart w:id="7" w:name="Code2"/>
    <w:bookmarkEnd w:id="7"/>
    <w:r>
      <w:t>DLT/DC/10</w:t>
    </w:r>
  </w:p>
  <w:p w14:paraId="01B17F3B" w14:textId="71DB9AE1" w:rsidR="00EC4E49" w:rsidRDefault="00B83542" w:rsidP="00B67B2F">
    <w:pPr>
      <w:spacing w:after="480"/>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E671A6">
      <w:rPr>
        <w:noProof/>
      </w:rPr>
      <w:t>2</w:t>
    </w:r>
    <w:r w:rsidR="00EC4E49">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64E09" w14:textId="77777777" w:rsidR="00716B9D" w:rsidRDefault="00716B9D" w:rsidP="00B83542">
    <w:pPr>
      <w:pStyle w:val="Header"/>
    </w:pPr>
    <w:r>
      <w:tab/>
    </w:r>
    <w:r>
      <w:tab/>
      <w:t>DLT/DC/10</w:t>
    </w:r>
  </w:p>
  <w:p w14:paraId="447CBC6F" w14:textId="307A404D" w:rsidR="00716B9D" w:rsidRDefault="00716B9D" w:rsidP="00B67B2F">
    <w:pPr>
      <w:pStyle w:val="Header"/>
      <w:spacing w:after="480"/>
    </w:pPr>
    <w:r>
      <w:tab/>
    </w:r>
    <w:r>
      <w:tab/>
      <w:t>ANNEX</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56"/>
    <w:rsid w:val="0001647B"/>
    <w:rsid w:val="00043CAA"/>
    <w:rsid w:val="000550E4"/>
    <w:rsid w:val="00075432"/>
    <w:rsid w:val="000968ED"/>
    <w:rsid w:val="000E1A1F"/>
    <w:rsid w:val="000F5E56"/>
    <w:rsid w:val="001024FE"/>
    <w:rsid w:val="00124096"/>
    <w:rsid w:val="00136289"/>
    <w:rsid w:val="001362EE"/>
    <w:rsid w:val="00142868"/>
    <w:rsid w:val="001832A6"/>
    <w:rsid w:val="001B6DA9"/>
    <w:rsid w:val="001C6808"/>
    <w:rsid w:val="001F7D79"/>
    <w:rsid w:val="002121FA"/>
    <w:rsid w:val="00237234"/>
    <w:rsid w:val="00237BEA"/>
    <w:rsid w:val="002634C4"/>
    <w:rsid w:val="002928D3"/>
    <w:rsid w:val="002937DD"/>
    <w:rsid w:val="002F0172"/>
    <w:rsid w:val="002F1FE6"/>
    <w:rsid w:val="002F4E68"/>
    <w:rsid w:val="00312F7F"/>
    <w:rsid w:val="003228B7"/>
    <w:rsid w:val="003508A3"/>
    <w:rsid w:val="003673CF"/>
    <w:rsid w:val="003845C1"/>
    <w:rsid w:val="003A6F89"/>
    <w:rsid w:val="003B38C1"/>
    <w:rsid w:val="003D352A"/>
    <w:rsid w:val="00400FCE"/>
    <w:rsid w:val="00423E3E"/>
    <w:rsid w:val="00427AF4"/>
    <w:rsid w:val="004400E2"/>
    <w:rsid w:val="00461632"/>
    <w:rsid w:val="004647DA"/>
    <w:rsid w:val="00474062"/>
    <w:rsid w:val="00477D6B"/>
    <w:rsid w:val="004D39C4"/>
    <w:rsid w:val="0053057A"/>
    <w:rsid w:val="00560798"/>
    <w:rsid w:val="00560A29"/>
    <w:rsid w:val="0059335C"/>
    <w:rsid w:val="00594D27"/>
    <w:rsid w:val="005E7644"/>
    <w:rsid w:val="005F10BC"/>
    <w:rsid w:val="00601760"/>
    <w:rsid w:val="00605827"/>
    <w:rsid w:val="00630B2D"/>
    <w:rsid w:val="00646050"/>
    <w:rsid w:val="006713CA"/>
    <w:rsid w:val="00676C5C"/>
    <w:rsid w:val="00691734"/>
    <w:rsid w:val="00695558"/>
    <w:rsid w:val="006D5E0F"/>
    <w:rsid w:val="007058FB"/>
    <w:rsid w:val="00716B9D"/>
    <w:rsid w:val="007B6A58"/>
    <w:rsid w:val="007D1613"/>
    <w:rsid w:val="00813C5E"/>
    <w:rsid w:val="008417FC"/>
    <w:rsid w:val="00847705"/>
    <w:rsid w:val="00873EE5"/>
    <w:rsid w:val="008B2CC1"/>
    <w:rsid w:val="008B4B5E"/>
    <w:rsid w:val="008B60B2"/>
    <w:rsid w:val="009018CC"/>
    <w:rsid w:val="0090731E"/>
    <w:rsid w:val="00916EE2"/>
    <w:rsid w:val="00944CFA"/>
    <w:rsid w:val="00966A22"/>
    <w:rsid w:val="0096722F"/>
    <w:rsid w:val="00980843"/>
    <w:rsid w:val="009D173D"/>
    <w:rsid w:val="009E2791"/>
    <w:rsid w:val="009E3F6F"/>
    <w:rsid w:val="009F1156"/>
    <w:rsid w:val="009F2845"/>
    <w:rsid w:val="009F3BF9"/>
    <w:rsid w:val="009F499F"/>
    <w:rsid w:val="00A22BCE"/>
    <w:rsid w:val="00A24E44"/>
    <w:rsid w:val="00A42DAF"/>
    <w:rsid w:val="00A45BD8"/>
    <w:rsid w:val="00A67E77"/>
    <w:rsid w:val="00A70631"/>
    <w:rsid w:val="00A72385"/>
    <w:rsid w:val="00A754D9"/>
    <w:rsid w:val="00A778BF"/>
    <w:rsid w:val="00A85B8E"/>
    <w:rsid w:val="00AC205C"/>
    <w:rsid w:val="00AF5C73"/>
    <w:rsid w:val="00B0428C"/>
    <w:rsid w:val="00B05A69"/>
    <w:rsid w:val="00B40598"/>
    <w:rsid w:val="00B50B99"/>
    <w:rsid w:val="00B62CD9"/>
    <w:rsid w:val="00B67B2F"/>
    <w:rsid w:val="00B83542"/>
    <w:rsid w:val="00B9734B"/>
    <w:rsid w:val="00C11BFE"/>
    <w:rsid w:val="00C94629"/>
    <w:rsid w:val="00CB6CD9"/>
    <w:rsid w:val="00CE65D4"/>
    <w:rsid w:val="00D33CB9"/>
    <w:rsid w:val="00D45252"/>
    <w:rsid w:val="00D71B4D"/>
    <w:rsid w:val="00D93D55"/>
    <w:rsid w:val="00E161A2"/>
    <w:rsid w:val="00E203D5"/>
    <w:rsid w:val="00E335FE"/>
    <w:rsid w:val="00E5021F"/>
    <w:rsid w:val="00E671A6"/>
    <w:rsid w:val="00E961D3"/>
    <w:rsid w:val="00EA79F3"/>
    <w:rsid w:val="00EC4E49"/>
    <w:rsid w:val="00ED77FB"/>
    <w:rsid w:val="00EF0D3D"/>
    <w:rsid w:val="00F021A6"/>
    <w:rsid w:val="00F11D94"/>
    <w:rsid w:val="00F301AE"/>
    <w:rsid w:val="00F30522"/>
    <w:rsid w:val="00F66152"/>
    <w:rsid w:val="00F6676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0021860"/>
  <w15:docId w15:val="{BD2F9D51-E004-4480-973E-F0D855E01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B83542"/>
    <w:rPr>
      <w:rFonts w:ascii="Arial" w:eastAsia="SimSun" w:hAnsi="Arial" w:cs="Arial"/>
      <w:sz w:val="22"/>
      <w:lang w:val="en-US" w:eastAsia="zh-CN"/>
    </w:rPr>
  </w:style>
  <w:style w:type="paragraph" w:customStyle="1" w:styleId="Endofdocument">
    <w:name w:val="End of document"/>
    <w:basedOn w:val="Normal"/>
    <w:rsid w:val="00B83542"/>
    <w:pPr>
      <w:ind w:left="4536"/>
      <w:jc w:val="center"/>
    </w:pPr>
    <w:rPr>
      <w:rFonts w:ascii="Times New Roman" w:eastAsia="Yu Mincho" w:hAnsi="Times New Roman" w:cs="Times New Roman"/>
      <w:sz w:val="24"/>
      <w:lang w:eastAsia="ja-JP"/>
    </w:rPr>
  </w:style>
  <w:style w:type="paragraph" w:customStyle="1" w:styleId="TitleofDoc">
    <w:name w:val="Title of Doc"/>
    <w:basedOn w:val="Normal"/>
    <w:rsid w:val="00B83542"/>
    <w:pPr>
      <w:spacing w:before="1200"/>
      <w:jc w:val="center"/>
    </w:pPr>
    <w:rPr>
      <w:rFonts w:ascii="Times New Roman" w:eastAsia="Yu Mincho" w:hAnsi="Times New Roman" w:cs="Times New Roman"/>
      <w:caps/>
      <w:sz w:val="24"/>
      <w:lang w:eastAsia="ja-JP"/>
    </w:rPr>
  </w:style>
  <w:style w:type="character" w:styleId="EndnoteReference">
    <w:name w:val="endnote reference"/>
    <w:semiHidden/>
    <w:rsid w:val="00B83542"/>
    <w:rPr>
      <w:vertAlign w:val="superscript"/>
    </w:rPr>
  </w:style>
  <w:style w:type="paragraph" w:customStyle="1" w:styleId="Default">
    <w:name w:val="Default"/>
    <w:rsid w:val="00B83542"/>
    <w:pPr>
      <w:widowControl w:val="0"/>
      <w:autoSpaceDE w:val="0"/>
      <w:autoSpaceDN w:val="0"/>
      <w:adjustRightInd w:val="0"/>
    </w:pPr>
    <w:rPr>
      <w:rFonts w:ascii="Arial" w:eastAsia="Yu Mincho" w:hAnsi="Arial" w:cs="Arial"/>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10</TotalTime>
  <Pages>4</Pages>
  <Words>450</Words>
  <Characters>2422</Characters>
  <Application>Microsoft Office Word</Application>
  <DocSecurity>0</DocSecurity>
  <Lines>67</Lines>
  <Paragraphs>41</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DLT/DC/10</dc:title>
  <dc:creator>AHADI Ahmad</dc:creator>
  <cp:keywords>FOR OFFICIAL USE ONLY</cp:keywords>
  <cp:lastModifiedBy>AHADI Ahmad</cp:lastModifiedBy>
  <cp:revision>10</cp:revision>
  <cp:lastPrinted>2024-11-05T08:47:00Z</cp:lastPrinted>
  <dcterms:created xsi:type="dcterms:W3CDTF">2024-10-31T11:15:00Z</dcterms:created>
  <dcterms:modified xsi:type="dcterms:W3CDTF">2024-11-06T10:44:00Z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