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0AAD9A4B" w:rsidR="00165FBD" w:rsidRPr="009B5D9F" w:rsidRDefault="00C91BB2" w:rsidP="00784A98">
      <w:pPr>
        <w:bidi w:val="0"/>
        <w:rPr>
          <w:rFonts w:ascii="Arial Black" w:hAnsi="Arial Black"/>
          <w:caps/>
          <w:sz w:val="15"/>
          <w:szCs w:val="15"/>
          <w:lang w:val="fr-CH"/>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5568C3">
        <w:rPr>
          <w:rFonts w:ascii="Arial Black" w:hAnsi="Arial Black"/>
          <w:caps/>
          <w:sz w:val="15"/>
          <w:szCs w:val="15"/>
        </w:rPr>
        <w:t>10</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426E67A6"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9B5D9F">
        <w:rPr>
          <w:rFonts w:asciiTheme="minorHAnsi" w:hAnsiTheme="minorHAnsi" w:cstheme="minorHAnsi" w:hint="cs"/>
          <w:b/>
          <w:bCs/>
          <w:caps/>
          <w:sz w:val="15"/>
          <w:szCs w:val="15"/>
          <w:rtl/>
        </w:rPr>
        <w:t xml:space="preserve"> 11 نوفمبر </w:t>
      </w:r>
      <w:r w:rsidR="00037D09">
        <w:rPr>
          <w:rFonts w:asciiTheme="minorHAnsi" w:hAnsiTheme="minorHAnsi" w:cstheme="minorHAnsi" w:hint="cs"/>
          <w:b/>
          <w:bCs/>
          <w:caps/>
          <w:sz w:val="15"/>
          <w:szCs w:val="15"/>
          <w:rtl/>
        </w:rPr>
        <w:t>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153C6F5E" w14:textId="5D40C821" w:rsidR="00165FBD" w:rsidRDefault="005568C3">
      <w:pPr>
        <w:spacing w:after="360"/>
        <w:outlineLvl w:val="0"/>
        <w:rPr>
          <w:rFonts w:asciiTheme="minorHAnsi" w:hAnsiTheme="minorHAnsi" w:cstheme="minorHAnsi"/>
          <w:caps/>
          <w:sz w:val="24"/>
        </w:rPr>
      </w:pPr>
      <w:bookmarkStart w:id="8" w:name="_Toc163061808"/>
      <w:bookmarkStart w:id="9" w:name="_Toc163062322"/>
      <w:bookmarkStart w:id="10" w:name="_Toc163062851"/>
      <w:bookmarkStart w:id="11" w:name="TitleOfDoc"/>
      <w:r w:rsidRPr="005568C3">
        <w:rPr>
          <w:rFonts w:asciiTheme="minorHAnsi" w:hAnsiTheme="minorHAnsi"/>
          <w:caps/>
          <w:sz w:val="28"/>
          <w:szCs w:val="24"/>
          <w:rtl/>
        </w:rPr>
        <w:t>قرار تكميلي للمعاهدة المقترح اعتمادها من قبل المؤتمر الدبلوماسي</w:t>
      </w:r>
      <w:bookmarkEnd w:id="8"/>
      <w:bookmarkEnd w:id="9"/>
      <w:bookmarkEnd w:id="10"/>
    </w:p>
    <w:p w14:paraId="4A891F2C" w14:textId="3D045F3D" w:rsidR="00165FBD" w:rsidRDefault="009B5D9F">
      <w:pPr>
        <w:spacing w:after="1040"/>
        <w:rPr>
          <w:rFonts w:asciiTheme="minorHAnsi" w:hAnsiTheme="minorHAnsi"/>
          <w:iCs/>
          <w:rtl/>
        </w:rPr>
      </w:pPr>
      <w:bookmarkStart w:id="12" w:name="Prepared"/>
      <w:bookmarkEnd w:id="11"/>
      <w:bookmarkEnd w:id="12"/>
      <w:r>
        <w:rPr>
          <w:rFonts w:asciiTheme="minorHAnsi" w:hAnsiTheme="minorHAnsi" w:hint="cs"/>
          <w:iCs/>
          <w:rtl/>
          <w:lang w:val="fr-CH" w:bidi="ar-SY"/>
        </w:rPr>
        <w:t xml:space="preserve">اقتراح </w:t>
      </w:r>
      <w:r w:rsidR="00037D09">
        <w:rPr>
          <w:rFonts w:asciiTheme="minorHAnsi" w:hAnsiTheme="minorHAnsi" w:hint="cs"/>
          <w:iCs/>
          <w:rtl/>
          <w:lang w:val="fr-CH" w:bidi="ar-SY"/>
        </w:rPr>
        <w:t xml:space="preserve">من </w:t>
      </w:r>
      <w:r>
        <w:rPr>
          <w:rFonts w:asciiTheme="minorHAnsi" w:hAnsiTheme="minorHAnsi" w:hint="cs"/>
          <w:iCs/>
          <w:rtl/>
          <w:lang w:val="fr-CH" w:bidi="ar-SY"/>
        </w:rPr>
        <w:t>وفد اليابان</w:t>
      </w:r>
    </w:p>
    <w:p w14:paraId="2BFD683D" w14:textId="6AA93726" w:rsidR="009B5D9F" w:rsidRDefault="005568C3" w:rsidP="00037D09">
      <w:pPr>
        <w:pStyle w:val="BodyText"/>
        <w:rPr>
          <w:rtl/>
        </w:rPr>
      </w:pPr>
      <w:r w:rsidRPr="005568C3">
        <w:rPr>
          <w:rtl/>
        </w:rPr>
        <w:t>أحال وفد اليابان إلى أمانة المؤتمر الدبلوماسي الاقتراح الوارد في مرفق هذه الوثيقة</w:t>
      </w:r>
      <w:r w:rsidR="009B5D9F" w:rsidRPr="009B5D9F">
        <w:rPr>
          <w:rtl/>
        </w:rPr>
        <w:t>.</w:t>
      </w:r>
    </w:p>
    <w:p w14:paraId="21E08605" w14:textId="63C7E42E" w:rsidR="009B5D9F" w:rsidRDefault="009B5D9F" w:rsidP="009B5D9F">
      <w:pPr>
        <w:pStyle w:val="Endofdocument-Annex"/>
        <w:rPr>
          <w:rtl/>
        </w:rPr>
      </w:pPr>
      <w:r>
        <w:rPr>
          <w:rFonts w:hint="cs"/>
          <w:rtl/>
        </w:rPr>
        <w:t>[يلي ذلك المرفق]</w:t>
      </w:r>
    </w:p>
    <w:p w14:paraId="6D23A3AE" w14:textId="77777777" w:rsidR="005C34F0" w:rsidRDefault="005C34F0" w:rsidP="00037D09">
      <w:pPr>
        <w:pStyle w:val="BodyText"/>
        <w:rPr>
          <w:rtl/>
        </w:rPr>
      </w:pPr>
    </w:p>
    <w:p w14:paraId="2B4DF546" w14:textId="77777777" w:rsidR="009B5D9F" w:rsidRDefault="009B5D9F" w:rsidP="00037D09">
      <w:pPr>
        <w:pStyle w:val="BodyText"/>
        <w:rPr>
          <w:rtl/>
        </w:rPr>
        <w:sectPr w:rsidR="009B5D9F">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4A7EB154" w14:textId="1DCD19E0" w:rsidR="009B5D9F" w:rsidRPr="00940178" w:rsidRDefault="005568C3" w:rsidP="009B5D9F">
      <w:pPr>
        <w:pStyle w:val="BodyText"/>
        <w:spacing w:after="720"/>
        <w:jc w:val="center"/>
        <w:rPr>
          <w:b/>
          <w:bCs/>
          <w:i/>
          <w:caps/>
          <w:sz w:val="28"/>
          <w:szCs w:val="28"/>
        </w:rPr>
      </w:pPr>
      <w:bookmarkStart w:id="13" w:name="_Toc163062858"/>
      <w:r w:rsidRPr="00940178">
        <w:rPr>
          <w:b/>
          <w:bCs/>
          <w:i/>
          <w:caps/>
          <w:sz w:val="28"/>
          <w:szCs w:val="28"/>
          <w:rtl/>
        </w:rPr>
        <w:lastRenderedPageBreak/>
        <w:t>قرار بشأن المادة 14</w:t>
      </w:r>
    </w:p>
    <w:p w14:paraId="4DFB7D7C" w14:textId="239B0F8A" w:rsidR="009B5D9F" w:rsidRPr="00EA76DD" w:rsidRDefault="009B5D9F" w:rsidP="009B5D9F">
      <w:pPr>
        <w:jc w:val="center"/>
        <w:rPr>
          <w:i/>
          <w:iCs/>
          <w:rtl/>
        </w:rPr>
      </w:pPr>
      <w:r w:rsidRPr="00EA76DD">
        <w:rPr>
          <w:i/>
          <w:iCs/>
          <w:rtl/>
        </w:rPr>
        <w:t>اقتراح من وفد اليابان</w:t>
      </w:r>
    </w:p>
    <w:p w14:paraId="07D7A3F8" w14:textId="77777777" w:rsidR="009B5D9F" w:rsidRDefault="009B5D9F" w:rsidP="009B5D9F">
      <w:pPr>
        <w:jc w:val="cente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568C3" w:rsidRPr="005568C3" w14:paraId="0BAA4952" w14:textId="77777777" w:rsidTr="000475C9">
        <w:tc>
          <w:tcPr>
            <w:tcW w:w="9945" w:type="dxa"/>
            <w:shd w:val="clear" w:color="auto" w:fill="auto"/>
          </w:tcPr>
          <w:p w14:paraId="646BCAE8" w14:textId="77777777" w:rsidR="005568C3" w:rsidRPr="00940178" w:rsidRDefault="005568C3" w:rsidP="00940178">
            <w:pPr>
              <w:spacing w:after="240"/>
              <w:jc w:val="both"/>
              <w:rPr>
                <w:rFonts w:asciiTheme="minorHAnsi" w:hAnsiTheme="minorHAnsi" w:cstheme="minorHAnsi"/>
                <w:b/>
                <w:bCs/>
                <w:sz w:val="28"/>
                <w:szCs w:val="24"/>
                <w:rtl/>
              </w:rPr>
            </w:pPr>
            <w:bookmarkStart w:id="14" w:name="_Hlk170404914"/>
            <w:r w:rsidRPr="00940178">
              <w:rPr>
                <w:rFonts w:asciiTheme="minorHAnsi" w:hAnsiTheme="minorHAnsi" w:cstheme="minorHAnsi"/>
                <w:b/>
                <w:bCs/>
                <w:sz w:val="24"/>
                <w:szCs w:val="24"/>
                <w:rtl/>
              </w:rPr>
              <w:t>فقط للأطراف المتعاقدة</w:t>
            </w:r>
            <w:bookmarkEnd w:id="14"/>
            <w:r w:rsidRPr="00940178">
              <w:rPr>
                <w:rFonts w:asciiTheme="minorHAnsi" w:hAnsiTheme="minorHAnsi" w:cstheme="minorHAnsi"/>
                <w:b/>
                <w:bCs/>
                <w:sz w:val="24"/>
                <w:szCs w:val="24"/>
                <w:rtl/>
              </w:rPr>
              <w:t xml:space="preserve"> التي تشترط تقديم وثائق الأولوية</w:t>
            </w:r>
          </w:p>
          <w:p w14:paraId="3258971F" w14:textId="77777777" w:rsidR="005568C3" w:rsidRPr="005568C3" w:rsidRDefault="005568C3" w:rsidP="000475C9">
            <w:pPr>
              <w:ind w:firstLine="567"/>
              <w:jc w:val="both"/>
              <w:rPr>
                <w:rFonts w:asciiTheme="minorHAnsi" w:hAnsiTheme="minorHAnsi" w:cstheme="minorHAnsi"/>
                <w:rtl/>
              </w:rPr>
            </w:pPr>
            <w:r w:rsidRPr="005568C3">
              <w:rPr>
                <w:rFonts w:asciiTheme="minorHAnsi" w:hAnsiTheme="minorHAnsi" w:cstheme="minorHAnsi"/>
                <w:sz w:val="24"/>
                <w:szCs w:val="24"/>
                <w:rtl/>
              </w:rPr>
              <w:t>يجدر التشديد على أن اقتراح القرار التالي يمكن أن يوفّر، بعد اعتماده، عناصر تكميلية للتوضيح في تفسير المادة 14 من معاهدة قانون التصاميم فقط للأطراف المتعاقدة التي تشترط على المودعين تقديم وثائق الأولوية في حال طالب المودعون بالأولوية استناداً إلى طلباتهم السابقة. ولن يؤثر هذا التوضيح على الأطراف المتعاقدة التي لا تشترط تقديم وثائق الأولوية إلى مكاتبها.</w:t>
            </w:r>
          </w:p>
        </w:tc>
      </w:tr>
    </w:tbl>
    <w:p w14:paraId="0D1FB7F5" w14:textId="77777777" w:rsidR="005568C3" w:rsidRDefault="005568C3" w:rsidP="005568C3">
      <w:pPr>
        <w:pStyle w:val="BodyText"/>
      </w:pPr>
    </w:p>
    <w:p w14:paraId="75FC2048" w14:textId="77777777" w:rsidR="005568C3" w:rsidRPr="005568C3" w:rsidRDefault="005568C3" w:rsidP="005568C3">
      <w:pPr>
        <w:pStyle w:val="BodyText"/>
        <w:rPr>
          <w:b/>
          <w:bCs/>
          <w:sz w:val="24"/>
          <w:szCs w:val="24"/>
          <w:rtl/>
        </w:rPr>
      </w:pPr>
      <w:r w:rsidRPr="005568C3">
        <w:rPr>
          <w:rFonts w:hint="cs"/>
          <w:b/>
          <w:bCs/>
          <w:sz w:val="24"/>
          <w:szCs w:val="24"/>
          <w:rtl/>
        </w:rPr>
        <w:t>فرصة لتقديم وثائق الأولوية كنتيجة لالتماس تصحيح المطالبة بالأولوية أو إضافتها</w:t>
      </w:r>
    </w:p>
    <w:p w14:paraId="2019AB23" w14:textId="77777777" w:rsidR="005568C3" w:rsidRPr="005568C3" w:rsidRDefault="005568C3" w:rsidP="005519F2">
      <w:pPr>
        <w:pStyle w:val="BodyText"/>
        <w:ind w:firstLine="562"/>
        <w:rPr>
          <w:rtl/>
        </w:rPr>
      </w:pPr>
      <w:r w:rsidRPr="005568C3">
        <w:rPr>
          <w:rFonts w:hint="cs"/>
          <w:rtl/>
        </w:rPr>
        <w:t>يُقترح أن يصدر المؤتمر الدبلوماسي القرار التكميلي التالي لمعاهدة قانون التصاميم</w:t>
      </w:r>
    </w:p>
    <w:p w14:paraId="5B5AC363" w14:textId="6C44031B" w:rsidR="005568C3" w:rsidRPr="005568C3" w:rsidRDefault="005568C3" w:rsidP="005519F2">
      <w:pPr>
        <w:pStyle w:val="BodyText"/>
        <w:ind w:left="562"/>
        <w:rPr>
          <w:i/>
          <w:iCs/>
          <w:color w:val="0070C0"/>
          <w:u w:val="single"/>
          <w:rtl/>
        </w:rPr>
      </w:pPr>
      <w:r w:rsidRPr="005568C3">
        <w:rPr>
          <w:rFonts w:hint="cs"/>
          <w:i/>
          <w:iCs/>
          <w:u w:val="single"/>
          <w:rtl/>
        </w:rPr>
        <w:t>"</w:t>
      </w:r>
      <w:r w:rsidRPr="005568C3">
        <w:rPr>
          <w:rFonts w:hint="cs"/>
          <w:i/>
          <w:iCs/>
          <w:color w:val="0070C0"/>
          <w:u w:val="single"/>
          <w:rtl/>
        </w:rPr>
        <w:t>لدى اعتماد المادة 14، أكّد المؤتمر الدبلوماسي أن من المستحسن في حال تصحيح مطالبة بالأولوية أو إضافتها عملاً بالمادة 14(1)، أن يسمح الطرف المتعاقد الذي يشترط تقديم دليل عملاً بالمادة 3(1)</w:t>
      </w:r>
      <w:r w:rsidR="00480688">
        <w:rPr>
          <w:rFonts w:hint="cs"/>
          <w:i/>
          <w:iCs/>
          <w:color w:val="0070C0"/>
          <w:u w:val="single"/>
          <w:rtl/>
        </w:rPr>
        <w:t>"7"</w:t>
      </w:r>
      <w:r w:rsidRPr="005568C3">
        <w:rPr>
          <w:rFonts w:hint="cs"/>
          <w:i/>
          <w:iCs/>
          <w:color w:val="0070C0"/>
          <w:u w:val="single"/>
          <w:rtl/>
        </w:rPr>
        <w:t xml:space="preserve"> بتقديم الدليل في غضون المهلة الزمنية المحددة لإيداع الالتماس المشار إليه في القاعدة 12(2)</w:t>
      </w:r>
      <w:r w:rsidR="005519F2">
        <w:rPr>
          <w:rFonts w:hint="cs"/>
          <w:i/>
          <w:iCs/>
          <w:color w:val="0070C0"/>
          <w:u w:val="single"/>
          <w:rtl/>
        </w:rPr>
        <w:t>.</w:t>
      </w:r>
      <w:r w:rsidRPr="005568C3">
        <w:rPr>
          <w:rFonts w:hint="cs"/>
          <w:i/>
          <w:iCs/>
          <w:u w:val="single"/>
          <w:rtl/>
        </w:rPr>
        <w:t>"</w:t>
      </w:r>
    </w:p>
    <w:p w14:paraId="4CA199A6" w14:textId="77777777" w:rsidR="005568C3" w:rsidRPr="005568C3" w:rsidRDefault="005568C3" w:rsidP="005568C3">
      <w:pPr>
        <w:pStyle w:val="BodyText"/>
        <w:rPr>
          <w:b/>
          <w:bCs/>
          <w:rtl/>
        </w:rPr>
      </w:pPr>
      <w:r w:rsidRPr="005568C3">
        <w:rPr>
          <w:rFonts w:hint="cs"/>
          <w:b/>
          <w:bCs/>
          <w:rtl/>
        </w:rPr>
        <w:t>معلومات أساسية</w:t>
      </w:r>
    </w:p>
    <w:p w14:paraId="335E176A" w14:textId="0838269C" w:rsidR="005568C3" w:rsidRDefault="005568C3" w:rsidP="005519F2">
      <w:pPr>
        <w:pStyle w:val="BodyText"/>
        <w:ind w:firstLine="562"/>
      </w:pPr>
      <w:bookmarkStart w:id="15" w:name="_Hlk160527044"/>
      <w:r w:rsidRPr="005568C3">
        <w:rPr>
          <w:rFonts w:hint="cs"/>
          <w:rtl/>
        </w:rPr>
        <w:t>بالإشارة إلى الحجج التي قدمتها اليابان في الدورات العديدة الماضية للجنة العلامات، نوضح مرة أخرى،</w:t>
      </w:r>
      <w:r w:rsidR="00480688">
        <w:rPr>
          <w:rFonts w:hint="cs"/>
          <w:rtl/>
        </w:rPr>
        <w:t xml:space="preserve"> </w:t>
      </w:r>
      <w:r w:rsidRPr="005568C3">
        <w:rPr>
          <w:rFonts w:hint="cs"/>
          <w:rtl/>
        </w:rPr>
        <w:t xml:space="preserve">بالصورة أدناه، الشواغل المتعلقة بالمادة 14(1) والقاعدة 12(2). </w:t>
      </w:r>
    </w:p>
    <w:p w14:paraId="163CC10A" w14:textId="3189E421" w:rsidR="005519F2" w:rsidRPr="005568C3" w:rsidRDefault="005519F2" w:rsidP="005519F2">
      <w:pPr>
        <w:pStyle w:val="BodyText"/>
        <w:ind w:firstLine="562"/>
        <w:rPr>
          <w:rtl/>
        </w:rPr>
      </w:pPr>
      <w:r>
        <w:rPr>
          <w:rFonts w:eastAsia="MS Mincho"/>
          <w:noProof/>
          <w:lang w:eastAsia="en-US"/>
        </w:rPr>
        <w:drawing>
          <wp:inline distT="0" distB="0" distL="0" distR="0" wp14:anchorId="1201A18E" wp14:editId="247729CA">
            <wp:extent cx="5544000" cy="2197740"/>
            <wp:effectExtent l="0" t="0" r="0" b="0"/>
            <wp:docPr id="736245763" name="Picture 6" descr="A screen 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45763" name="Picture 6" descr="A screen shot of a compu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4000" cy="2197740"/>
                    </a:xfrm>
                    <a:prstGeom prst="rect">
                      <a:avLst/>
                    </a:prstGeom>
                    <a:noFill/>
                  </pic:spPr>
                </pic:pic>
              </a:graphicData>
            </a:graphic>
          </wp:inline>
        </w:drawing>
      </w:r>
    </w:p>
    <w:bookmarkEnd w:id="15"/>
    <w:p w14:paraId="2A4565EC" w14:textId="40FE5C04" w:rsidR="005568C3" w:rsidRPr="005568C3" w:rsidRDefault="005568C3" w:rsidP="005568C3">
      <w:pPr>
        <w:pStyle w:val="BodyText"/>
        <w:rPr>
          <w:b/>
          <w:bCs/>
          <w:rtl/>
        </w:rPr>
      </w:pPr>
    </w:p>
    <w:p w14:paraId="2D8E07BB" w14:textId="77777777" w:rsidR="005568C3" w:rsidRPr="005568C3" w:rsidRDefault="005568C3" w:rsidP="005519F2">
      <w:pPr>
        <w:pStyle w:val="BodyText"/>
        <w:ind w:firstLine="562"/>
        <w:rPr>
          <w:rtl/>
        </w:rPr>
      </w:pPr>
      <w:r w:rsidRPr="005568C3">
        <w:rPr>
          <w:rFonts w:hint="cs"/>
          <w:rtl/>
        </w:rPr>
        <w:t>تنص المادة 14(1) من الاقتراح الأساسي لمعاهدة قانون العلامات على أنه يتعين على الطرف المتعاقد أن ينص في قوانينه على تصحيح المطالبة بأولوية طلب أو إضافتها إليه. ولكنها، لا تنص على أي مهلة زمنية لتقديم وثائق الأولوية على عكس معاهدة قانون البراءات</w:t>
      </w:r>
      <w:r w:rsidRPr="005568C3">
        <w:rPr>
          <w:vertAlign w:val="superscript"/>
        </w:rPr>
        <w:endnoteReference w:id="2"/>
      </w:r>
      <w:r w:rsidRPr="005568C3">
        <w:rPr>
          <w:rFonts w:hint="cs"/>
          <w:rtl/>
        </w:rPr>
        <w:t xml:space="preserve">. </w:t>
      </w:r>
    </w:p>
    <w:p w14:paraId="3CCB5DBC" w14:textId="77777777" w:rsidR="005568C3" w:rsidRPr="005568C3" w:rsidRDefault="005568C3" w:rsidP="005519F2">
      <w:pPr>
        <w:pStyle w:val="BodyText"/>
        <w:ind w:firstLine="562"/>
        <w:rPr>
          <w:rtl/>
        </w:rPr>
      </w:pPr>
      <w:r w:rsidRPr="005568C3">
        <w:rPr>
          <w:rFonts w:hint="cs"/>
          <w:rtl/>
        </w:rPr>
        <w:t xml:space="preserve">ووفقاً لذلك، من غير المؤكد ما إن كان بإمكان المودع تقديم وثيقة أولوية خلال كامل المهلة الزمنية التي يُسمح فيها بتصحيح المطالبة بالأولوية أو إضافتها، أي مثلاً، في الفترة الملونة باللون الأحمر في الصورة أعلاه. وفي حال لم يقدر المودع على تقديم وثيقة أولوية إلى مكتب الطرف المتعاقد الذي يشترط مثل هذه الوثيقة، فلا يمكن للمودع التمتع بأولوية الطلب السابق. </w:t>
      </w:r>
    </w:p>
    <w:p w14:paraId="60D7D61A" w14:textId="57998ACD" w:rsidR="005568C3" w:rsidRPr="005568C3" w:rsidRDefault="005568C3" w:rsidP="005519F2">
      <w:pPr>
        <w:pStyle w:val="BodyText"/>
        <w:keepNext/>
        <w:ind w:firstLine="562"/>
        <w:rPr>
          <w:rtl/>
        </w:rPr>
      </w:pPr>
      <w:r w:rsidRPr="005568C3">
        <w:rPr>
          <w:rFonts w:hint="cs"/>
          <w:rtl/>
        </w:rPr>
        <w:lastRenderedPageBreak/>
        <w:t>ولذلك من المستحسن في حال تصحيح مطالبة بالأولوية أو إضافتها عملاً بالمادة 14(1)، أن يسمح الطرف المتعاقد الذي يشترط تقديم دليل عملاً بالمادة 3(1)</w:t>
      </w:r>
      <w:r w:rsidR="00480688">
        <w:rPr>
          <w:rFonts w:hint="cs"/>
          <w:rtl/>
        </w:rPr>
        <w:t>"</w:t>
      </w:r>
      <w:r w:rsidRPr="005568C3">
        <w:rPr>
          <w:rFonts w:hint="cs"/>
          <w:rtl/>
        </w:rPr>
        <w:t>7</w:t>
      </w:r>
      <w:r w:rsidR="00480688">
        <w:rPr>
          <w:rFonts w:hint="cs"/>
          <w:rtl/>
        </w:rPr>
        <w:t>"</w:t>
      </w:r>
      <w:r w:rsidRPr="005568C3">
        <w:rPr>
          <w:rFonts w:hint="cs"/>
          <w:rtl/>
        </w:rPr>
        <w:t xml:space="preserve"> بتقديم الدليل في غضون المهلة الزمنية المحددة لإيداع الالتماس المشار إليه في القاعدة 12(2).</w:t>
      </w:r>
    </w:p>
    <w:bookmarkEnd w:id="13"/>
    <w:p w14:paraId="1F432896" w14:textId="1690933C" w:rsidR="00A36CCD" w:rsidRDefault="00A36CCD" w:rsidP="00A36CCD">
      <w:pPr>
        <w:pStyle w:val="Endofdocument-Annex"/>
        <w:rPr>
          <w:rtl/>
        </w:rPr>
      </w:pPr>
      <w:r>
        <w:rPr>
          <w:rFonts w:hint="cs"/>
          <w:rtl/>
        </w:rPr>
        <w:t>[نهاية المرفق والوثيقة]</w:t>
      </w:r>
    </w:p>
    <w:p w14:paraId="333EB4BA" w14:textId="77777777" w:rsidR="00276C46" w:rsidRDefault="00276C46" w:rsidP="00A36CCD">
      <w:pPr>
        <w:pStyle w:val="Endofdocument-Annex"/>
        <w:rPr>
          <w:rtl/>
        </w:rPr>
      </w:pPr>
    </w:p>
    <w:p w14:paraId="586BAC15" w14:textId="77777777" w:rsidR="00276C46" w:rsidRDefault="00276C46" w:rsidP="00A36CCD">
      <w:pPr>
        <w:pStyle w:val="Endofdocument-Annex"/>
        <w:rPr>
          <w:rtl/>
        </w:rPr>
      </w:pPr>
    </w:p>
    <w:p w14:paraId="0EB8D77C" w14:textId="77777777" w:rsidR="00276C46" w:rsidRPr="005C34F0" w:rsidRDefault="00276C46" w:rsidP="00A36CCD">
      <w:pPr>
        <w:pStyle w:val="Endofdocument-Annex"/>
        <w:rPr>
          <w:rtl/>
        </w:rPr>
      </w:pPr>
    </w:p>
    <w:sectPr w:rsidR="00276C46" w:rsidRPr="005C34F0" w:rsidSect="005519F2">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FB245" w14:textId="77777777" w:rsidR="00207C56" w:rsidRDefault="00207C56">
      <w:r>
        <w:separator/>
      </w:r>
    </w:p>
  </w:endnote>
  <w:endnote w:type="continuationSeparator" w:id="0">
    <w:p w14:paraId="527C7512" w14:textId="77777777" w:rsidR="00207C56" w:rsidRDefault="00207C56">
      <w:r>
        <w:separator/>
      </w:r>
    </w:p>
    <w:p w14:paraId="0BA41912" w14:textId="77777777" w:rsidR="00207C56" w:rsidRDefault="00207C56">
      <w:pPr>
        <w:spacing w:after="60"/>
        <w:rPr>
          <w:sz w:val="17"/>
        </w:rPr>
      </w:pPr>
      <w:r>
        <w:rPr>
          <w:sz w:val="17"/>
        </w:rPr>
        <w:t>[Endnote continued from previous page]</w:t>
      </w:r>
    </w:p>
  </w:endnote>
  <w:endnote w:type="continuationNotice" w:id="1">
    <w:p w14:paraId="2ACB31FB" w14:textId="77777777" w:rsidR="00207C56" w:rsidRDefault="00207C56">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 w:id="2">
    <w:p w14:paraId="64C9C224" w14:textId="77777777" w:rsidR="005568C3" w:rsidRPr="005568C3" w:rsidRDefault="005568C3" w:rsidP="005568C3">
      <w:pPr>
        <w:spacing w:after="120"/>
        <w:jc w:val="both"/>
        <w:rPr>
          <w:rFonts w:asciiTheme="minorHAnsi" w:hAnsiTheme="minorHAnsi" w:cstheme="minorHAnsi"/>
          <w:sz w:val="21"/>
          <w:szCs w:val="21"/>
          <w:rtl/>
        </w:rPr>
      </w:pPr>
      <w:r>
        <w:rPr>
          <w:rFonts w:asciiTheme="majorBidi" w:hAnsiTheme="majorBidi" w:cstheme="majorBidi" w:hint="cs"/>
          <w:sz w:val="21"/>
          <w:szCs w:val="21"/>
          <w:vertAlign w:val="superscript"/>
          <w:rtl/>
        </w:rPr>
        <w:t xml:space="preserve">1 </w:t>
      </w:r>
      <w:r>
        <w:rPr>
          <w:rFonts w:asciiTheme="majorBidi" w:hAnsiTheme="majorBidi" w:cstheme="majorBidi" w:hint="cs"/>
          <w:sz w:val="21"/>
          <w:szCs w:val="21"/>
          <w:rtl/>
        </w:rPr>
        <w:t xml:space="preserve"> </w:t>
      </w:r>
      <w:r w:rsidRPr="005568C3">
        <w:rPr>
          <w:rFonts w:asciiTheme="minorHAnsi" w:hAnsiTheme="minorHAnsi" w:cstheme="minorHAnsi"/>
          <w:sz w:val="21"/>
          <w:szCs w:val="21"/>
          <w:rtl/>
        </w:rPr>
        <w:t>تنص القاعدة 4 من اللائحة التنفيذية لمعاهدة قانون البراءات على مهلة زمنية لإيداع وثائق الأولوية، وهي تغطي المهلة الزمنية لتصحيح مطالبة بالأولوية أو إضافتها (انظر(ي) القاعدتين 4 و14).</w:t>
      </w:r>
    </w:p>
    <w:p w14:paraId="7B379A93" w14:textId="77777777" w:rsidR="005568C3" w:rsidRPr="005568C3" w:rsidRDefault="005568C3" w:rsidP="005568C3">
      <w:pPr>
        <w:ind w:leftChars="100" w:left="220"/>
        <w:jc w:val="both"/>
        <w:rPr>
          <w:rFonts w:asciiTheme="minorHAnsi" w:hAnsiTheme="minorHAnsi" w:cstheme="minorHAnsi"/>
          <w:b/>
          <w:bCs/>
          <w:sz w:val="21"/>
          <w:szCs w:val="21"/>
          <w:rtl/>
        </w:rPr>
      </w:pPr>
      <w:r w:rsidRPr="005568C3">
        <w:rPr>
          <w:rFonts w:asciiTheme="minorHAnsi" w:hAnsiTheme="minorHAnsi" w:cstheme="minorHAnsi"/>
          <w:b/>
          <w:bCs/>
          <w:sz w:val="21"/>
          <w:szCs w:val="21"/>
          <w:rtl/>
        </w:rPr>
        <w:t>معاهدة قانون البراءات</w:t>
      </w:r>
    </w:p>
    <w:p w14:paraId="1F31EAEC"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المادة 6</w:t>
      </w:r>
      <w:r w:rsidRPr="005568C3">
        <w:rPr>
          <w:rFonts w:asciiTheme="minorHAnsi" w:hAnsiTheme="minorHAnsi" w:cstheme="minorHAnsi"/>
          <w:rtl/>
        </w:rPr>
        <w:t xml:space="preserve"> </w:t>
      </w:r>
    </w:p>
    <w:p w14:paraId="590E1A67"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الطلب</w:t>
      </w:r>
    </w:p>
    <w:p w14:paraId="0D17C3E1"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w:t>
      </w:r>
    </w:p>
    <w:p w14:paraId="63C235C6"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(5)</w:t>
      </w:r>
      <w:r w:rsidRPr="005568C3">
        <w:rPr>
          <w:rFonts w:asciiTheme="minorHAnsi" w:hAnsiTheme="minorHAnsi" w:cstheme="minorHAnsi"/>
          <w:i/>
          <w:iCs/>
          <w:sz w:val="21"/>
          <w:szCs w:val="21"/>
          <w:rtl/>
        </w:rPr>
        <w:tab/>
        <w:t>[ وثيقة الأولوية ]  في حال المطالبة بأولوية طلب سابق، يجوز للطرف المتعاقد أن يشترط إيداع صورة من الطلب السابق مع ترجمة له إذا لم يكن محرراً بلغة يقبلها المكتب، وفقاً للشروط المقررة في اللائحة التنفيذية.</w:t>
      </w:r>
    </w:p>
    <w:p w14:paraId="2C95DF1F" w14:textId="77777777" w:rsidR="005568C3" w:rsidRPr="005568C3" w:rsidRDefault="005568C3" w:rsidP="005568C3">
      <w:pPr>
        <w:ind w:leftChars="100" w:left="220"/>
        <w:jc w:val="both"/>
        <w:rPr>
          <w:rFonts w:asciiTheme="minorHAnsi" w:hAnsiTheme="minorHAnsi" w:cstheme="minorHAnsi"/>
          <w:sz w:val="21"/>
          <w:szCs w:val="21"/>
          <w:rtl/>
        </w:rPr>
      </w:pPr>
      <w:r w:rsidRPr="005568C3">
        <w:rPr>
          <w:rFonts w:asciiTheme="minorHAnsi" w:hAnsiTheme="minorHAnsi" w:cstheme="minorHAnsi"/>
          <w:i/>
          <w:iCs/>
          <w:sz w:val="21"/>
          <w:szCs w:val="21"/>
          <w:rtl/>
        </w:rPr>
        <w:t>[…]</w:t>
      </w:r>
      <w:r w:rsidRPr="005568C3">
        <w:rPr>
          <w:rFonts w:asciiTheme="minorHAnsi" w:hAnsiTheme="minorHAnsi" w:cstheme="minorHAnsi"/>
          <w:rtl/>
        </w:rPr>
        <w:t xml:space="preserve"> </w:t>
      </w:r>
    </w:p>
    <w:p w14:paraId="0C9D7B36" w14:textId="62D28268"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المادة 13</w:t>
      </w:r>
    </w:p>
    <w:p w14:paraId="108C7D05"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تصحيح المطالبة بالأولوية أو إضافتها وردّ حق الأولوية</w:t>
      </w:r>
    </w:p>
    <w:p w14:paraId="78A4D758"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(1)</w:t>
      </w:r>
      <w:r w:rsidRPr="005568C3">
        <w:rPr>
          <w:rFonts w:asciiTheme="minorHAnsi" w:hAnsiTheme="minorHAnsi" w:cstheme="minorHAnsi"/>
          <w:i/>
          <w:iCs/>
          <w:sz w:val="21"/>
          <w:szCs w:val="21"/>
          <w:rtl/>
        </w:rPr>
        <w:tab/>
        <w:t>[ تصحيح المطالبة بالأولوية أو إضافتها]  ينص الطرف المتعاقد في قوانينه على تصحيح المطالبة بأولوية طلب ("الطلب اللاحق") أو إضافتها إليه إلا إذا كان خلاف ذلك مقرراً في اللائحة التنفيذية، إذا تم ما يلي:</w:t>
      </w:r>
      <w:r w:rsidRPr="005568C3">
        <w:rPr>
          <w:rFonts w:asciiTheme="minorHAnsi" w:hAnsiTheme="minorHAnsi" w:cstheme="minorHAnsi"/>
          <w:rtl/>
        </w:rPr>
        <w:t xml:space="preserve"> </w:t>
      </w:r>
    </w:p>
    <w:p w14:paraId="66E64374" w14:textId="77777777" w:rsidR="005568C3" w:rsidRPr="005568C3" w:rsidRDefault="005568C3" w:rsidP="005568C3">
      <w:pPr>
        <w:ind w:leftChars="100" w:left="220"/>
        <w:jc w:val="both"/>
        <w:rPr>
          <w:rFonts w:asciiTheme="minorHAnsi" w:hAnsiTheme="minorHAnsi" w:cstheme="minorHAnsi"/>
          <w:sz w:val="21"/>
          <w:szCs w:val="21"/>
          <w:rtl/>
        </w:rPr>
      </w:pPr>
      <w:r w:rsidRPr="005568C3">
        <w:rPr>
          <w:rFonts w:asciiTheme="minorHAnsi" w:hAnsiTheme="minorHAnsi" w:cstheme="minorHAnsi"/>
          <w:i/>
          <w:iCs/>
          <w:sz w:val="21"/>
          <w:szCs w:val="21"/>
          <w:rtl/>
        </w:rPr>
        <w:t>[…]</w:t>
      </w:r>
      <w:r w:rsidRPr="005568C3">
        <w:rPr>
          <w:rFonts w:asciiTheme="minorHAnsi" w:hAnsiTheme="minorHAnsi" w:cstheme="minorHAnsi"/>
          <w:rtl/>
        </w:rPr>
        <w:t xml:space="preserve"> </w:t>
      </w:r>
    </w:p>
    <w:p w14:paraId="2AB695FA"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"2"</w:t>
      </w:r>
      <w:r w:rsidRPr="005568C3">
        <w:rPr>
          <w:rFonts w:asciiTheme="minorHAnsi" w:hAnsiTheme="minorHAnsi" w:cstheme="minorHAnsi"/>
          <w:i/>
          <w:iCs/>
          <w:sz w:val="21"/>
          <w:szCs w:val="21"/>
          <w:rtl/>
        </w:rPr>
        <w:tab/>
        <w:t>وتم إيداع الالتماس خلال المهلة المقررة في اللائحة التنفيذية؛</w:t>
      </w:r>
      <w:r w:rsidRPr="005568C3">
        <w:rPr>
          <w:rFonts w:asciiTheme="minorHAnsi" w:hAnsiTheme="minorHAnsi" w:cstheme="minorHAnsi"/>
          <w:rtl/>
        </w:rPr>
        <w:t xml:space="preserve"> </w:t>
      </w:r>
    </w:p>
    <w:p w14:paraId="39A473AF" w14:textId="77777777" w:rsidR="005568C3" w:rsidRPr="005568C3" w:rsidRDefault="005568C3" w:rsidP="005568C3">
      <w:pPr>
        <w:ind w:leftChars="100" w:left="220"/>
        <w:jc w:val="both"/>
        <w:rPr>
          <w:rFonts w:asciiTheme="minorHAnsi" w:hAnsiTheme="minorHAnsi" w:cstheme="minorHAnsi"/>
          <w:sz w:val="21"/>
          <w:szCs w:val="21"/>
          <w:rtl/>
        </w:rPr>
      </w:pPr>
      <w:r w:rsidRPr="005568C3">
        <w:rPr>
          <w:rFonts w:asciiTheme="minorHAnsi" w:hAnsiTheme="minorHAnsi" w:cstheme="minorHAnsi"/>
          <w:i/>
          <w:iCs/>
          <w:sz w:val="21"/>
          <w:szCs w:val="21"/>
          <w:rtl/>
        </w:rPr>
        <w:t>[…]</w:t>
      </w:r>
      <w:r w:rsidRPr="005568C3">
        <w:rPr>
          <w:rFonts w:asciiTheme="minorHAnsi" w:hAnsiTheme="minorHAnsi" w:cstheme="minorHAnsi"/>
          <w:rtl/>
        </w:rPr>
        <w:t xml:space="preserve"> </w:t>
      </w:r>
    </w:p>
    <w:p w14:paraId="74F6CE92" w14:textId="77777777" w:rsidR="005568C3" w:rsidRPr="005568C3" w:rsidRDefault="005568C3" w:rsidP="005568C3">
      <w:pPr>
        <w:ind w:leftChars="100" w:left="220"/>
        <w:jc w:val="both"/>
        <w:rPr>
          <w:rFonts w:asciiTheme="minorHAnsi" w:hAnsiTheme="minorHAnsi" w:cstheme="minorHAnsi"/>
          <w:b/>
          <w:bCs/>
          <w:i/>
          <w:iCs/>
          <w:sz w:val="21"/>
          <w:szCs w:val="21"/>
        </w:rPr>
      </w:pPr>
    </w:p>
    <w:p w14:paraId="3B5FBA9D"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اللائحة التنفيذية لمعاهدة قانون البراءات</w:t>
      </w:r>
    </w:p>
    <w:p w14:paraId="6286F160"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القاعدة 4</w:t>
      </w:r>
    </w:p>
    <w:p w14:paraId="6DE6CFA2"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وجود طلب سابق وفقاً للمادة 6(5) والقاعدة 2(4) أو طلب مودع سابقاً وفقاً للقاعدة 2(5)(ب)</w:t>
      </w:r>
    </w:p>
    <w:p w14:paraId="4AB858EF"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(1)</w:t>
      </w:r>
      <w:r w:rsidRPr="005568C3">
        <w:rPr>
          <w:rFonts w:asciiTheme="minorHAnsi" w:hAnsiTheme="minorHAnsi" w:cstheme="minorHAnsi"/>
          <w:i/>
          <w:iCs/>
          <w:sz w:val="21"/>
          <w:szCs w:val="21"/>
          <w:rtl/>
        </w:rPr>
        <w:tab/>
        <w:t>[ صورة من الطلب السابق المشار إليه في المادة 6(5)  ]   مع مراعاة الفقرة (3)، يجوز للطرف المتعاقد أن يشترط إيداع صورة من الطلب السابق المشار إليه في المادة 6(5) لدى المكتب خلال مهلة لا تقل عن 16 شهراً اعتباراً من تاريخ إيداع ذلك الطلب السابق، أو اعتباراً من تاريخ الإيداع الأسبق في حال وجود أكثر من طلب سابق واحد.</w:t>
      </w:r>
    </w:p>
    <w:p w14:paraId="1D38B5FF"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w:t>
      </w:r>
    </w:p>
    <w:p w14:paraId="23AAC411" w14:textId="31A16BF8"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القاعدة 14</w:t>
      </w:r>
    </w:p>
    <w:p w14:paraId="69307E24" w14:textId="77777777" w:rsidR="005568C3" w:rsidRPr="005568C3" w:rsidRDefault="005568C3" w:rsidP="005568C3">
      <w:pPr>
        <w:ind w:leftChars="100" w:left="220"/>
        <w:jc w:val="both"/>
        <w:rPr>
          <w:rFonts w:asciiTheme="minorHAnsi" w:hAnsiTheme="minorHAnsi" w:cstheme="minorHAnsi"/>
          <w:b/>
          <w:bCs/>
          <w:i/>
          <w:iCs/>
          <w:sz w:val="21"/>
          <w:szCs w:val="21"/>
          <w:rtl/>
        </w:rPr>
      </w:pPr>
      <w:r w:rsidRPr="005568C3">
        <w:rPr>
          <w:rFonts w:asciiTheme="minorHAnsi" w:hAnsiTheme="minorHAnsi" w:cstheme="minorHAnsi"/>
          <w:b/>
          <w:bCs/>
          <w:i/>
          <w:iCs/>
          <w:sz w:val="21"/>
          <w:szCs w:val="21"/>
          <w:rtl/>
        </w:rPr>
        <w:t>تفاصيل بشأن تصحيح المطالبة بالأولوية أو إضافتها وردّ حق الأولوية بناء على المادة 13</w:t>
      </w:r>
    </w:p>
    <w:p w14:paraId="04640D3D"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w:t>
      </w:r>
      <w:r w:rsidRPr="005568C3">
        <w:rPr>
          <w:rFonts w:asciiTheme="minorHAnsi" w:hAnsiTheme="minorHAnsi" w:cstheme="minorHAnsi"/>
          <w:rtl/>
        </w:rPr>
        <w:t xml:space="preserve"> </w:t>
      </w:r>
    </w:p>
    <w:p w14:paraId="0D5C8EB1" w14:textId="77777777" w:rsidR="005568C3" w:rsidRPr="005568C3" w:rsidRDefault="005568C3" w:rsidP="005568C3">
      <w:pPr>
        <w:ind w:leftChars="100" w:left="220"/>
        <w:jc w:val="both"/>
        <w:rPr>
          <w:rFonts w:asciiTheme="minorHAnsi" w:hAnsiTheme="minorHAnsi" w:cstheme="minorHAnsi"/>
          <w:i/>
          <w:iCs/>
          <w:sz w:val="21"/>
          <w:szCs w:val="21"/>
          <w:rtl/>
        </w:rPr>
      </w:pPr>
      <w:r w:rsidRPr="005568C3">
        <w:rPr>
          <w:rFonts w:asciiTheme="minorHAnsi" w:hAnsiTheme="minorHAnsi" w:cstheme="minorHAnsi"/>
          <w:i/>
          <w:iCs/>
          <w:sz w:val="21"/>
          <w:szCs w:val="21"/>
          <w:rtl/>
        </w:rPr>
        <w:t>(3)</w:t>
      </w:r>
      <w:r w:rsidRPr="005568C3">
        <w:rPr>
          <w:rFonts w:asciiTheme="minorHAnsi" w:hAnsiTheme="minorHAnsi" w:cstheme="minorHAnsi"/>
          <w:i/>
          <w:iCs/>
          <w:sz w:val="21"/>
          <w:szCs w:val="21"/>
          <w:rtl/>
        </w:rPr>
        <w:tab/>
        <w:t>[المهلة المشار إليها في المادة 13(1)"2"]  لا تقل المهلة المشار إليها في المادة 13(1)"2" عن المهلة المطبقة بناء على معاهدة التعاون بشأن البراءات على طلب دولي لتقديم مطالبة بالأولوية بعد إيداع الطلب الدولي.</w:t>
      </w:r>
    </w:p>
    <w:p w14:paraId="32DAD240" w14:textId="77777777" w:rsidR="005568C3" w:rsidRPr="005568C3" w:rsidRDefault="005568C3" w:rsidP="005568C3">
      <w:pPr>
        <w:ind w:leftChars="100" w:left="220"/>
        <w:jc w:val="both"/>
        <w:rPr>
          <w:rFonts w:asciiTheme="minorHAnsi" w:hAnsiTheme="minorHAnsi" w:cstheme="minorHAnsi"/>
          <w:i/>
          <w:iCs/>
          <w:sz w:val="21"/>
          <w:szCs w:val="18"/>
          <w:rtl/>
        </w:rPr>
      </w:pPr>
      <w:r w:rsidRPr="005568C3">
        <w:rPr>
          <w:rFonts w:asciiTheme="minorHAnsi" w:hAnsiTheme="minorHAnsi" w:cstheme="minorHAnsi"/>
          <w:i/>
          <w:iCs/>
          <w:sz w:val="21"/>
          <w:szCs w:val="21"/>
          <w:rtl/>
        </w:rPr>
        <w:t>[…]</w:t>
      </w:r>
      <w:r w:rsidRPr="005568C3">
        <w:rPr>
          <w:rFonts w:asciiTheme="minorHAnsi" w:hAnsiTheme="minorHAnsi" w:cstheme="minorHAnsi"/>
          <w:rtl/>
        </w:rPr>
        <w:t xml:space="preserve"> </w:t>
      </w:r>
    </w:p>
    <w:p w14:paraId="0FC0B2B3" w14:textId="77777777" w:rsidR="005568C3" w:rsidRPr="005568C3" w:rsidRDefault="005568C3" w:rsidP="005568C3">
      <w:pPr>
        <w:ind w:leftChars="100" w:left="220"/>
        <w:jc w:val="both"/>
        <w:rPr>
          <w:rFonts w:asciiTheme="minorHAnsi" w:hAnsiTheme="minorHAnsi" w:cstheme="minorHAnsi"/>
          <w:b/>
          <w:bCs/>
          <w:i/>
          <w:iCs/>
          <w:sz w:val="21"/>
          <w:szCs w:val="18"/>
        </w:rPr>
      </w:pPr>
    </w:p>
    <w:p w14:paraId="6E944182" w14:textId="77777777" w:rsidR="005568C3" w:rsidRPr="005568C3" w:rsidRDefault="005568C3" w:rsidP="005568C3">
      <w:pPr>
        <w:keepNext/>
        <w:ind w:leftChars="100" w:left="220"/>
        <w:jc w:val="both"/>
        <w:rPr>
          <w:rFonts w:asciiTheme="minorHAnsi" w:hAnsiTheme="minorHAnsi" w:cstheme="minorHAnsi"/>
          <w:b/>
          <w:bCs/>
          <w:i/>
          <w:iCs/>
          <w:sz w:val="21"/>
          <w:szCs w:val="18"/>
          <w:rtl/>
        </w:rPr>
      </w:pPr>
      <w:r w:rsidRPr="005568C3">
        <w:rPr>
          <w:rFonts w:asciiTheme="minorHAnsi" w:hAnsiTheme="minorHAnsi" w:cstheme="minorHAnsi"/>
          <w:b/>
          <w:bCs/>
          <w:i/>
          <w:iCs/>
          <w:sz w:val="21"/>
          <w:szCs w:val="21"/>
          <w:rtl/>
        </w:rPr>
        <w:t>اللائحة التنفيذية لمعاهدة التعاون بشأن البراءات</w:t>
      </w:r>
    </w:p>
    <w:p w14:paraId="48A2192E" w14:textId="77777777" w:rsidR="005568C3" w:rsidRPr="005568C3" w:rsidRDefault="005568C3" w:rsidP="005568C3">
      <w:pPr>
        <w:keepNext/>
        <w:ind w:leftChars="100" w:left="220"/>
        <w:jc w:val="both"/>
        <w:rPr>
          <w:rFonts w:asciiTheme="minorHAnsi" w:hAnsiTheme="minorHAnsi" w:cstheme="minorHAnsi"/>
          <w:b/>
          <w:bCs/>
          <w:i/>
          <w:iCs/>
          <w:sz w:val="21"/>
          <w:szCs w:val="18"/>
          <w:rtl/>
        </w:rPr>
      </w:pPr>
      <w:r w:rsidRPr="005568C3">
        <w:rPr>
          <w:rFonts w:asciiTheme="minorHAnsi" w:hAnsiTheme="minorHAnsi" w:cstheme="minorHAnsi"/>
          <w:b/>
          <w:bCs/>
          <w:i/>
          <w:iCs/>
          <w:sz w:val="21"/>
          <w:szCs w:val="21"/>
          <w:rtl/>
        </w:rPr>
        <w:t>القاعدة 26(ثانيا)</w:t>
      </w:r>
    </w:p>
    <w:p w14:paraId="0DACC46B" w14:textId="77777777" w:rsidR="005568C3" w:rsidRPr="005568C3" w:rsidRDefault="005568C3" w:rsidP="005568C3">
      <w:pPr>
        <w:keepNext/>
        <w:ind w:leftChars="100" w:left="220"/>
        <w:jc w:val="both"/>
        <w:rPr>
          <w:rFonts w:asciiTheme="minorHAnsi" w:hAnsiTheme="minorHAnsi" w:cstheme="minorHAnsi"/>
          <w:b/>
          <w:bCs/>
          <w:i/>
          <w:iCs/>
          <w:sz w:val="21"/>
          <w:szCs w:val="18"/>
          <w:rtl/>
        </w:rPr>
      </w:pPr>
      <w:r w:rsidRPr="005568C3">
        <w:rPr>
          <w:rFonts w:asciiTheme="minorHAnsi" w:hAnsiTheme="minorHAnsi" w:cstheme="minorHAnsi"/>
          <w:b/>
          <w:bCs/>
          <w:i/>
          <w:iCs/>
          <w:sz w:val="21"/>
          <w:szCs w:val="21"/>
          <w:rtl/>
        </w:rPr>
        <w:t>تصحيح المطالبة بالأولوية أو إضافتها</w:t>
      </w:r>
    </w:p>
    <w:p w14:paraId="37F7F405" w14:textId="77777777" w:rsidR="005568C3" w:rsidRPr="005568C3" w:rsidRDefault="005568C3" w:rsidP="005568C3">
      <w:pPr>
        <w:ind w:leftChars="100" w:left="220"/>
        <w:jc w:val="both"/>
        <w:rPr>
          <w:rFonts w:asciiTheme="minorHAnsi" w:hAnsiTheme="minorHAnsi" w:cstheme="minorHAnsi"/>
          <w:i/>
          <w:iCs/>
          <w:sz w:val="21"/>
          <w:szCs w:val="18"/>
          <w:rtl/>
        </w:rPr>
      </w:pPr>
      <w:r w:rsidRPr="005568C3">
        <w:rPr>
          <w:rFonts w:asciiTheme="minorHAnsi" w:hAnsiTheme="minorHAnsi" w:cstheme="minorHAnsi"/>
          <w:i/>
          <w:iCs/>
          <w:sz w:val="21"/>
          <w:szCs w:val="21"/>
          <w:rtl/>
        </w:rPr>
        <w:t>( أ )</w:t>
      </w:r>
      <w:r w:rsidRPr="005568C3">
        <w:rPr>
          <w:rFonts w:asciiTheme="minorHAnsi" w:hAnsiTheme="minorHAnsi" w:cstheme="minorHAnsi"/>
          <w:i/>
          <w:iCs/>
          <w:sz w:val="21"/>
          <w:szCs w:val="21"/>
          <w:rtl/>
        </w:rPr>
        <w:tab/>
        <w:t>يجوز لمودع الطلب أن يصحح المطالبة بالأولوية أو أن يضيف مطالبة بالأولوية إلى العريضة بموجب إشعار يقدمه إلى مكتب تسلم الطلبات أو المكتب الدولي في غضون 16 شهرا من تاريخ الأولوية أو في غضون 16 شهرا من تاريخ الأولوية المعدل بسبب التصحيح أو الإضافة، مع الأخذ بمهلة الأشهر الستة عشر التي تنقضي أولا وعلما بأنه يجوز تقديم ذلك الإشعار حتى انقضاء أربعة أشهر من تاريخ الإيداع الدولي. ويجوز أن يشمل تصحيح المطالبة بالأولوية إضافة أي بيان من البيانات المشار إليها في القاعدة 10.4.</w:t>
      </w:r>
    </w:p>
    <w:p w14:paraId="67DC8F83" w14:textId="588745ED" w:rsidR="005568C3" w:rsidRPr="005568C3" w:rsidRDefault="005568C3" w:rsidP="005568C3">
      <w:pPr>
        <w:ind w:leftChars="100" w:left="220"/>
        <w:jc w:val="both"/>
        <w:rPr>
          <w:rFonts w:asciiTheme="minorHAnsi" w:hAnsiTheme="minorHAnsi" w:cstheme="minorHAnsi"/>
          <w:i/>
          <w:iCs/>
          <w:sz w:val="21"/>
          <w:szCs w:val="18"/>
        </w:rPr>
      </w:pPr>
      <w:r w:rsidRPr="005568C3">
        <w:rPr>
          <w:rFonts w:asciiTheme="minorHAnsi" w:hAnsiTheme="minorHAnsi" w:cstheme="minorHAnsi"/>
          <w:i/>
          <w:iCs/>
          <w:sz w:val="21"/>
          <w:szCs w:val="21"/>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25E8" w14:textId="77777777" w:rsidR="00207C56" w:rsidRDefault="00207C56">
      <w:r>
        <w:separator/>
      </w:r>
    </w:p>
  </w:footnote>
  <w:footnote w:type="continuationSeparator" w:id="0">
    <w:p w14:paraId="535ECF08" w14:textId="77777777" w:rsidR="00207C56" w:rsidRDefault="00207C56">
      <w:r>
        <w:separator/>
      </w:r>
    </w:p>
    <w:p w14:paraId="77395878" w14:textId="77777777" w:rsidR="00207C56" w:rsidRDefault="00207C56">
      <w:pPr>
        <w:spacing w:after="60"/>
        <w:rPr>
          <w:sz w:val="17"/>
          <w:szCs w:val="17"/>
        </w:rPr>
      </w:pPr>
      <w:r>
        <w:rPr>
          <w:sz w:val="17"/>
          <w:szCs w:val="17"/>
        </w:rPr>
        <w:t>[Footnote continued from previous page]</w:t>
      </w:r>
    </w:p>
  </w:footnote>
  <w:footnote w:type="continuationNotice" w:id="1">
    <w:p w14:paraId="271D1CC2" w14:textId="77777777" w:rsidR="00207C56" w:rsidRDefault="00207C56">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9CCE" w14:textId="37922AA4" w:rsidR="00784A98" w:rsidRDefault="00C91BB2" w:rsidP="00784A98">
    <w:pPr>
      <w:jc w:val="right"/>
      <w:rPr>
        <w:caps/>
      </w:rPr>
    </w:pPr>
    <w:r>
      <w:rPr>
        <w:caps/>
      </w:rPr>
      <w:t>DLT</w:t>
    </w:r>
    <w:r w:rsidR="00784A98">
      <w:rPr>
        <w:caps/>
      </w:rPr>
      <w:t>/DC/</w:t>
    </w:r>
    <w:r w:rsidR="005519F2">
      <w:rPr>
        <w:caps/>
      </w:rPr>
      <w:t>10</w:t>
    </w:r>
  </w:p>
  <w:p w14:paraId="66AE2D48" w14:textId="3555C648" w:rsidR="005519F2" w:rsidRPr="002326AB" w:rsidRDefault="005519F2" w:rsidP="00784A98">
    <w:pPr>
      <w:jc w:val="right"/>
      <w:rPr>
        <w:caps/>
      </w:rPr>
    </w:pPr>
    <w:r>
      <w:t>Annex</w:t>
    </w:r>
  </w:p>
  <w:p w14:paraId="4DFC8E69"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549AB6CE"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732D" w14:textId="060B2B29" w:rsidR="00906B7A" w:rsidRDefault="00906B7A">
    <w:pPr>
      <w:bidi w:val="0"/>
      <w:rPr>
        <w:caps/>
      </w:rPr>
    </w:pPr>
    <w:r>
      <w:rPr>
        <w:caps/>
      </w:rPr>
      <w:t>DLT/DC/</w:t>
    </w:r>
    <w:r w:rsidR="00940178">
      <w:rPr>
        <w:caps/>
      </w:rPr>
      <w:t>10</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5C3AC96F" w14:textId="77777777" w:rsidR="00906B7A" w:rsidRDefault="00906B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20851056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259C5"/>
    <w:rsid w:val="00037D09"/>
    <w:rsid w:val="000B0670"/>
    <w:rsid w:val="000F43B1"/>
    <w:rsid w:val="001055A0"/>
    <w:rsid w:val="00106F84"/>
    <w:rsid w:val="00111F0E"/>
    <w:rsid w:val="00113269"/>
    <w:rsid w:val="00165FBD"/>
    <w:rsid w:val="00174E08"/>
    <w:rsid w:val="001C04F6"/>
    <w:rsid w:val="001C52F9"/>
    <w:rsid w:val="001E6680"/>
    <w:rsid w:val="0020046F"/>
    <w:rsid w:val="00204E8E"/>
    <w:rsid w:val="00207C56"/>
    <w:rsid w:val="00215752"/>
    <w:rsid w:val="00244E95"/>
    <w:rsid w:val="0026139C"/>
    <w:rsid w:val="00262F42"/>
    <w:rsid w:val="00276C46"/>
    <w:rsid w:val="00343D56"/>
    <w:rsid w:val="00360E40"/>
    <w:rsid w:val="003819C3"/>
    <w:rsid w:val="00461318"/>
    <w:rsid w:val="00480688"/>
    <w:rsid w:val="005240EE"/>
    <w:rsid w:val="005519F2"/>
    <w:rsid w:val="005568C3"/>
    <w:rsid w:val="005919FA"/>
    <w:rsid w:val="005C1D54"/>
    <w:rsid w:val="005C2BEE"/>
    <w:rsid w:val="005C34F0"/>
    <w:rsid w:val="0064472E"/>
    <w:rsid w:val="00666F28"/>
    <w:rsid w:val="006D0BBF"/>
    <w:rsid w:val="0078245B"/>
    <w:rsid w:val="00784A98"/>
    <w:rsid w:val="007C06A8"/>
    <w:rsid w:val="00807EDE"/>
    <w:rsid w:val="0082247E"/>
    <w:rsid w:val="008365A8"/>
    <w:rsid w:val="00837724"/>
    <w:rsid w:val="00847705"/>
    <w:rsid w:val="0087607F"/>
    <w:rsid w:val="00885073"/>
    <w:rsid w:val="008C4701"/>
    <w:rsid w:val="008F48F9"/>
    <w:rsid w:val="00906B7A"/>
    <w:rsid w:val="0092280C"/>
    <w:rsid w:val="00931E6E"/>
    <w:rsid w:val="00932B7B"/>
    <w:rsid w:val="00940178"/>
    <w:rsid w:val="00954762"/>
    <w:rsid w:val="009B5D9F"/>
    <w:rsid w:val="009C2EF4"/>
    <w:rsid w:val="009E27D0"/>
    <w:rsid w:val="009F6632"/>
    <w:rsid w:val="00A24105"/>
    <w:rsid w:val="00A36CCD"/>
    <w:rsid w:val="00A71DB9"/>
    <w:rsid w:val="00AC6B1A"/>
    <w:rsid w:val="00B17D5C"/>
    <w:rsid w:val="00B403AD"/>
    <w:rsid w:val="00B62BCC"/>
    <w:rsid w:val="00B77A42"/>
    <w:rsid w:val="00B81C40"/>
    <w:rsid w:val="00BF5D9D"/>
    <w:rsid w:val="00C4229D"/>
    <w:rsid w:val="00C46325"/>
    <w:rsid w:val="00C91BB2"/>
    <w:rsid w:val="00CD186E"/>
    <w:rsid w:val="00D00725"/>
    <w:rsid w:val="00D3041C"/>
    <w:rsid w:val="00D621DC"/>
    <w:rsid w:val="00D647A2"/>
    <w:rsid w:val="00DE4047"/>
    <w:rsid w:val="00EA5315"/>
    <w:rsid w:val="00EA76DD"/>
    <w:rsid w:val="00F507E7"/>
    <w:rsid w:val="00F71C32"/>
    <w:rsid w:val="00F86A9E"/>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1920</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DLT/DC/4 (Arabic)</vt:lpstr>
    </vt:vector>
  </TitlesOfParts>
  <Company>WIPO</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DLT/DC/10</dc:title>
  <dc:creator>MERZOUK Fawzi</dc:creator>
  <cp:keywords>FOR OFFICIAL USE ONLY</cp:keywords>
  <cp:lastModifiedBy>AHADI Ahmad</cp:lastModifiedBy>
  <cp:revision>20</cp:revision>
  <cp:lastPrinted>2024-10-29T14:15:00Z</cp:lastPrinted>
  <dcterms:created xsi:type="dcterms:W3CDTF">2024-10-29T14:14:00Z</dcterms:created>
  <dcterms:modified xsi:type="dcterms:W3CDTF">2024-11-06T10:48:00Z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