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Bdr>
          <w:bottom w:val="single" w:sz="4" w:space="10" w:color="auto"/>
        </w:pBdr>
        <w:bidi w:val="0"/>
        <w:spacing w:after="120"/>
        <w:rPr>
          <w:b/>
          <w:sz w:val="32"/>
          <w:szCs w:val="40"/>
        </w:rPr>
      </w:pPr>
      <w:r>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4853162C"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pPr>
        <w:bidi w:val="0"/>
        <w:rPr>
          <w:rFonts w:ascii="Arial Black" w:hAnsi="Arial Black"/>
          <w:caps/>
          <w:sz w:val="15"/>
          <w:szCs w:val="15"/>
        </w:rPr>
      </w:pPr>
      <w:bookmarkStart w:id="0" w:name="Code"/>
      <w:bookmarkEnd w:id="0"/>
      <w:r>
        <w:rPr>
          <w:rFonts w:ascii="Arial Black" w:hAnsi="Arial Black"/>
          <w:caps/>
          <w:sz w:val="15"/>
          <w:szCs w:val="15"/>
        </w:rPr>
        <w:t>DLT/2/PM/2</w:t>
      </w:r>
    </w:p>
    <w:p>
      <w:pPr>
        <w:jc w:val="right"/>
        <w:rPr>
          <w:rFonts w:asciiTheme="minorHAnsi" w:hAnsiTheme="minorHAnsi" w:cstheme="minorHAnsi"/>
          <w:b/>
          <w:bCs/>
          <w:caps/>
          <w:sz w:val="15"/>
          <w:szCs w:val="15"/>
        </w:rPr>
      </w:pPr>
      <w:bookmarkStart w:id="1" w:name="Original"/>
      <w:r>
        <w:rPr>
          <w:rFonts w:asciiTheme="minorHAnsi" w:hAnsiTheme="minorHAnsi" w:cstheme="minorHAnsi" w:hint="cs"/>
          <w:b/>
          <w:bCs/>
          <w:caps/>
          <w:sz w:val="15"/>
          <w:szCs w:val="15"/>
          <w:rtl/>
        </w:rPr>
        <w:t>الأصل: بالإنكليزية</w:t>
      </w:r>
    </w:p>
    <w:p>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التاريخ: 28 يوليو 2023</w:t>
      </w:r>
    </w:p>
    <w:bookmarkEnd w:id="2"/>
    <w:p>
      <w:pPr>
        <w:pStyle w:val="Heading1"/>
      </w:pPr>
      <w:r>
        <w:rPr>
          <w:rFonts w:hint="cs"/>
          <w:rtl/>
        </w:rPr>
        <w:t>اللجنة</w:t>
      </w:r>
      <w:bookmarkStart w:id="3" w:name="_GoBack"/>
      <w:bookmarkEnd w:id="3"/>
      <w:r>
        <w:rPr>
          <w:rFonts w:hint="cs"/>
          <w:rtl/>
        </w:rPr>
        <w:t xml:space="preserve"> التحضيرية للمؤتمر الدبلوماسي المعني بإبرام واعتماد معاهدة بشأن قانون التصاميم</w:t>
      </w:r>
    </w:p>
    <w:p>
      <w:pPr>
        <w:spacing w:after="720"/>
        <w:outlineLvl w:val="1"/>
        <w:rPr>
          <w:rFonts w:asciiTheme="minorHAnsi" w:hAnsiTheme="minorHAnsi" w:cstheme="minorHAnsi"/>
          <w:bCs/>
          <w:sz w:val="24"/>
          <w:szCs w:val="24"/>
        </w:rPr>
      </w:pPr>
      <w:r>
        <w:rPr>
          <w:rFonts w:asciiTheme="minorHAnsi" w:hAnsiTheme="minorHAnsi" w:cstheme="minorHAnsi" w:hint="cs"/>
          <w:bCs/>
          <w:sz w:val="24"/>
          <w:szCs w:val="24"/>
          <w:rtl/>
        </w:rPr>
        <w:t>جنيف، من 9 إلى 11 أكتوبر 2023</w:t>
      </w:r>
    </w:p>
    <w:p>
      <w:pPr>
        <w:spacing w:after="360"/>
        <w:outlineLvl w:val="0"/>
        <w:rPr>
          <w:rFonts w:asciiTheme="minorHAnsi" w:hAnsiTheme="minorHAnsi" w:cstheme="minorHAnsi"/>
          <w:caps/>
          <w:sz w:val="24"/>
        </w:rPr>
      </w:pPr>
      <w:bookmarkStart w:id="4" w:name="TitleOfDoc"/>
      <w:r>
        <w:rPr>
          <w:rFonts w:asciiTheme="minorHAnsi" w:hAnsiTheme="minorHAnsi" w:cstheme="minorHAnsi" w:hint="cs"/>
          <w:caps/>
          <w:sz w:val="28"/>
          <w:szCs w:val="24"/>
          <w:rtl/>
        </w:rPr>
        <w:t>مشروع الأحكام الإدارية والبنود الختامية للمعاهدة المقدّمة إلى المؤتمر الدبلوماسي للنظر فيها</w:t>
      </w:r>
    </w:p>
    <w:p>
      <w:pPr>
        <w:spacing w:after="1040"/>
        <w:rPr>
          <w:rFonts w:asciiTheme="minorHAnsi" w:hAnsiTheme="minorHAnsi" w:cstheme="minorHAnsi"/>
          <w:iCs/>
          <w:rtl/>
        </w:rPr>
      </w:pPr>
      <w:bookmarkStart w:id="5" w:name="Prepared"/>
      <w:bookmarkEnd w:id="4"/>
      <w:bookmarkEnd w:id="5"/>
      <w:r>
        <w:rPr>
          <w:rFonts w:asciiTheme="minorHAnsi" w:hAnsiTheme="minorHAnsi" w:cstheme="minorHAnsi" w:hint="cs"/>
          <w:iCs/>
          <w:rtl/>
        </w:rPr>
        <w:t>وثيقة من إعداد الأمانة</w:t>
      </w:r>
    </w:p>
    <w:p>
      <w:pPr>
        <w:pStyle w:val="ONUMA"/>
        <w:rPr>
          <w:rtl/>
          <w:lang w:bidi="ar-EG"/>
        </w:rPr>
      </w:pPr>
      <w:r>
        <w:rPr>
          <w:rFonts w:hint="cs"/>
          <w:rtl/>
          <w:lang w:bidi="ar-EG"/>
        </w:rPr>
        <w:t xml:space="preserve">قرّرت الجمعية العامة للمنظمة العالمية للملكية الفكرية (الويبو)، في دورتها الخامسة والخمسين التي عُقدت في جنيف في الفترة من 14 إلى 22 يوليو 2022، </w:t>
      </w:r>
      <w:r>
        <w:rPr>
          <w:rtl/>
          <w:lang w:bidi="ar-EG"/>
        </w:rPr>
        <w:t xml:space="preserve">عقد مؤتمر دبلوماسي لإبرام واعتماد معاهدة </w:t>
      </w:r>
      <w:r>
        <w:rPr>
          <w:rFonts w:hint="cs"/>
          <w:rtl/>
          <w:lang w:bidi="ar-EG"/>
        </w:rPr>
        <w:t xml:space="preserve">بشأن </w:t>
      </w:r>
      <w:r>
        <w:rPr>
          <w:rtl/>
          <w:lang w:bidi="ar-EG"/>
        </w:rPr>
        <w:t>قانون التصاميم</w:t>
      </w:r>
      <w:r>
        <w:rPr>
          <w:rFonts w:hint="cs"/>
          <w:rtl/>
          <w:lang w:bidi="ar-EG"/>
        </w:rPr>
        <w:t>. وقررت الجمعية العامة للويبو أيضاً "</w:t>
      </w:r>
      <w:r>
        <w:rPr>
          <w:rtl/>
          <w:lang w:bidi="ar-EG"/>
        </w:rPr>
        <w:t>عقد اجتماع للجنة تحضيرية في النصف الثاني من عام 2023، من أجل وضع الترتيبات اللازمة للمؤتمر الدبلوماسي</w:t>
      </w:r>
      <w:r>
        <w:rPr>
          <w:rFonts w:hint="cs"/>
          <w:rtl/>
          <w:lang w:bidi="ar-EG"/>
        </w:rPr>
        <w:t xml:space="preserve">" </w:t>
      </w:r>
      <w:r>
        <w:t>[…]</w:t>
      </w:r>
      <w:r>
        <w:rPr>
          <w:rFonts w:hint="cs"/>
          <w:rtl/>
        </w:rPr>
        <w:t xml:space="preserve"> </w:t>
      </w:r>
      <w:r>
        <w:rPr>
          <w:rFonts w:hint="cs"/>
          <w:rtl/>
          <w:lang w:bidi="ar-EG"/>
        </w:rPr>
        <w:t xml:space="preserve">والموافقة "على </w:t>
      </w:r>
      <w:r>
        <w:rPr>
          <w:rtl/>
          <w:lang w:bidi="ar-EG"/>
        </w:rPr>
        <w:t>الاقتراح الأساسي للأحكام الإدارية و</w:t>
      </w:r>
      <w:r>
        <w:rPr>
          <w:rFonts w:hint="cs"/>
          <w:rtl/>
          <w:lang w:bidi="ar-EG"/>
        </w:rPr>
        <w:t xml:space="preserve">البنود </w:t>
      </w:r>
      <w:r>
        <w:rPr>
          <w:rtl/>
          <w:lang w:bidi="ar-EG"/>
        </w:rPr>
        <w:t>الختامية للمعاهدة</w:t>
      </w:r>
      <w:r>
        <w:rPr>
          <w:rFonts w:hint="cs"/>
          <w:rtl/>
          <w:lang w:bidi="ar-EG"/>
        </w:rPr>
        <w:t xml:space="preserve">" (انظر الفقرة 309 من الوثيقة </w:t>
      </w:r>
      <w:r>
        <w:rPr>
          <w:lang w:val="de-CH" w:bidi="ar-EG"/>
        </w:rPr>
        <w:t>WO/GA/55/12</w:t>
      </w:r>
      <w:r>
        <w:rPr>
          <w:rFonts w:hint="cs"/>
          <w:rtl/>
          <w:lang w:val="de-CH" w:bidi="ar-EG"/>
        </w:rPr>
        <w:t>).</w:t>
      </w:r>
    </w:p>
    <w:p>
      <w:pPr>
        <w:pStyle w:val="ONUMA"/>
        <w:ind w:left="5534"/>
        <w:rPr>
          <w:i/>
          <w:iCs/>
        </w:rPr>
      </w:pPr>
      <w:r>
        <w:rPr>
          <w:rFonts w:hint="cs"/>
          <w:i/>
          <w:iCs/>
          <w:rtl/>
        </w:rPr>
        <w:t xml:space="preserve">إن اللجنة التحضيرية مدعوة إلى النظر في الأحكام الإدارية والبنود الختامية والموافقة عليها، كما ترد في الوثيقة </w:t>
      </w:r>
      <w:r>
        <w:rPr>
          <w:i/>
          <w:iCs/>
        </w:rPr>
        <w:t>DLT/2/PM/2</w:t>
      </w:r>
      <w:r>
        <w:rPr>
          <w:rFonts w:hint="cs"/>
          <w:i/>
          <w:iCs/>
          <w:rtl/>
        </w:rPr>
        <w:t>، كي يواصل المؤتمر الدبلوماسي النظر فيها.</w:t>
      </w:r>
    </w:p>
    <w:p>
      <w:pPr>
        <w:pStyle w:val="BodyText"/>
        <w:rPr>
          <w:rtl/>
          <w:lang w:bidi="ar-EG"/>
        </w:rPr>
        <w:sectPr>
          <w:headerReference w:type="default" r:id="rId12"/>
          <w:endnotePr>
            <w:numFmt w:val="decimal"/>
          </w:endnotePr>
          <w:pgSz w:w="11907" w:h="16840" w:code="9"/>
          <w:pgMar w:top="567" w:right="1418" w:bottom="1418" w:left="1134" w:header="510" w:footer="1021" w:gutter="0"/>
          <w:cols w:space="720"/>
          <w:titlePg/>
          <w:bidi/>
          <w:rtlGutter/>
          <w:docGrid w:linePitch="299"/>
        </w:sectPr>
      </w:pPr>
    </w:p>
    <w:p>
      <w:pPr>
        <w:pStyle w:val="BodyText"/>
        <w:jc w:val="center"/>
        <w:rPr>
          <w:sz w:val="26"/>
          <w:szCs w:val="26"/>
          <w:u w:val="single"/>
          <w:rtl/>
          <w:lang w:val="fr-CH" w:bidi="ar-EG"/>
        </w:rPr>
      </w:pPr>
      <w:r>
        <w:rPr>
          <w:rFonts w:hint="cs"/>
          <w:sz w:val="26"/>
          <w:szCs w:val="26"/>
          <w:u w:val="single"/>
          <w:rtl/>
          <w:lang w:val="fr-CH" w:bidi="ar-EG"/>
        </w:rPr>
        <w:lastRenderedPageBreak/>
        <w:t>مشروع الأحكام الإدارية والبنود الختامية لإبرام معاهدة بشأن قانون التصاميم</w:t>
      </w:r>
    </w:p>
    <w:p>
      <w:pPr>
        <w:pStyle w:val="BodyText"/>
        <w:jc w:val="center"/>
        <w:rPr>
          <w:b/>
          <w:bCs/>
          <w:sz w:val="24"/>
          <w:szCs w:val="24"/>
          <w:rtl/>
        </w:rPr>
      </w:pPr>
      <w:r>
        <w:rPr>
          <w:b/>
          <w:bCs/>
          <w:sz w:val="24"/>
          <w:szCs w:val="24"/>
          <w:rtl/>
        </w:rPr>
        <w:t>المحتويات</w:t>
      </w:r>
    </w:p>
    <w:p>
      <w:pPr>
        <w:pStyle w:val="BodyText"/>
        <w:rPr>
          <w:rtl/>
        </w:rPr>
      </w:pPr>
      <w:r>
        <w:rPr>
          <w:rFonts w:hint="cs"/>
          <w:rtl/>
        </w:rPr>
        <w:t>المادة 24:</w:t>
      </w:r>
      <w:r>
        <w:rPr>
          <w:rFonts w:hint="cs"/>
          <w:rtl/>
        </w:rPr>
        <w:tab/>
        <w:t>الجمعية</w:t>
      </w:r>
    </w:p>
    <w:p>
      <w:pPr>
        <w:pStyle w:val="BodyText"/>
        <w:rPr>
          <w:rtl/>
        </w:rPr>
      </w:pPr>
      <w:r>
        <w:rPr>
          <w:rFonts w:hint="cs"/>
          <w:rtl/>
        </w:rPr>
        <w:t xml:space="preserve">المادة 25: </w:t>
      </w:r>
      <w:r>
        <w:rPr>
          <w:rFonts w:hint="cs"/>
          <w:rtl/>
        </w:rPr>
        <w:tab/>
        <w:t>المكتب الدولي</w:t>
      </w:r>
    </w:p>
    <w:p>
      <w:pPr>
        <w:pStyle w:val="BodyText"/>
        <w:rPr>
          <w:rtl/>
        </w:rPr>
      </w:pPr>
      <w:r>
        <w:rPr>
          <w:rFonts w:hint="cs"/>
          <w:rtl/>
        </w:rPr>
        <w:t xml:space="preserve">المادة 26: </w:t>
      </w:r>
      <w:r>
        <w:rPr>
          <w:rtl/>
        </w:rPr>
        <w:tab/>
      </w:r>
      <w:r>
        <w:rPr>
          <w:rFonts w:hint="cs"/>
          <w:rtl/>
        </w:rPr>
        <w:t>المراجعة</w:t>
      </w:r>
    </w:p>
    <w:p>
      <w:pPr>
        <w:pStyle w:val="BodyText"/>
        <w:rPr>
          <w:rtl/>
        </w:rPr>
      </w:pPr>
      <w:r>
        <w:rPr>
          <w:rFonts w:hint="cs"/>
          <w:rtl/>
        </w:rPr>
        <w:t>المادة 27:</w:t>
      </w:r>
      <w:r>
        <w:rPr>
          <w:rFonts w:hint="cs"/>
          <w:rtl/>
        </w:rPr>
        <w:tab/>
        <w:t>أطراف المعاهدة</w:t>
      </w:r>
    </w:p>
    <w:p>
      <w:pPr>
        <w:pStyle w:val="BodyText"/>
        <w:rPr>
          <w:rtl/>
        </w:rPr>
      </w:pPr>
      <w:r>
        <w:rPr>
          <w:rFonts w:hint="cs"/>
          <w:rtl/>
        </w:rPr>
        <w:t>المادة 28:</w:t>
      </w:r>
      <w:r>
        <w:rPr>
          <w:rFonts w:hint="cs"/>
          <w:rtl/>
        </w:rPr>
        <w:tab/>
        <w:t>دخول المعاهدة حيز التنفيذ؛ والتاريخ الفعلي للتصديق والانضمام</w:t>
      </w:r>
    </w:p>
    <w:p>
      <w:pPr>
        <w:pStyle w:val="BodyText"/>
        <w:rPr>
          <w:rtl/>
        </w:rPr>
      </w:pPr>
      <w:r>
        <w:rPr>
          <w:rFonts w:hint="cs"/>
          <w:rtl/>
        </w:rPr>
        <w:t>المادة 29:</w:t>
      </w:r>
      <w:r>
        <w:rPr>
          <w:rFonts w:hint="cs"/>
          <w:rtl/>
        </w:rPr>
        <w:tab/>
        <w:t xml:space="preserve"> التحفظات</w:t>
      </w:r>
    </w:p>
    <w:p>
      <w:pPr>
        <w:pStyle w:val="BodyText"/>
        <w:rPr>
          <w:rtl/>
        </w:rPr>
      </w:pPr>
      <w:r>
        <w:rPr>
          <w:rFonts w:hint="cs"/>
          <w:rtl/>
        </w:rPr>
        <w:t>المادة 30:</w:t>
      </w:r>
      <w:r>
        <w:rPr>
          <w:rFonts w:hint="cs"/>
          <w:rtl/>
        </w:rPr>
        <w:tab/>
        <w:t xml:space="preserve">نقض المعاهدة </w:t>
      </w:r>
    </w:p>
    <w:p>
      <w:pPr>
        <w:pStyle w:val="BodyText"/>
        <w:rPr>
          <w:rtl/>
        </w:rPr>
      </w:pPr>
      <w:r>
        <w:rPr>
          <w:rFonts w:hint="cs"/>
          <w:rtl/>
        </w:rPr>
        <w:t>المادة 31:</w:t>
      </w:r>
      <w:r>
        <w:rPr>
          <w:rFonts w:hint="cs"/>
          <w:rtl/>
        </w:rPr>
        <w:tab/>
        <w:t>لغات المعاهدة وتوقيعها</w:t>
      </w:r>
    </w:p>
    <w:p>
      <w:pPr>
        <w:pStyle w:val="BodyText"/>
      </w:pPr>
      <w:r>
        <w:rPr>
          <w:rFonts w:hint="cs"/>
          <w:rtl/>
        </w:rPr>
        <w:t>المادة 32:</w:t>
      </w:r>
      <w:r>
        <w:rPr>
          <w:rFonts w:hint="cs"/>
          <w:rtl/>
        </w:rPr>
        <w:tab/>
        <w:t>أمين الإيداع</w:t>
      </w:r>
      <w:r>
        <w:rPr>
          <w:rtl/>
        </w:rPr>
        <w:br w:type="page"/>
      </w:r>
    </w:p>
    <w:p>
      <w:pPr>
        <w:pStyle w:val="BodyText"/>
        <w:jc w:val="center"/>
        <w:rPr>
          <w:b/>
          <w:bCs/>
          <w:rtl/>
        </w:rPr>
      </w:pPr>
      <w:r>
        <w:rPr>
          <w:b/>
          <w:bCs/>
          <w:rtl/>
        </w:rPr>
        <w:lastRenderedPageBreak/>
        <w:t>المادة</w:t>
      </w:r>
      <w:r>
        <w:rPr>
          <w:rFonts w:hint="cs"/>
          <w:b/>
          <w:bCs/>
          <w:rtl/>
        </w:rPr>
        <w:t xml:space="preserve"> 24</w:t>
      </w:r>
      <w:r>
        <w:rPr>
          <w:b/>
          <w:bCs/>
          <w:rtl/>
        </w:rPr>
        <w:br/>
      </w:r>
      <w:r>
        <w:rPr>
          <w:rFonts w:hint="cs"/>
          <w:b/>
          <w:bCs/>
          <w:rtl/>
        </w:rPr>
        <w:t>الجمعية</w:t>
      </w:r>
    </w:p>
    <w:p>
      <w:pPr>
        <w:pStyle w:val="BodyText"/>
        <w:rPr>
          <w:rtl/>
        </w:rPr>
      </w:pPr>
      <w:r>
        <w:rPr>
          <w:rFonts w:hint="cs"/>
          <w:rtl/>
        </w:rPr>
        <w:t>(1)</w:t>
      </w:r>
      <w:r>
        <w:rPr>
          <w:rFonts w:hint="cs"/>
          <w:rtl/>
        </w:rPr>
        <w:tab/>
        <w:t>[تكوين الجمعية] (أ) تكون للأطراف المتعاقدة جمعية.</w:t>
      </w:r>
    </w:p>
    <w:p>
      <w:pPr>
        <w:pStyle w:val="BodyText"/>
        <w:rPr>
          <w:rtl/>
        </w:rPr>
      </w:pPr>
      <w:r>
        <w:rPr>
          <w:rFonts w:hint="cs"/>
          <w:rtl/>
        </w:rPr>
        <w:t>(ب)</w:t>
      </w:r>
      <w:r>
        <w:rPr>
          <w:rFonts w:hint="cs"/>
          <w:rtl/>
        </w:rPr>
        <w:tab/>
        <w:t>يكون كل طرف متعاقد ممثلاً في الجمعية بمندوب واحد يجوز أن يساعده مندوبون مناوبون ومستشارون وخبراء. ولا يمثل كل مندوب إلا طرفاً متعاقداً واحداً.</w:t>
      </w:r>
    </w:p>
    <w:p>
      <w:pPr>
        <w:pStyle w:val="BodyText"/>
        <w:ind w:firstLine="567"/>
        <w:rPr>
          <w:rtl/>
        </w:rPr>
      </w:pPr>
      <w:r>
        <w:rPr>
          <w:rFonts w:hint="cs"/>
          <w:b/>
          <w:bCs/>
          <w:rtl/>
          <w:lang w:bidi="ar-EG"/>
        </w:rPr>
        <w:t>[</w:t>
      </w:r>
      <w:r>
        <w:rPr>
          <w:rFonts w:hint="cs"/>
          <w:rtl/>
          <w:lang w:bidi="ar-EG"/>
        </w:rPr>
        <w:t xml:space="preserve">(ج) </w:t>
      </w:r>
      <w:r>
        <w:rPr>
          <w:rFonts w:hint="cs"/>
          <w:rtl/>
        </w:rPr>
        <w:t>الخيار 1</w:t>
      </w:r>
    </w:p>
    <w:p>
      <w:pPr>
        <w:pStyle w:val="BodyText"/>
        <w:ind w:firstLine="567"/>
        <w:rPr>
          <w:rtl/>
        </w:rPr>
      </w:pPr>
      <w:r>
        <w:rPr>
          <w:rFonts w:hint="cs"/>
          <w:b/>
          <w:bCs/>
          <w:rtl/>
        </w:rPr>
        <w:t>[</w:t>
      </w:r>
      <w:r>
        <w:rPr>
          <w:rtl/>
        </w:rPr>
        <w:t xml:space="preserve">يتحمل </w:t>
      </w:r>
      <w:r>
        <w:rPr>
          <w:rFonts w:hint="cs"/>
          <w:rtl/>
        </w:rPr>
        <w:t>ال</w:t>
      </w:r>
      <w:r>
        <w:rPr>
          <w:rtl/>
        </w:rPr>
        <w:t>طرف المتعاقد نفقات الوفد الذي عينه</w:t>
      </w:r>
      <w:r>
        <w:t>.</w:t>
      </w:r>
      <w:r>
        <w:rPr>
          <w:rtl/>
        </w:rPr>
        <w:t xml:space="preserve"> ويجوز للجمعية أن تطلب إلى </w:t>
      </w:r>
      <w:r>
        <w:rPr>
          <w:rFonts w:hint="cs"/>
          <w:rtl/>
        </w:rPr>
        <w:t xml:space="preserve">المنظمة </w:t>
      </w:r>
      <w:r>
        <w:rPr>
          <w:rtl/>
        </w:rPr>
        <w:t>أن تمنح مساعدة مالية لتيسير اشتراك وفود الأطراف المتعاقدة التي تعد</w:t>
      </w:r>
      <w:r>
        <w:rPr>
          <w:rFonts w:hint="cs"/>
          <w:rtl/>
        </w:rPr>
        <w:t>ّ</w:t>
      </w:r>
      <w:r>
        <w:rPr>
          <w:rtl/>
        </w:rPr>
        <w:t xml:space="preserve"> من البلدان النامية وفقا للممارسة التي تتبعها الجمعية العامة للأمم المتحدة أو من </w:t>
      </w:r>
      <w:r>
        <w:rPr>
          <w:rFonts w:hint="cs"/>
          <w:rtl/>
        </w:rPr>
        <w:t xml:space="preserve">البلدان الأقلّ نموا أو من </w:t>
      </w:r>
      <w:r>
        <w:rPr>
          <w:rtl/>
        </w:rPr>
        <w:t>البلدان المنتقلة إلى نظام الاقتصاد الحر.</w:t>
      </w:r>
      <w:r>
        <w:rPr>
          <w:rFonts w:hint="cs"/>
          <w:b/>
          <w:bCs/>
          <w:rtl/>
        </w:rPr>
        <w:t>]</w:t>
      </w:r>
    </w:p>
    <w:p>
      <w:pPr>
        <w:pStyle w:val="BodyText"/>
        <w:ind w:firstLine="567"/>
        <w:rPr>
          <w:rtl/>
        </w:rPr>
      </w:pPr>
      <w:r>
        <w:rPr>
          <w:rFonts w:hint="cs"/>
          <w:rtl/>
          <w:lang w:bidi="ar-EG"/>
        </w:rPr>
        <w:t>الخيار</w:t>
      </w:r>
      <w:r>
        <w:rPr>
          <w:rFonts w:hint="cs"/>
          <w:rtl/>
        </w:rPr>
        <w:t xml:space="preserve"> 2</w:t>
      </w:r>
    </w:p>
    <w:p>
      <w:pPr>
        <w:pStyle w:val="BodyText"/>
        <w:ind w:firstLine="567"/>
        <w:rPr>
          <w:rtl/>
        </w:rPr>
      </w:pPr>
      <w:r>
        <w:rPr>
          <w:rFonts w:hint="cs"/>
          <w:b/>
          <w:bCs/>
          <w:rtl/>
        </w:rPr>
        <w:t>[</w:t>
      </w:r>
      <w:r>
        <w:rPr>
          <w:rFonts w:hint="cs"/>
          <w:rtl/>
          <w:lang w:bidi="ar-EG"/>
        </w:rPr>
        <w:t>ت</w:t>
      </w:r>
      <w:r>
        <w:rPr>
          <w:rtl/>
          <w:lang w:bidi="ar-EG"/>
        </w:rPr>
        <w:t>منح</w:t>
      </w:r>
      <w:r>
        <w:rPr>
          <w:rtl/>
        </w:rPr>
        <w:t xml:space="preserve"> </w:t>
      </w:r>
      <w:r>
        <w:rPr>
          <w:rFonts w:hint="cs"/>
          <w:rtl/>
        </w:rPr>
        <w:t xml:space="preserve">المنظمة </w:t>
      </w:r>
      <w:r>
        <w:rPr>
          <w:rtl/>
        </w:rPr>
        <w:t xml:space="preserve">المساعدة المالية المناسبة للأطراف المتعاقدة التي تعدّ من البلدان النامية </w:t>
      </w:r>
      <w:r>
        <w:rPr>
          <w:rFonts w:hint="cs"/>
          <w:rtl/>
        </w:rPr>
        <w:t>أ</w:t>
      </w:r>
      <w:r>
        <w:rPr>
          <w:rtl/>
        </w:rPr>
        <w:t>و</w:t>
      </w:r>
      <w:r>
        <w:rPr>
          <w:rFonts w:hint="cs"/>
          <w:rtl/>
        </w:rPr>
        <w:t xml:space="preserve"> من </w:t>
      </w:r>
      <w:r>
        <w:rPr>
          <w:rtl/>
        </w:rPr>
        <w:t xml:space="preserve">البلدان الأقل نموا أو من البلدان المنتقلة إلى نظام الاقتصاد الحر من أجل تيسير مشاركة </w:t>
      </w:r>
      <w:r>
        <w:rPr>
          <w:rFonts w:hint="cs"/>
          <w:rtl/>
        </w:rPr>
        <w:t>مندوب</w:t>
      </w:r>
      <w:r>
        <w:rPr>
          <w:rtl/>
        </w:rPr>
        <w:t xml:space="preserve"> واحد على الأقل </w:t>
      </w:r>
      <w:r>
        <w:rPr>
          <w:rFonts w:hint="cs"/>
          <w:rtl/>
        </w:rPr>
        <w:t xml:space="preserve">لذلك الطرف المتعاقد </w:t>
      </w:r>
      <w:r>
        <w:rPr>
          <w:rtl/>
        </w:rPr>
        <w:t xml:space="preserve">في جميع الدورات العادية والاستثنائية للجمعية أو فيما يرتبط </w:t>
      </w:r>
      <w:r>
        <w:rPr>
          <w:rFonts w:hint="cs"/>
          <w:rtl/>
        </w:rPr>
        <w:t>بال</w:t>
      </w:r>
      <w:r>
        <w:rPr>
          <w:rtl/>
        </w:rPr>
        <w:t>معاهدة و</w:t>
      </w:r>
      <w:r>
        <w:rPr>
          <w:rFonts w:hint="cs"/>
          <w:rtl/>
        </w:rPr>
        <w:t>ا</w:t>
      </w:r>
      <w:r>
        <w:rPr>
          <w:rtl/>
        </w:rPr>
        <w:t>ل</w:t>
      </w:r>
      <w:r>
        <w:rPr>
          <w:rFonts w:hint="cs"/>
          <w:rtl/>
        </w:rPr>
        <w:t>ل</w:t>
      </w:r>
      <w:r>
        <w:rPr>
          <w:rtl/>
        </w:rPr>
        <w:t>ائح</w:t>
      </w:r>
      <w:r>
        <w:rPr>
          <w:rFonts w:hint="cs"/>
          <w:rtl/>
        </w:rPr>
        <w:t>ة</w:t>
      </w:r>
      <w:r>
        <w:rPr>
          <w:rtl/>
        </w:rPr>
        <w:t xml:space="preserve"> التنفيذية من اجتماع ما بين الدورات أو فريق عامل أو مؤتمر مراجعة أو مؤتمر دبلوماسي.</w:t>
      </w:r>
      <w:r>
        <w:rPr>
          <w:rFonts w:hint="cs"/>
          <w:b/>
          <w:bCs/>
          <w:rtl/>
        </w:rPr>
        <w:t>]]</w:t>
      </w:r>
    </w:p>
    <w:p>
      <w:pPr>
        <w:pStyle w:val="BodyText"/>
        <w:rPr>
          <w:rtl/>
        </w:rPr>
      </w:pPr>
      <w:r>
        <w:rPr>
          <w:rFonts w:hint="cs"/>
          <w:rtl/>
        </w:rPr>
        <w:t>(2)</w:t>
      </w:r>
      <w:r>
        <w:rPr>
          <w:rFonts w:hint="cs"/>
          <w:rtl/>
        </w:rPr>
        <w:tab/>
        <w:t>[مهمات الجمعية] تباشر الجمعية المهمات التالية:</w:t>
      </w:r>
    </w:p>
    <w:p>
      <w:pPr>
        <w:pStyle w:val="BodyText"/>
        <w:ind w:firstLine="567"/>
        <w:rPr>
          <w:rtl/>
        </w:rPr>
      </w:pPr>
      <w:r>
        <w:rPr>
          <w:rFonts w:hint="cs"/>
          <w:rtl/>
        </w:rPr>
        <w:t>"1"</w:t>
      </w:r>
      <w:r>
        <w:rPr>
          <w:rFonts w:hint="cs"/>
          <w:rtl/>
        </w:rPr>
        <w:tab/>
        <w:t>تتناول كل المسائل المتعلقة بتطوير هذه المعاهدة؛</w:t>
      </w:r>
    </w:p>
    <w:p>
      <w:pPr>
        <w:pStyle w:val="BodyText"/>
        <w:ind w:firstLine="567"/>
        <w:rPr>
          <w:b/>
          <w:bCs/>
          <w:rtl/>
        </w:rPr>
      </w:pPr>
      <w:r>
        <w:rPr>
          <w:rFonts w:hint="cs"/>
          <w:b/>
          <w:bCs/>
          <w:rtl/>
        </w:rPr>
        <w:t>[</w:t>
      </w:r>
      <w:r>
        <w:rPr>
          <w:rFonts w:hint="cs"/>
          <w:rtl/>
        </w:rPr>
        <w:t>"2"</w:t>
      </w:r>
      <w:r>
        <w:rPr>
          <w:rFonts w:hint="cs"/>
          <w:rtl/>
        </w:rPr>
        <w:tab/>
        <w:t>وتضع الاستمارات النموذجية الدولية المشار إليها في المادة 23(1)(ب)؛</w:t>
      </w:r>
      <w:r>
        <w:rPr>
          <w:rFonts w:hint="cs"/>
          <w:b/>
          <w:bCs/>
          <w:rtl/>
        </w:rPr>
        <w:t>]</w:t>
      </w:r>
    </w:p>
    <w:p>
      <w:pPr>
        <w:pStyle w:val="BodyText"/>
        <w:ind w:firstLine="567"/>
        <w:rPr>
          <w:rtl/>
        </w:rPr>
      </w:pPr>
      <w:r>
        <w:rPr>
          <w:rFonts w:hint="cs"/>
          <w:rtl/>
        </w:rPr>
        <w:t>"3"</w:t>
      </w:r>
      <w:r>
        <w:rPr>
          <w:rFonts w:hint="cs"/>
          <w:rtl/>
        </w:rPr>
        <w:tab/>
        <w:t>وتعدل اللائحة التنفيذية؛</w:t>
      </w:r>
    </w:p>
    <w:p>
      <w:pPr>
        <w:pStyle w:val="BodyText"/>
        <w:ind w:firstLine="567"/>
        <w:rPr>
          <w:rtl/>
        </w:rPr>
      </w:pPr>
      <w:r>
        <w:rPr>
          <w:rFonts w:hint="cs"/>
          <w:rtl/>
        </w:rPr>
        <w:t>"4"</w:t>
      </w:r>
      <w:r>
        <w:rPr>
          <w:rFonts w:hint="cs"/>
          <w:rtl/>
        </w:rPr>
        <w:tab/>
        <w:t>وتحدد الشروط المتعلقة بتاريخ بدء العمل بتعديل مشار إليه في البند"3"؛</w:t>
      </w:r>
    </w:p>
    <w:p>
      <w:pPr>
        <w:pStyle w:val="BodyText"/>
        <w:ind w:firstLine="567"/>
        <w:rPr>
          <w:rtl/>
        </w:rPr>
      </w:pPr>
      <w:r>
        <w:rPr>
          <w:rFonts w:hint="cs"/>
          <w:rtl/>
        </w:rPr>
        <w:t>"5"</w:t>
      </w:r>
      <w:r>
        <w:rPr>
          <w:rFonts w:hint="cs"/>
          <w:rtl/>
        </w:rPr>
        <w:tab/>
        <w:t>وترصد، في كل دورة عادية، المساعدة التقنية الموفَّرة بناء على هذه المعاهدة</w:t>
      </w:r>
      <w:r>
        <w:rPr>
          <w:vertAlign w:val="superscript"/>
          <w:rtl/>
        </w:rPr>
        <w:footnoteReference w:id="2"/>
      </w:r>
      <w:r>
        <w:rPr>
          <w:rFonts w:hint="cs"/>
          <w:rtl/>
        </w:rPr>
        <w:t>؛</w:t>
      </w:r>
    </w:p>
    <w:p>
      <w:pPr>
        <w:pStyle w:val="BodyText"/>
        <w:ind w:firstLine="567"/>
        <w:rPr>
          <w:rtl/>
        </w:rPr>
      </w:pPr>
      <w:r>
        <w:rPr>
          <w:rFonts w:hint="cs"/>
          <w:rtl/>
        </w:rPr>
        <w:t>"6"</w:t>
      </w:r>
      <w:r>
        <w:rPr>
          <w:rFonts w:hint="cs"/>
          <w:rtl/>
        </w:rPr>
        <w:tab/>
        <w:t>وتؤدي أية وظائف مناسبة أخرى لتنفيذ أحكام هذه المعاهدة.</w:t>
      </w:r>
    </w:p>
    <w:p>
      <w:pPr>
        <w:pStyle w:val="BodyText"/>
        <w:rPr>
          <w:rtl/>
        </w:rPr>
      </w:pPr>
      <w:r>
        <w:rPr>
          <w:rFonts w:hint="cs"/>
          <w:rtl/>
        </w:rPr>
        <w:t>(3)</w:t>
      </w:r>
      <w:r>
        <w:rPr>
          <w:rFonts w:hint="cs"/>
          <w:rtl/>
        </w:rPr>
        <w:tab/>
        <w:t>[النصاب القانوني]  (أ) يت</w:t>
      </w:r>
      <w:r>
        <w:rPr>
          <w:rtl/>
        </w:rPr>
        <w:t>كون النصاب القانوني من نصف عدد أعضاء الجمعية التي تكون دولاً</w:t>
      </w:r>
      <w:r>
        <w:rPr>
          <w:rFonts w:hint="cs"/>
          <w:rtl/>
        </w:rPr>
        <w:t>.</w:t>
      </w:r>
    </w:p>
    <w:p>
      <w:pPr>
        <w:pStyle w:val="BodyText"/>
        <w:ind w:firstLine="567"/>
        <w:rPr>
          <w:rtl/>
        </w:rPr>
      </w:pPr>
      <w:r>
        <w:rPr>
          <w:rFonts w:hint="cs"/>
          <w:rtl/>
        </w:rPr>
        <w:t>(ب)</w:t>
      </w:r>
      <w:r>
        <w:rPr>
          <w:rFonts w:hint="cs"/>
          <w:rtl/>
        </w:rPr>
        <w:tab/>
        <w:t>ب</w:t>
      </w:r>
      <w:r>
        <w:rPr>
          <w:rtl/>
        </w:rPr>
        <w:t>الرغم من الفقرة الفرعية (أ)، يجوز للجمعية أن تتخذ قراراتها إذا كان عدد أعضاء الجمعية من الدول الممثلة في إحدى الدورات أقل من نصف عدد أعضاء الجمعية التي تكون دول</w:t>
      </w:r>
      <w:r>
        <w:rPr>
          <w:rFonts w:hint="cs"/>
          <w:rtl/>
        </w:rPr>
        <w:t>ً</w:t>
      </w:r>
      <w:r>
        <w:rPr>
          <w:rtl/>
        </w:rPr>
        <w:t>ا ولكنه يعادل ثلث أعضاء الجمعية التي تكون دولاً أو يزيد عليه. ومع ذلك، فإن كل تلك القرارات، باستثناء القرارات المتعلِّقة بإجراءات الجمعية، لا تصبح نافذة إلا بعد استيفاء الشروط الواردة فيما بعد. ويبلغ المكتب الدولي تلك القرارات لأعضاء الجمعية التي تكون دولاً ولم تكن ممثلة ويدعوها إلى الإدلاء كتابة بصوتها أو بامتناعها عن التصويت خلال فترة مدتها ثلاثة أشهر تحسب اعتباراً من تاريخ التبليغ. وإذا كان عدد تلك الأعضاء ممن أدلى بصوته أو امتنع عن التصويت بذلك الشكل، عند انقضاء تلك الفترة، يعادل عدد الأعضاء الذي كان مطلوباً لاستكمال النصاب القانوني في الدورة ذاتها، فإن تلك القرارات تصبح نافذة شرط الحصول في الوقت نفسه على الأغلبية المشترطة.</w:t>
      </w:r>
    </w:p>
    <w:p>
      <w:pPr>
        <w:pStyle w:val="BodyText"/>
        <w:rPr>
          <w:rtl/>
        </w:rPr>
      </w:pPr>
      <w:r>
        <w:rPr>
          <w:rFonts w:hint="cs"/>
          <w:rtl/>
        </w:rPr>
        <w:t>(4)</w:t>
      </w:r>
      <w:r>
        <w:rPr>
          <w:rFonts w:hint="cs"/>
          <w:rtl/>
        </w:rPr>
        <w:tab/>
        <w:t>[اتخاذ القرارات في الجمعية] (أ) تسعى الجمعية إلى اتخاذ قراراتها بتوافق الآراء.</w:t>
      </w:r>
    </w:p>
    <w:p>
      <w:pPr>
        <w:pStyle w:val="BodyText"/>
        <w:ind w:firstLine="567"/>
        <w:rPr>
          <w:rtl/>
        </w:rPr>
      </w:pPr>
      <w:r>
        <w:rPr>
          <w:rFonts w:hint="cs"/>
          <w:rtl/>
        </w:rPr>
        <w:t>(ب)</w:t>
      </w:r>
      <w:r>
        <w:rPr>
          <w:rFonts w:hint="cs"/>
          <w:rtl/>
        </w:rPr>
        <w:tab/>
        <w:t xml:space="preserve">في حال استحال الوصول إلى قرار بتوافق الآراء، يبت في المسألة بالتصويت. وفي تلك الحالة، </w:t>
      </w:r>
    </w:p>
    <w:p>
      <w:pPr>
        <w:pStyle w:val="BodyText"/>
        <w:ind w:left="567" w:firstLine="567"/>
      </w:pPr>
      <w:r>
        <w:rPr>
          <w:rtl/>
        </w:rPr>
        <w:t>"1"</w:t>
      </w:r>
      <w:r>
        <w:rPr>
          <w:rFonts w:hint="cs"/>
          <w:rtl/>
        </w:rPr>
        <w:tab/>
      </w:r>
      <w:r>
        <w:rPr>
          <w:rtl/>
        </w:rPr>
        <w:t>لكل طرف متعاقد يكون دولة صوت واحد ولا يصوت إلا باسمه؛</w:t>
      </w:r>
    </w:p>
    <w:p>
      <w:pPr>
        <w:pStyle w:val="BodyText"/>
        <w:ind w:left="567" w:firstLine="567"/>
        <w:rPr>
          <w:rtl/>
        </w:rPr>
      </w:pPr>
      <w:r>
        <w:rPr>
          <w:rtl/>
        </w:rPr>
        <w:t>"2"</w:t>
      </w:r>
      <w:r>
        <w:rPr>
          <w:rFonts w:hint="cs"/>
          <w:rtl/>
        </w:rPr>
        <w:tab/>
      </w:r>
      <w:r>
        <w:rPr>
          <w:rtl/>
        </w:rPr>
        <w:t xml:space="preserve">ويجوز لأي طرف متعاقد يكون منظمة حكومية دولية أن يشترك في التصويت بدلاً من الدول الأعضاء فيه بعدد من الأصوات يعادل عدد الدول الأعضاء فيه والأطراف في هذه المعاهدة. ولا يجوز لأية منظمة حكومية دولية من ذلك </w:t>
      </w:r>
      <w:r>
        <w:rPr>
          <w:rtl/>
        </w:rPr>
        <w:lastRenderedPageBreak/>
        <w:t>القبيل أن تشترك في التصويت إذا مارست أية دولة من الدول الأعضاء فيها حقها في التصويت والعكس صحيح. وعلاوة على ذلك، لا تشترك أية منظمة حكومية دولية من ذلك القبيل في التصويت إذا كانت أية دولة من الدول الأعضاء فيها والأطراف في هذه المعاهدة دولة عضواً في منظمة حكومية دولية أخرى من ذلك القبيل واشتركت تلك المنظمة الحكومية الدولية الأخرى في ذلك التصويت.</w:t>
      </w:r>
    </w:p>
    <w:p>
      <w:pPr>
        <w:pStyle w:val="BodyText"/>
        <w:rPr>
          <w:rtl/>
        </w:rPr>
      </w:pPr>
      <w:r>
        <w:rPr>
          <w:rFonts w:hint="cs"/>
          <w:rtl/>
        </w:rPr>
        <w:t>(5)</w:t>
      </w:r>
      <w:r>
        <w:rPr>
          <w:rFonts w:hint="cs"/>
          <w:rtl/>
        </w:rPr>
        <w:tab/>
        <w:t>[الأغلبية] (أ) تتخذ الجمعية قراراتها بثلثي عدد الأصوات المدلى بها، مع مراعاة المادة 23(2) و(3).</w:t>
      </w:r>
    </w:p>
    <w:p>
      <w:pPr>
        <w:pStyle w:val="BodyText"/>
        <w:ind w:firstLine="567"/>
        <w:rPr>
          <w:rtl/>
        </w:rPr>
      </w:pPr>
      <w:r>
        <w:rPr>
          <w:rFonts w:hint="cs"/>
          <w:rtl/>
        </w:rPr>
        <w:t>(ب)</w:t>
      </w:r>
      <w:r>
        <w:rPr>
          <w:rFonts w:hint="cs"/>
          <w:rtl/>
        </w:rPr>
        <w:tab/>
        <w:t xml:space="preserve">لا تؤخذ في الحسبان إلا الأصوات المدلى بها فعلاً لدى البت في تحقيق الأغلبية المشترطة من عدمه. ولا يعتبر الامتناع عن التصويت بمثابة تصويت. </w:t>
      </w:r>
    </w:p>
    <w:p>
      <w:pPr>
        <w:pStyle w:val="BodyText"/>
        <w:rPr>
          <w:rtl/>
        </w:rPr>
      </w:pPr>
      <w:r>
        <w:rPr>
          <w:rFonts w:hint="cs"/>
          <w:rtl/>
        </w:rPr>
        <w:t>(6)</w:t>
      </w:r>
      <w:r>
        <w:rPr>
          <w:rFonts w:hint="cs"/>
          <w:rtl/>
        </w:rPr>
        <w:tab/>
        <w:t>[الدورات] تجتمع الجمعية بناء على دعوة من المدير العام وفي الفترة والمكان نفسيهما اللذين تجتمع فيهما الجمعية العامة للمنظمة ما لم تنشأ ظروف استثنائية.</w:t>
      </w:r>
    </w:p>
    <w:p>
      <w:pPr>
        <w:pStyle w:val="BodyText"/>
        <w:rPr>
          <w:rtl/>
        </w:rPr>
      </w:pPr>
      <w:r>
        <w:rPr>
          <w:rFonts w:hint="cs"/>
          <w:rtl/>
        </w:rPr>
        <w:t>(7)</w:t>
      </w:r>
      <w:r>
        <w:rPr>
          <w:rFonts w:hint="cs"/>
          <w:rtl/>
        </w:rPr>
        <w:tab/>
        <w:t xml:space="preserve">[النظام الداخلي] تضع الجمعية نظامها الداخلي، بما في ذلك القواعد المتعلقة بالدعوة إلى عقد الدورات الاستثنائية. </w:t>
      </w:r>
    </w:p>
    <w:p>
      <w:pPr>
        <w:pStyle w:val="BodyText"/>
        <w:jc w:val="center"/>
        <w:rPr>
          <w:b/>
          <w:bCs/>
          <w:rtl/>
        </w:rPr>
      </w:pPr>
      <w:r>
        <w:rPr>
          <w:b/>
          <w:bCs/>
          <w:rtl/>
        </w:rPr>
        <w:t>الماد</w:t>
      </w:r>
      <w:r>
        <w:rPr>
          <w:rFonts w:hint="cs"/>
          <w:b/>
          <w:bCs/>
          <w:rtl/>
        </w:rPr>
        <w:t>ة 25</w:t>
      </w:r>
      <w:r>
        <w:rPr>
          <w:b/>
          <w:bCs/>
          <w:rtl/>
        </w:rPr>
        <w:br/>
      </w:r>
      <w:r>
        <w:rPr>
          <w:rFonts w:hint="cs"/>
          <w:b/>
          <w:bCs/>
          <w:rtl/>
        </w:rPr>
        <w:t>المكتب الدولي</w:t>
      </w:r>
    </w:p>
    <w:p>
      <w:pPr>
        <w:pStyle w:val="BodyText"/>
        <w:rPr>
          <w:rtl/>
        </w:rPr>
      </w:pPr>
      <w:r>
        <w:rPr>
          <w:rFonts w:hint="cs"/>
          <w:rtl/>
        </w:rPr>
        <w:t>(1)</w:t>
      </w:r>
      <w:r>
        <w:rPr>
          <w:rFonts w:hint="cs"/>
          <w:rtl/>
        </w:rPr>
        <w:tab/>
        <w:t>[المهمات الإدارية] (أ) يباشر المكتب الدولي المهمات الإدارية المتعلقة بهذه المعاهدة.</w:t>
      </w:r>
    </w:p>
    <w:p>
      <w:pPr>
        <w:pStyle w:val="BodyText"/>
        <w:ind w:firstLine="567"/>
        <w:rPr>
          <w:rtl/>
        </w:rPr>
      </w:pPr>
      <w:r>
        <w:rPr>
          <w:rFonts w:hint="cs"/>
          <w:rtl/>
        </w:rPr>
        <w:t>(ب)</w:t>
      </w:r>
      <w:r>
        <w:rPr>
          <w:rFonts w:hint="cs"/>
          <w:rtl/>
        </w:rPr>
        <w:tab/>
      </w:r>
      <w:r>
        <w:rPr>
          <w:rtl/>
        </w:rPr>
        <w:t xml:space="preserve">يتولى المكتب الدولي بوجه خاص إعداد الاجتماعات ويتكفل </w:t>
      </w:r>
      <w:r>
        <w:rPr>
          <w:rFonts w:hint="cs"/>
          <w:rtl/>
        </w:rPr>
        <w:t>ب</w:t>
      </w:r>
      <w:r>
        <w:rPr>
          <w:rtl/>
        </w:rPr>
        <w:t>أعمال أمانة الجمعية ولجان الخبراء والأفرقة العاملة التي قد تنشئها الجمعية.</w:t>
      </w:r>
    </w:p>
    <w:p>
      <w:pPr>
        <w:pStyle w:val="BodyText"/>
        <w:rPr>
          <w:rtl/>
        </w:rPr>
      </w:pPr>
      <w:r>
        <w:rPr>
          <w:rFonts w:hint="cs"/>
          <w:rtl/>
        </w:rPr>
        <w:t>(2)</w:t>
      </w:r>
      <w:r>
        <w:rPr>
          <w:rFonts w:hint="cs"/>
          <w:rtl/>
        </w:rPr>
        <w:tab/>
        <w:t>[الاجتماعات خلاف دورات الجمعية] يدعو المدير العام أية لجان أو أفرقة عاملة تنشئها الجمعية إلى الاجتماع.</w:t>
      </w:r>
    </w:p>
    <w:p>
      <w:pPr>
        <w:pStyle w:val="BodyText"/>
        <w:rPr>
          <w:rtl/>
        </w:rPr>
      </w:pPr>
      <w:r>
        <w:rPr>
          <w:rFonts w:hint="cs"/>
          <w:rtl/>
        </w:rPr>
        <w:t>(3)</w:t>
      </w:r>
      <w:r>
        <w:rPr>
          <w:rFonts w:hint="cs"/>
          <w:rtl/>
        </w:rPr>
        <w:tab/>
        <w:t>[دور المكتب الدولي في الجمعية والاجتماعات الأخرى] (أ) يشترك المدير العام والأشخاص الذين يعينهم، من غير حق التصويت، في كل اجتماعات الجمعية واللجان والأفرقة العاملة التي تنشئها الجمعية.</w:t>
      </w:r>
    </w:p>
    <w:p>
      <w:pPr>
        <w:pStyle w:val="BodyText"/>
        <w:ind w:firstLine="567"/>
        <w:rPr>
          <w:rtl/>
        </w:rPr>
      </w:pPr>
      <w:r>
        <w:rPr>
          <w:rFonts w:hint="cs"/>
          <w:rtl/>
        </w:rPr>
        <w:t>(ب)</w:t>
      </w:r>
      <w:r>
        <w:rPr>
          <w:rFonts w:hint="cs"/>
          <w:rtl/>
        </w:rPr>
        <w:tab/>
        <w:t xml:space="preserve">يكون المدير العام أو الموظف الذي يعينه المدير العام أمين الجمعية واللجان والأفرقة العاملة المشار إليها في الفقرة الفرعية (أ) بحكم المنصب. </w:t>
      </w:r>
    </w:p>
    <w:p>
      <w:pPr>
        <w:pStyle w:val="BodyText"/>
        <w:rPr>
          <w:rtl/>
        </w:rPr>
      </w:pPr>
      <w:r>
        <w:rPr>
          <w:rFonts w:hint="cs"/>
          <w:rtl/>
        </w:rPr>
        <w:t>(4)</w:t>
      </w:r>
      <w:r>
        <w:rPr>
          <w:rFonts w:hint="cs"/>
          <w:rtl/>
        </w:rPr>
        <w:tab/>
        <w:t>[المؤتمرات] (أ) يتخذ المكتب الدولي الإجراءات التحضيرية لعقد أي مؤتمر للمراجعة، وفقاً لتوجيهات الجمعية.</w:t>
      </w:r>
    </w:p>
    <w:p>
      <w:pPr>
        <w:pStyle w:val="BodyText"/>
        <w:ind w:firstLine="567"/>
        <w:rPr>
          <w:rtl/>
        </w:rPr>
      </w:pPr>
      <w:r>
        <w:rPr>
          <w:rFonts w:hint="cs"/>
          <w:rtl/>
        </w:rPr>
        <w:t>(ب)</w:t>
      </w:r>
      <w:r>
        <w:rPr>
          <w:rFonts w:hint="cs"/>
          <w:rtl/>
        </w:rPr>
        <w:tab/>
        <w:t>يجوز للمكتب الدولي أن يتشاور مع الدول الأعضاء في المنظمة والمنظمات الحكومية الدولية والمنظمات الدولية والوطنية غير الحكومية بشأن الإجراءات التحضيرية المذكورة.</w:t>
      </w:r>
    </w:p>
    <w:p>
      <w:pPr>
        <w:pStyle w:val="BodyText"/>
        <w:ind w:firstLine="567"/>
        <w:rPr>
          <w:rtl/>
        </w:rPr>
      </w:pPr>
      <w:r>
        <w:rPr>
          <w:rFonts w:hint="cs"/>
          <w:rtl/>
        </w:rPr>
        <w:t>(ج)</w:t>
      </w:r>
      <w:r>
        <w:rPr>
          <w:rFonts w:hint="cs"/>
          <w:rtl/>
        </w:rPr>
        <w:tab/>
        <w:t>يشترك المدير العام والأشخاص الذين يعينهم في المناقشات التي تدور في مؤتمرات المراجعة من غير حق التصويت فيها.</w:t>
      </w:r>
    </w:p>
    <w:p>
      <w:pPr>
        <w:pStyle w:val="BodyText"/>
        <w:rPr>
          <w:rtl/>
        </w:rPr>
      </w:pPr>
      <w:r>
        <w:rPr>
          <w:rFonts w:hint="cs"/>
          <w:rtl/>
        </w:rPr>
        <w:t>(5)</w:t>
      </w:r>
      <w:r>
        <w:rPr>
          <w:rFonts w:hint="cs"/>
          <w:rtl/>
        </w:rPr>
        <w:tab/>
        <w:t>[المهمات الأخرى] يباشر المكتب الدولي أية مهمات أخرى تسند إليه فيما يتعلق بهذه المعاهدة.</w:t>
      </w:r>
    </w:p>
    <w:p>
      <w:pPr>
        <w:pStyle w:val="BodyText"/>
        <w:jc w:val="center"/>
        <w:rPr>
          <w:rtl/>
        </w:rPr>
      </w:pPr>
      <w:r>
        <w:rPr>
          <w:b/>
          <w:bCs/>
          <w:rtl/>
        </w:rPr>
        <w:t>المادة</w:t>
      </w:r>
      <w:r>
        <w:rPr>
          <w:rFonts w:hint="cs"/>
          <w:b/>
          <w:bCs/>
          <w:rtl/>
        </w:rPr>
        <w:t xml:space="preserve"> 26</w:t>
      </w:r>
      <w:r>
        <w:rPr>
          <w:b/>
          <w:bCs/>
          <w:rtl/>
        </w:rPr>
        <w:br/>
      </w:r>
      <w:r>
        <w:rPr>
          <w:rFonts w:hint="cs"/>
          <w:b/>
          <w:bCs/>
          <w:rtl/>
        </w:rPr>
        <w:t>المراجعة</w:t>
      </w:r>
    </w:p>
    <w:p>
      <w:pPr>
        <w:pStyle w:val="BodyText"/>
        <w:rPr>
          <w:rtl/>
        </w:rPr>
      </w:pPr>
      <w:r>
        <w:rPr>
          <w:rFonts w:hint="cs"/>
          <w:rtl/>
        </w:rPr>
        <w:t>لا يجوز مراجعة هذه المعاهدة إلا في مؤتمر دبلوماسي. وتقرّر الجمعية الدعوة إلى عقد أي مؤتمر دبلوماسي.</w:t>
      </w:r>
    </w:p>
    <w:p>
      <w:pPr>
        <w:pStyle w:val="BodyText"/>
        <w:jc w:val="center"/>
        <w:rPr>
          <w:b/>
          <w:bCs/>
          <w:rtl/>
        </w:rPr>
      </w:pPr>
      <w:r>
        <w:rPr>
          <w:b/>
          <w:bCs/>
          <w:rtl/>
        </w:rPr>
        <w:t>المادة</w:t>
      </w:r>
      <w:r>
        <w:rPr>
          <w:rFonts w:hint="cs"/>
          <w:b/>
          <w:bCs/>
          <w:rtl/>
        </w:rPr>
        <w:t xml:space="preserve"> 27</w:t>
      </w:r>
      <w:r>
        <w:rPr>
          <w:b/>
          <w:bCs/>
          <w:rtl/>
        </w:rPr>
        <w:br/>
      </w:r>
      <w:r>
        <w:rPr>
          <w:rFonts w:hint="eastAsia"/>
          <w:b/>
          <w:bCs/>
          <w:rtl/>
        </w:rPr>
        <w:t>أطراف</w:t>
      </w:r>
      <w:r>
        <w:rPr>
          <w:b/>
          <w:bCs/>
          <w:rtl/>
        </w:rPr>
        <w:t xml:space="preserve"> </w:t>
      </w:r>
      <w:r>
        <w:rPr>
          <w:rFonts w:hint="eastAsia"/>
          <w:b/>
          <w:bCs/>
          <w:rtl/>
        </w:rPr>
        <w:t>المعاهدة</w:t>
      </w:r>
    </w:p>
    <w:p>
      <w:pPr>
        <w:pStyle w:val="BodyText"/>
        <w:rPr>
          <w:rtl/>
        </w:rPr>
      </w:pPr>
      <w:r>
        <w:rPr>
          <w:rFonts w:hint="cs"/>
          <w:rtl/>
        </w:rPr>
        <w:t>(1)</w:t>
      </w:r>
      <w:r>
        <w:rPr>
          <w:rFonts w:hint="cs"/>
          <w:rtl/>
        </w:rPr>
        <w:tab/>
        <w:t>[الأهلية] يجوز للكيانات التالي ذكرها أن توقع هذه المعاهدة وأن تصبح طرفاً فيها شرط مراعاة الفقرتين (2) و(3) والمادة 28(1) و(3):</w:t>
      </w:r>
    </w:p>
    <w:p>
      <w:pPr>
        <w:pStyle w:val="BodyText"/>
        <w:ind w:left="567" w:firstLine="567"/>
        <w:rPr>
          <w:rtl/>
        </w:rPr>
      </w:pPr>
      <w:r>
        <w:rPr>
          <w:rFonts w:hint="cs"/>
          <w:rtl/>
        </w:rPr>
        <w:t>"1"</w:t>
      </w:r>
      <w:r>
        <w:rPr>
          <w:rFonts w:hint="cs"/>
          <w:rtl/>
        </w:rPr>
        <w:tab/>
        <w:t>أي دولة عضو في المنظمة يجوز تسجيل التصاميم الصناعية أو حمايتها بموجب براءة لدى مكتبها؛</w:t>
      </w:r>
    </w:p>
    <w:p>
      <w:pPr>
        <w:pStyle w:val="BodyText"/>
        <w:ind w:left="567" w:firstLine="567"/>
        <w:rPr>
          <w:rtl/>
        </w:rPr>
      </w:pPr>
      <w:r>
        <w:rPr>
          <w:rFonts w:hint="cs"/>
          <w:rtl/>
        </w:rPr>
        <w:lastRenderedPageBreak/>
        <w:t>"2"</w:t>
      </w:r>
      <w:r>
        <w:rPr>
          <w:rFonts w:hint="cs"/>
          <w:rtl/>
        </w:rPr>
        <w:tab/>
        <w:t>و</w:t>
      </w:r>
      <w:r>
        <w:rPr>
          <w:rtl/>
        </w:rPr>
        <w:t xml:space="preserve">أية منظمة حكومية دولية لديها مكتب تسجل فيه </w:t>
      </w:r>
      <w:r>
        <w:rPr>
          <w:rFonts w:hint="cs"/>
          <w:rtl/>
        </w:rPr>
        <w:t>التصاميم الصناعية</w:t>
      </w:r>
      <w:r>
        <w:rPr>
          <w:rtl/>
        </w:rPr>
        <w:t xml:space="preserve"> ويسري أثر ذلك التسجيل في الأراضي التي تطبق عليها المعاهدة المنشئة للمنظمة الحكومية الدولية أو في كل الدول الأعضاء فيها أو في الدول الأعضاء فيها التي تكون معينة لذلك الغرض في الطلب، شرط أن تكون كل الدول الأعضاء في المنظمة الحكومية الدولية أعضاء في المنظمة؛</w:t>
      </w:r>
    </w:p>
    <w:p>
      <w:pPr>
        <w:pStyle w:val="BodyText"/>
        <w:ind w:left="567" w:firstLine="567"/>
        <w:rPr>
          <w:rtl/>
        </w:rPr>
      </w:pPr>
      <w:r>
        <w:rPr>
          <w:rFonts w:hint="cs"/>
          <w:rtl/>
        </w:rPr>
        <w:t>"3"</w:t>
      </w:r>
      <w:r>
        <w:rPr>
          <w:rFonts w:hint="cs"/>
          <w:rtl/>
        </w:rPr>
        <w:tab/>
        <w:t>و</w:t>
      </w:r>
      <w:r>
        <w:rPr>
          <w:rtl/>
        </w:rPr>
        <w:t xml:space="preserve">أية دولة عضو في المنظمة ولا يجوز تسجيل </w:t>
      </w:r>
      <w:r>
        <w:rPr>
          <w:rFonts w:hint="cs"/>
          <w:rtl/>
        </w:rPr>
        <w:t>التصاميم الصناعية</w:t>
      </w:r>
      <w:r>
        <w:rPr>
          <w:rtl/>
        </w:rPr>
        <w:t xml:space="preserve"> بالنسبة إليها إلا عن طريق مكتب دولة أخرى محددة وتكون عضواً في المنظمة؛</w:t>
      </w:r>
    </w:p>
    <w:p>
      <w:pPr>
        <w:pStyle w:val="BodyText"/>
        <w:ind w:left="567" w:firstLine="567"/>
        <w:rPr>
          <w:rtl/>
        </w:rPr>
      </w:pPr>
      <w:r>
        <w:rPr>
          <w:rFonts w:hint="cs"/>
          <w:rtl/>
        </w:rPr>
        <w:t>"4"</w:t>
      </w:r>
      <w:r>
        <w:rPr>
          <w:rFonts w:hint="cs"/>
          <w:rtl/>
        </w:rPr>
        <w:tab/>
        <w:t>و</w:t>
      </w:r>
      <w:r>
        <w:rPr>
          <w:rtl/>
        </w:rPr>
        <w:t xml:space="preserve">أية دولة عضو في المنظمة ولا يجوز تسجيل </w:t>
      </w:r>
      <w:r>
        <w:rPr>
          <w:rFonts w:hint="cs"/>
          <w:rtl/>
        </w:rPr>
        <w:t>التصاميم الصناعية</w:t>
      </w:r>
      <w:r>
        <w:rPr>
          <w:rtl/>
        </w:rPr>
        <w:t xml:space="preserve"> بالنسبة إليها إلا عن طريق المكتب التابع لمنظمة حكومية دولية تكون تلك الدولة عضواً فيها؛</w:t>
      </w:r>
    </w:p>
    <w:p>
      <w:pPr>
        <w:pStyle w:val="BodyText"/>
        <w:ind w:left="567" w:firstLine="567"/>
        <w:rPr>
          <w:rtl/>
        </w:rPr>
      </w:pPr>
      <w:r>
        <w:rPr>
          <w:rFonts w:hint="cs"/>
          <w:rtl/>
        </w:rPr>
        <w:t>"5"</w:t>
      </w:r>
      <w:r>
        <w:rPr>
          <w:rFonts w:hint="cs"/>
          <w:rtl/>
        </w:rPr>
        <w:tab/>
        <w:t>و</w:t>
      </w:r>
      <w:r>
        <w:rPr>
          <w:rtl/>
        </w:rPr>
        <w:t xml:space="preserve">أية دولة عضو في المنظمة ولا يجوز تسجيل </w:t>
      </w:r>
      <w:r>
        <w:rPr>
          <w:rFonts w:hint="cs"/>
          <w:rtl/>
        </w:rPr>
        <w:t>التصاميم الصناعية</w:t>
      </w:r>
      <w:r>
        <w:rPr>
          <w:rtl/>
        </w:rPr>
        <w:t xml:space="preserve"> بالنسبة إليها إلا عن طريق مكتب مشترك بين مجموعة من الدول الأعضاء في المنظمة.</w:t>
      </w:r>
    </w:p>
    <w:p>
      <w:pPr>
        <w:pStyle w:val="BodyText"/>
        <w:rPr>
          <w:rtl/>
        </w:rPr>
      </w:pPr>
      <w:r>
        <w:rPr>
          <w:rFonts w:hint="cs"/>
          <w:rtl/>
        </w:rPr>
        <w:t>(2)</w:t>
      </w:r>
      <w:r>
        <w:rPr>
          <w:rFonts w:hint="cs"/>
          <w:rtl/>
        </w:rPr>
        <w:tab/>
        <w:t>[التصديق أو الانضمام] يجوز لأي كيان مشار إليه في الفقرة (1) أن يودع إحدى الوثيقتين التالي ذكرهما:</w:t>
      </w:r>
    </w:p>
    <w:p>
      <w:pPr>
        <w:pStyle w:val="BodyText"/>
        <w:ind w:left="567" w:firstLine="567"/>
        <w:rPr>
          <w:rtl/>
        </w:rPr>
      </w:pPr>
      <w:r>
        <w:rPr>
          <w:rFonts w:hint="cs"/>
          <w:rtl/>
        </w:rPr>
        <w:t>"1"</w:t>
      </w:r>
      <w:r>
        <w:rPr>
          <w:rFonts w:hint="cs"/>
          <w:rtl/>
        </w:rPr>
        <w:tab/>
        <w:t>وثيقة تصديق، إذا وقّع هذه المعاهدة،</w:t>
      </w:r>
    </w:p>
    <w:p>
      <w:pPr>
        <w:pStyle w:val="BodyText"/>
        <w:ind w:left="567" w:firstLine="567"/>
        <w:rPr>
          <w:rtl/>
        </w:rPr>
      </w:pPr>
      <w:r>
        <w:rPr>
          <w:rFonts w:hint="cs"/>
          <w:rtl/>
        </w:rPr>
        <w:t>"2"</w:t>
      </w:r>
      <w:r>
        <w:rPr>
          <w:rFonts w:hint="cs"/>
          <w:rtl/>
        </w:rPr>
        <w:tab/>
        <w:t>وثيقة انضمام، إذا لم يوقّع هذه المعاهدة.</w:t>
      </w:r>
    </w:p>
    <w:p>
      <w:pPr>
        <w:pStyle w:val="BodyText"/>
        <w:rPr>
          <w:rtl/>
        </w:rPr>
      </w:pPr>
      <w:r>
        <w:rPr>
          <w:rFonts w:hint="cs"/>
          <w:rtl/>
        </w:rPr>
        <w:t>(3)</w:t>
      </w:r>
      <w:r>
        <w:rPr>
          <w:rFonts w:hint="cs"/>
          <w:rtl/>
        </w:rPr>
        <w:tab/>
        <w:t xml:space="preserve">[التاريخ الفعلي للإيداع] يكون التاريخ الفعلي لإيداع وثيقة تصديق أو انضمام أحد التواريخ التالي ذكرها: </w:t>
      </w:r>
    </w:p>
    <w:p>
      <w:pPr>
        <w:pStyle w:val="BodyText"/>
        <w:ind w:left="567" w:firstLine="567"/>
      </w:pPr>
      <w:r>
        <w:rPr>
          <w:rtl/>
        </w:rPr>
        <w:t>"1"</w:t>
      </w:r>
      <w:r>
        <w:rPr>
          <w:rFonts w:hint="cs"/>
          <w:rtl/>
        </w:rPr>
        <w:tab/>
      </w:r>
      <w:r>
        <w:rPr>
          <w:rtl/>
        </w:rPr>
        <w:t>بالنسبة إلى دولة مشار إليها في الفقرة (1)"1"، التاريخ الذي تودع فيه وثيقة تلك الدولة؛</w:t>
      </w:r>
    </w:p>
    <w:p>
      <w:pPr>
        <w:pStyle w:val="BodyText"/>
        <w:ind w:left="567" w:firstLine="567"/>
      </w:pPr>
      <w:r>
        <w:rPr>
          <w:rtl/>
        </w:rPr>
        <w:t>"2"</w:t>
      </w:r>
      <w:r>
        <w:rPr>
          <w:rFonts w:hint="cs"/>
          <w:rtl/>
        </w:rPr>
        <w:tab/>
      </w:r>
      <w:r>
        <w:rPr>
          <w:rtl/>
        </w:rPr>
        <w:t>بالنسبة إلى منظمة حكومية دولية، التاريخ الذي تودع فيه وثيقة تلك المنظمة الحكومية الدولية؛</w:t>
      </w:r>
    </w:p>
    <w:p>
      <w:pPr>
        <w:pStyle w:val="BodyText"/>
        <w:ind w:left="567" w:firstLine="567"/>
      </w:pPr>
      <w:r>
        <w:rPr>
          <w:rtl/>
        </w:rPr>
        <w:t>"3"</w:t>
      </w:r>
      <w:r>
        <w:rPr>
          <w:rFonts w:hint="cs"/>
          <w:rtl/>
        </w:rPr>
        <w:tab/>
      </w:r>
      <w:r>
        <w:rPr>
          <w:rtl/>
        </w:rPr>
        <w:t>بالنسبة إلى دولة مشار إليها في الفقرة (1)"3"، التاريخ الذي يستوفي فيه الشرط التالي ذكره: تكون وثيقة تلك الدولة مودعة وتكون وثيقة الدولة الأخرى المحددة مودعة؛</w:t>
      </w:r>
    </w:p>
    <w:p>
      <w:pPr>
        <w:pStyle w:val="BodyText"/>
        <w:ind w:left="567" w:firstLine="567"/>
      </w:pPr>
      <w:r>
        <w:rPr>
          <w:rtl/>
        </w:rPr>
        <w:t>"4"</w:t>
      </w:r>
      <w:r>
        <w:rPr>
          <w:rFonts w:hint="cs"/>
          <w:rtl/>
        </w:rPr>
        <w:tab/>
      </w:r>
      <w:r>
        <w:rPr>
          <w:rtl/>
        </w:rPr>
        <w:t>بالنسبة إلى دولة مشار إليها في الفقرة (1)"4"، التاريخ المطبق بناء على البند "2" أعلاه؛</w:t>
      </w:r>
    </w:p>
    <w:p>
      <w:pPr>
        <w:pStyle w:val="BodyText"/>
        <w:ind w:left="567" w:firstLine="567"/>
        <w:rPr>
          <w:rtl/>
        </w:rPr>
      </w:pPr>
      <w:r>
        <w:rPr>
          <w:rtl/>
        </w:rPr>
        <w:t>"5"</w:t>
      </w:r>
      <w:r>
        <w:rPr>
          <w:rFonts w:hint="cs"/>
          <w:rtl/>
        </w:rPr>
        <w:tab/>
      </w:r>
      <w:r>
        <w:rPr>
          <w:rtl/>
        </w:rPr>
        <w:t>بالنسبة إلى دولة عضو في مجموعة من الدول مشار إليها في الفقرة (1)"5"، التاريخ الذي تكون فيه وثائق كل الدول الأعضاء في المجموعة مودعة.</w:t>
      </w:r>
    </w:p>
    <w:p>
      <w:pPr>
        <w:pStyle w:val="BodyText"/>
        <w:spacing w:after="0"/>
        <w:jc w:val="center"/>
        <w:rPr>
          <w:b/>
          <w:bCs/>
          <w:rtl/>
        </w:rPr>
      </w:pPr>
      <w:r>
        <w:rPr>
          <w:b/>
          <w:bCs/>
          <w:rtl/>
        </w:rPr>
        <w:t>المادة</w:t>
      </w:r>
      <w:r>
        <w:rPr>
          <w:rFonts w:hint="cs"/>
          <w:b/>
          <w:bCs/>
          <w:rtl/>
        </w:rPr>
        <w:t xml:space="preserve"> 28</w:t>
      </w:r>
      <w:r>
        <w:rPr>
          <w:b/>
          <w:bCs/>
          <w:rtl/>
        </w:rPr>
        <w:br/>
      </w:r>
      <w:r>
        <w:rPr>
          <w:rFonts w:hint="cs"/>
          <w:b/>
          <w:bCs/>
          <w:rtl/>
        </w:rPr>
        <w:t>دخول المعاهدة حيز التنفيذ؛</w:t>
      </w:r>
    </w:p>
    <w:p>
      <w:pPr>
        <w:pStyle w:val="BodyText"/>
        <w:jc w:val="center"/>
        <w:rPr>
          <w:b/>
          <w:bCs/>
          <w:rtl/>
        </w:rPr>
      </w:pPr>
      <w:r>
        <w:rPr>
          <w:rFonts w:hint="cs"/>
          <w:b/>
          <w:bCs/>
          <w:rtl/>
        </w:rPr>
        <w:t xml:space="preserve"> والتاريخ الفعلي للتصديق والانضمام</w:t>
      </w:r>
    </w:p>
    <w:p>
      <w:pPr>
        <w:pStyle w:val="BodyText"/>
        <w:rPr>
          <w:rtl/>
        </w:rPr>
      </w:pPr>
      <w:r>
        <w:rPr>
          <w:rFonts w:hint="cs"/>
          <w:rtl/>
        </w:rPr>
        <w:t>(1)</w:t>
      </w:r>
      <w:r>
        <w:rPr>
          <w:rFonts w:hint="cs"/>
          <w:rtl/>
        </w:rPr>
        <w:tab/>
      </w:r>
      <w:r>
        <w:rPr>
          <w:rtl/>
        </w:rPr>
        <w:t>[الوثائق الواجب أخذها في الحسبان]</w:t>
      </w:r>
      <w:r>
        <w:rPr>
          <w:rFonts w:hint="cs"/>
          <w:rtl/>
        </w:rPr>
        <w:t xml:space="preserve"> </w:t>
      </w:r>
      <w:r>
        <w:rPr>
          <w:rtl/>
        </w:rPr>
        <w:t xml:space="preserve">لأغراض هذه المادة، لا تؤخذ في الحسبان إلا وثائق التصديق أو الانضمام التي أودعتها الكيانات المشار إليها في المادة </w:t>
      </w:r>
      <w:r>
        <w:rPr>
          <w:rFonts w:hint="cs"/>
          <w:rtl/>
        </w:rPr>
        <w:t>27</w:t>
      </w:r>
      <w:r>
        <w:rPr>
          <w:rtl/>
        </w:rPr>
        <w:t>(</w:t>
      </w:r>
      <w:r>
        <w:rPr>
          <w:rFonts w:hint="cs"/>
          <w:rtl/>
        </w:rPr>
        <w:t>1</w:t>
      </w:r>
      <w:r>
        <w:rPr>
          <w:rtl/>
        </w:rPr>
        <w:t>) والتي لها تاريخ فعلي وفقاً للمادة</w:t>
      </w:r>
      <w:r>
        <w:rPr>
          <w:rFonts w:hint="cs"/>
          <w:rtl/>
        </w:rPr>
        <w:t xml:space="preserve"> 27</w:t>
      </w:r>
      <w:r>
        <w:rPr>
          <w:rtl/>
        </w:rPr>
        <w:t>(3).</w:t>
      </w:r>
    </w:p>
    <w:p>
      <w:pPr>
        <w:pStyle w:val="BodyText"/>
        <w:rPr>
          <w:rtl/>
        </w:rPr>
      </w:pPr>
      <w:r>
        <w:rPr>
          <w:rFonts w:hint="cs"/>
          <w:rtl/>
        </w:rPr>
        <w:t>(2)</w:t>
      </w:r>
      <w:r>
        <w:rPr>
          <w:rFonts w:hint="cs"/>
          <w:rtl/>
        </w:rPr>
        <w:tab/>
      </w:r>
      <w:r>
        <w:rPr>
          <w:rtl/>
        </w:rPr>
        <w:t xml:space="preserve">[دخول المعاهدة حيز </w:t>
      </w:r>
      <w:r>
        <w:rPr>
          <w:rFonts w:hint="cs"/>
          <w:rtl/>
        </w:rPr>
        <w:t>التنفيذ</w:t>
      </w:r>
      <w:r>
        <w:rPr>
          <w:rtl/>
        </w:rPr>
        <w:t>]</w:t>
      </w:r>
      <w:r>
        <w:rPr>
          <w:rFonts w:hint="cs"/>
          <w:rtl/>
        </w:rPr>
        <w:t xml:space="preserve"> </w:t>
      </w:r>
      <w:r>
        <w:rPr>
          <w:rtl/>
        </w:rPr>
        <w:t xml:space="preserve">تدخل هذه المعاهدة حيز </w:t>
      </w:r>
      <w:r>
        <w:rPr>
          <w:rFonts w:hint="cs"/>
          <w:rtl/>
        </w:rPr>
        <w:t>التنفيذ</w:t>
      </w:r>
      <w:r>
        <w:rPr>
          <w:rtl/>
        </w:rPr>
        <w:t xml:space="preserve"> بعد أن تودع </w:t>
      </w:r>
      <w:r>
        <w:rPr>
          <w:rFonts w:hint="cs"/>
          <w:b/>
          <w:bCs/>
          <w:rtl/>
        </w:rPr>
        <w:t>[</w:t>
      </w:r>
      <w:r>
        <w:rPr>
          <w:rFonts w:hint="cs"/>
          <w:rtl/>
        </w:rPr>
        <w:t>10</w:t>
      </w:r>
      <w:r>
        <w:rPr>
          <w:rFonts w:hint="cs"/>
          <w:b/>
          <w:bCs/>
          <w:rtl/>
        </w:rPr>
        <w:t>]</w:t>
      </w:r>
      <w:r>
        <w:rPr>
          <w:rFonts w:hint="cs"/>
          <w:rtl/>
        </w:rPr>
        <w:t xml:space="preserve"> </w:t>
      </w:r>
      <w:r>
        <w:rPr>
          <w:rFonts w:hint="cs"/>
          <w:b/>
          <w:bCs/>
          <w:rtl/>
        </w:rPr>
        <w:t>[</w:t>
      </w:r>
      <w:r>
        <w:rPr>
          <w:rFonts w:hint="cs"/>
          <w:rtl/>
        </w:rPr>
        <w:t>30</w:t>
      </w:r>
      <w:r>
        <w:rPr>
          <w:rFonts w:hint="cs"/>
          <w:b/>
          <w:bCs/>
          <w:rtl/>
        </w:rPr>
        <w:t>]</w:t>
      </w:r>
      <w:r>
        <w:rPr>
          <w:rFonts w:hint="cs"/>
          <w:rtl/>
        </w:rPr>
        <w:t xml:space="preserve"> </w:t>
      </w:r>
      <w:r>
        <w:rPr>
          <w:rtl/>
        </w:rPr>
        <w:t>دول أو منظمات حكومية دولية مشار إليها في المادة</w:t>
      </w:r>
      <w:r>
        <w:rPr>
          <w:rFonts w:hint="cs"/>
          <w:rtl/>
        </w:rPr>
        <w:t xml:space="preserve"> 27</w:t>
      </w:r>
      <w:r>
        <w:rPr>
          <w:rtl/>
        </w:rPr>
        <w:t>(1)"2" وثائق تصديقها أو انضمامها بثلاثة أشهر.</w:t>
      </w:r>
    </w:p>
    <w:p>
      <w:pPr>
        <w:pStyle w:val="BodyText"/>
        <w:rPr>
          <w:rtl/>
        </w:rPr>
      </w:pPr>
      <w:r>
        <w:rPr>
          <w:rFonts w:hint="cs"/>
          <w:rtl/>
        </w:rPr>
        <w:t>(3)</w:t>
      </w:r>
      <w:r>
        <w:rPr>
          <w:rFonts w:hint="cs"/>
          <w:rtl/>
        </w:rPr>
        <w:tab/>
      </w:r>
      <w:r>
        <w:rPr>
          <w:rtl/>
        </w:rPr>
        <w:t xml:space="preserve">[نفاذ التصديق أو الانضمام اللاحق لدخول المعاهدة حيّز </w:t>
      </w:r>
      <w:r>
        <w:rPr>
          <w:rFonts w:hint="cs"/>
          <w:rtl/>
        </w:rPr>
        <w:t>التنفيذ</w:t>
      </w:r>
      <w:r>
        <w:rPr>
          <w:rtl/>
        </w:rPr>
        <w:t>]</w:t>
      </w:r>
      <w:r>
        <w:rPr>
          <w:rFonts w:hint="cs"/>
          <w:rtl/>
        </w:rPr>
        <w:t xml:space="preserve"> </w:t>
      </w:r>
      <w:r>
        <w:rPr>
          <w:rtl/>
        </w:rPr>
        <w:t>يصبح أي كيان غير مشمول في الفقرة (2) ملزماً بهذه المعاهدة بعد ثلاثة أشهر من التاريخ الذي يودع فيه وثيقة تصديقه أو انضمامه.</w:t>
      </w:r>
    </w:p>
    <w:p>
      <w:pPr>
        <w:pStyle w:val="BodyText"/>
        <w:spacing w:after="360"/>
        <w:jc w:val="center"/>
        <w:rPr>
          <w:b/>
          <w:bCs/>
          <w:rtl/>
        </w:rPr>
      </w:pPr>
      <w:r>
        <w:rPr>
          <w:b/>
          <w:bCs/>
          <w:rtl/>
        </w:rPr>
        <w:t>المادة</w:t>
      </w:r>
      <w:r>
        <w:rPr>
          <w:rFonts w:hint="cs"/>
          <w:b/>
          <w:bCs/>
          <w:rtl/>
        </w:rPr>
        <w:t xml:space="preserve"> 29</w:t>
      </w:r>
      <w:r>
        <w:rPr>
          <w:b/>
          <w:bCs/>
          <w:rtl/>
        </w:rPr>
        <w:br/>
      </w:r>
      <w:r>
        <w:rPr>
          <w:rFonts w:hint="eastAsia"/>
          <w:b/>
          <w:bCs/>
          <w:rtl/>
        </w:rPr>
        <w:t>التحفظات</w:t>
      </w:r>
    </w:p>
    <w:p>
      <w:pPr>
        <w:pStyle w:val="BodyText"/>
        <w:jc w:val="center"/>
        <w:rPr>
          <w:rtl/>
        </w:rPr>
      </w:pPr>
      <w:r>
        <w:rPr>
          <w:b/>
          <w:bCs/>
          <w:rtl/>
        </w:rPr>
        <w:t>المادة</w:t>
      </w:r>
      <w:r>
        <w:rPr>
          <w:rFonts w:hint="cs"/>
          <w:b/>
          <w:bCs/>
          <w:rtl/>
        </w:rPr>
        <w:t xml:space="preserve"> 30</w:t>
      </w:r>
      <w:r>
        <w:rPr>
          <w:b/>
          <w:bCs/>
          <w:rtl/>
        </w:rPr>
        <w:br/>
      </w:r>
      <w:r>
        <w:rPr>
          <w:rFonts w:hint="cs"/>
          <w:b/>
          <w:bCs/>
          <w:rtl/>
        </w:rPr>
        <w:t>نقض المعاهدة</w:t>
      </w:r>
    </w:p>
    <w:p>
      <w:pPr>
        <w:pStyle w:val="BodyText"/>
        <w:rPr>
          <w:rtl/>
        </w:rPr>
      </w:pPr>
      <w:r>
        <w:rPr>
          <w:rFonts w:hint="cs"/>
          <w:rtl/>
        </w:rPr>
        <w:t>(1)</w:t>
      </w:r>
      <w:r>
        <w:rPr>
          <w:rFonts w:hint="cs"/>
          <w:rtl/>
        </w:rPr>
        <w:tab/>
      </w:r>
      <w:r>
        <w:rPr>
          <w:rtl/>
        </w:rPr>
        <w:t>[الإخطار] يجوز لأي طرف متعاقد أن ينقض هذه المعاهدة بموجب إخطار موجَّه إلى المدير العام.</w:t>
      </w:r>
    </w:p>
    <w:p>
      <w:pPr>
        <w:pStyle w:val="BodyText"/>
        <w:rPr>
          <w:rtl/>
        </w:rPr>
      </w:pPr>
      <w:r>
        <w:rPr>
          <w:rFonts w:hint="cs"/>
          <w:rtl/>
        </w:rPr>
        <w:t>(2)</w:t>
      </w:r>
      <w:r>
        <w:rPr>
          <w:rFonts w:hint="cs"/>
          <w:rtl/>
        </w:rPr>
        <w:tab/>
      </w:r>
      <w:r>
        <w:rPr>
          <w:rtl/>
        </w:rPr>
        <w:t>[تاريخ النفاذ]</w:t>
      </w:r>
      <w:r>
        <w:rPr>
          <w:rFonts w:hint="cs"/>
          <w:rtl/>
        </w:rPr>
        <w:t xml:space="preserve"> </w:t>
      </w:r>
      <w:r>
        <w:rPr>
          <w:rtl/>
        </w:rPr>
        <w:t xml:space="preserve">يصبح النقض نافذاً بعد سنة واحدة من التاريخ الذي يتسلم فيه المدير العام الإخطار. </w:t>
      </w:r>
    </w:p>
    <w:p>
      <w:pPr>
        <w:pStyle w:val="BodyText"/>
        <w:rPr>
          <w:rtl/>
        </w:rPr>
      </w:pPr>
      <w:r>
        <w:rPr>
          <w:rtl/>
        </w:rPr>
        <w:lastRenderedPageBreak/>
        <w:t xml:space="preserve">ولا يؤثر النقض في تطبيق هذه المعاهدة على أي طلب قيد النظر أو أي </w:t>
      </w:r>
      <w:r>
        <w:rPr>
          <w:rFonts w:hint="cs"/>
          <w:rtl/>
        </w:rPr>
        <w:t>تصميم صناعي</w:t>
      </w:r>
      <w:r>
        <w:rPr>
          <w:rtl/>
        </w:rPr>
        <w:t xml:space="preserve"> مسجل بالنسبة إلى الطرف المتعاقد الناقض عند انقضاء فترة السنة المذكورة، على أنه يجوز للطرف المتعاقد الناقض أن ينقطع عن تطبيق هذه المعاهدة على أي تسجيل اعتباراً من التاريخ الذي يتعيّن فيه تجديد ذلك التسجيل، بعد انقضاء فترة السنة المذكورة.</w:t>
      </w:r>
    </w:p>
    <w:p>
      <w:pPr>
        <w:pStyle w:val="BodyText"/>
        <w:jc w:val="center"/>
        <w:rPr>
          <w:rtl/>
        </w:rPr>
      </w:pPr>
      <w:r>
        <w:rPr>
          <w:b/>
          <w:bCs/>
          <w:rtl/>
        </w:rPr>
        <w:t>المادة</w:t>
      </w:r>
      <w:r>
        <w:rPr>
          <w:rFonts w:hint="cs"/>
          <w:b/>
          <w:bCs/>
          <w:rtl/>
        </w:rPr>
        <w:t xml:space="preserve"> 31</w:t>
      </w:r>
      <w:r>
        <w:rPr>
          <w:b/>
          <w:bCs/>
          <w:rtl/>
        </w:rPr>
        <w:br/>
      </w:r>
      <w:r>
        <w:rPr>
          <w:rFonts w:hint="cs"/>
          <w:b/>
          <w:bCs/>
          <w:rtl/>
        </w:rPr>
        <w:t>لغات المعاهدة؛ والتوقيع</w:t>
      </w:r>
    </w:p>
    <w:p>
      <w:pPr>
        <w:pStyle w:val="BodyText"/>
      </w:pPr>
      <w:r>
        <w:rPr>
          <w:rtl/>
        </w:rPr>
        <w:t>(1)</w:t>
      </w:r>
      <w:r>
        <w:rPr>
          <w:rFonts w:hint="cs"/>
          <w:rtl/>
        </w:rPr>
        <w:tab/>
      </w:r>
      <w:r>
        <w:rPr>
          <w:rtl/>
        </w:rPr>
        <w:t>[النصوص الأصلية؛ والنصوص الرسمية]</w:t>
      </w:r>
      <w:r>
        <w:rPr>
          <w:rFonts w:hint="cs"/>
          <w:rtl/>
        </w:rPr>
        <w:t xml:space="preserve"> </w:t>
      </w:r>
      <w:r>
        <w:rPr>
          <w:rtl/>
        </w:rPr>
        <w:t>(أ) توقّع هذه المعاهدة في نسخة أصلية باللغات</w:t>
      </w:r>
      <w:r>
        <w:rPr>
          <w:rFonts w:hint="cs"/>
          <w:rtl/>
          <w:lang w:val="fr-CH" w:bidi="ar-EG"/>
        </w:rPr>
        <w:t xml:space="preserve"> </w:t>
      </w:r>
      <w:r>
        <w:rPr>
          <w:rtl/>
        </w:rPr>
        <w:t xml:space="preserve">العربية والإسبانية </w:t>
      </w:r>
      <w:r>
        <w:rPr>
          <w:rFonts w:hint="cs"/>
          <w:rtl/>
        </w:rPr>
        <w:t>و</w:t>
      </w:r>
      <w:r>
        <w:rPr>
          <w:rFonts w:hint="cs"/>
          <w:rtl/>
          <w:lang w:val="fr-CH" w:bidi="ar-EG"/>
        </w:rPr>
        <w:t>الإنكليزية</w:t>
      </w:r>
      <w:r>
        <w:rPr>
          <w:rtl/>
        </w:rPr>
        <w:t xml:space="preserve"> والروسية والصينية والفرنسية</w:t>
      </w:r>
      <w:r>
        <w:rPr>
          <w:rFonts w:hint="cs"/>
          <w:rtl/>
        </w:rPr>
        <w:t xml:space="preserve">، </w:t>
      </w:r>
      <w:r>
        <w:rPr>
          <w:rtl/>
        </w:rPr>
        <w:t>وتعتبر كل النصوص متساوية في الحجية.</w:t>
      </w:r>
    </w:p>
    <w:p>
      <w:pPr>
        <w:pStyle w:val="BodyText"/>
        <w:ind w:firstLine="567"/>
      </w:pPr>
      <w:r>
        <w:rPr>
          <w:rtl/>
        </w:rPr>
        <w:t>(ب)</w:t>
      </w:r>
      <w:r>
        <w:rPr>
          <w:rFonts w:hint="cs"/>
          <w:rtl/>
        </w:rPr>
        <w:tab/>
      </w:r>
      <w:r>
        <w:rPr>
          <w:rtl/>
        </w:rPr>
        <w:t>يتولى المدير العام إعداد نص رسمي بلغة لا تشير إليها الفقرة الفرعية (أ) وتكون لغة رسمية لأحد الأطراف المتعاقدة، بعد التشاور مع الطرف المتعاقد المذكور وأي طرف متعاقد آخر معني بالموضوع.</w:t>
      </w:r>
    </w:p>
    <w:p>
      <w:pPr>
        <w:pStyle w:val="BodyText"/>
        <w:rPr>
          <w:rtl/>
        </w:rPr>
      </w:pPr>
      <w:r>
        <w:rPr>
          <w:rtl/>
        </w:rPr>
        <w:t>(2)</w:t>
      </w:r>
      <w:r>
        <w:rPr>
          <w:rFonts w:hint="cs"/>
          <w:rtl/>
        </w:rPr>
        <w:tab/>
      </w:r>
      <w:r>
        <w:rPr>
          <w:rtl/>
        </w:rPr>
        <w:t>[مهلة التوقيع]</w:t>
      </w:r>
      <w:r>
        <w:rPr>
          <w:rFonts w:hint="cs"/>
          <w:rtl/>
        </w:rPr>
        <w:t xml:space="preserve"> </w:t>
      </w:r>
      <w:r>
        <w:rPr>
          <w:rtl/>
        </w:rPr>
        <w:t>تظل هذه المعاهدة متاحة للتوقيع في مقرّ المنظمة لمدة سنة بعد اعتمادها</w:t>
      </w:r>
      <w:r>
        <w:rPr>
          <w:rFonts w:hint="cs"/>
          <w:rtl/>
        </w:rPr>
        <w:t>.</w:t>
      </w:r>
    </w:p>
    <w:p>
      <w:pPr>
        <w:pStyle w:val="BodyText"/>
        <w:jc w:val="center"/>
        <w:rPr>
          <w:rtl/>
        </w:rPr>
      </w:pPr>
      <w:r>
        <w:rPr>
          <w:b/>
          <w:bCs/>
          <w:rtl/>
        </w:rPr>
        <w:t>المادة</w:t>
      </w:r>
      <w:r>
        <w:rPr>
          <w:rFonts w:hint="cs"/>
          <w:b/>
          <w:bCs/>
          <w:rtl/>
        </w:rPr>
        <w:t xml:space="preserve"> 32</w:t>
      </w:r>
      <w:r>
        <w:rPr>
          <w:b/>
          <w:bCs/>
          <w:rtl/>
        </w:rPr>
        <w:br/>
      </w:r>
      <w:r>
        <w:rPr>
          <w:rFonts w:hint="cs"/>
          <w:b/>
          <w:bCs/>
          <w:rtl/>
        </w:rPr>
        <w:t>أمين الإيداع</w:t>
      </w:r>
    </w:p>
    <w:p>
      <w:pPr>
        <w:pStyle w:val="BodyText"/>
        <w:rPr>
          <w:rtl/>
        </w:rPr>
      </w:pPr>
      <w:r>
        <w:rPr>
          <w:rFonts w:hint="cs"/>
          <w:rtl/>
        </w:rPr>
        <w:t>يكون المدير العام أمين إيداع هذه المعاهدة.</w:t>
      </w:r>
    </w:p>
    <w:p>
      <w:pPr>
        <w:pStyle w:val="Endofdocument-Annex"/>
        <w:spacing w:before="720"/>
        <w:ind w:left="6101" w:firstLine="136"/>
        <w:rPr>
          <w:lang w:bidi="ar-EG"/>
        </w:rPr>
      </w:pPr>
      <w:r>
        <w:rPr>
          <w:rtl/>
        </w:rPr>
        <w:t>[نهاية الوثيقة]</w:t>
      </w:r>
    </w:p>
    <w:sectPr>
      <w:headerReference w:type="default" r:id="rId13"/>
      <w:headerReference w:type="first" r:id="rId14"/>
      <w:endnotePr>
        <w:numFmt w:val="decimal"/>
      </w:endnotePr>
      <w:pgSz w:w="11907" w:h="16840" w:code="9"/>
      <w:pgMar w:top="567" w:right="1418" w:bottom="1418" w:left="1134" w:header="510" w:footer="1021" w:gutter="0"/>
      <w:pgNumType w:start="2"/>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separator/>
      </w:r>
    </w:p>
    <w:p>
      <w:pPr>
        <w:spacing w:after="60"/>
        <w:rPr>
          <w:sz w:val="17"/>
        </w:rPr>
      </w:pPr>
      <w:r>
        <w:rPr>
          <w:sz w:val="17"/>
        </w:rPr>
        <w:t>[Endnote continued from previous page]</w:t>
      </w:r>
    </w:p>
  </w:endnote>
  <w:endnote w:type="continuationNotice" w:id="1">
    <w:p>
      <w:pPr>
        <w:spacing w:before="60"/>
        <w:jc w:val="right"/>
        <w:rPr>
          <w:sz w:val="17"/>
          <w:szCs w:val="17"/>
        </w:rPr>
      </w:pPr>
      <w:r>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plified Arabic">
    <w:panose1 w:val="02020603050405020304"/>
    <w:charset w:val="00"/>
    <w:family w:val="roman"/>
    <w:pitch w:val="variable"/>
    <w:sig w:usb0="00002003" w:usb1="00000000" w:usb2="00000000"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separator/>
      </w:r>
    </w:p>
    <w:p>
      <w:pPr>
        <w:spacing w:after="60"/>
        <w:rPr>
          <w:sz w:val="17"/>
          <w:szCs w:val="17"/>
        </w:rPr>
      </w:pPr>
      <w:r>
        <w:rPr>
          <w:sz w:val="17"/>
          <w:szCs w:val="17"/>
        </w:rPr>
        <w:t>[Footnote continued from previous page]</w:t>
      </w:r>
    </w:p>
  </w:footnote>
  <w:footnote w:type="continuationNotice" w:id="1">
    <w:p>
      <w:pPr>
        <w:spacing w:before="60"/>
        <w:jc w:val="right"/>
        <w:rPr>
          <w:sz w:val="17"/>
          <w:szCs w:val="17"/>
        </w:rPr>
      </w:pPr>
      <w:r>
        <w:rPr>
          <w:sz w:val="17"/>
          <w:szCs w:val="17"/>
        </w:rPr>
        <w:t>[Footnote continued on next page]</w:t>
      </w:r>
    </w:p>
  </w:footnote>
  <w:footnote w:id="2">
    <w:p>
      <w:pPr>
        <w:pStyle w:val="FootnoteText"/>
        <w:rPr>
          <w:lang w:bidi="ar-EG"/>
        </w:rPr>
      </w:pPr>
      <w:r>
        <w:rPr>
          <w:rStyle w:val="FootnoteReference"/>
        </w:rPr>
        <w:footnoteRef/>
      </w:r>
      <w:r>
        <w:rPr>
          <w:rFonts w:hint="cs"/>
          <w:rtl/>
        </w:rPr>
        <w:tab/>
        <w:t>اقترح وفد الولايات المتحدة الأمريكية العبارة "</w:t>
      </w:r>
      <w:r>
        <w:rPr>
          <w:rFonts w:hint="cs"/>
          <w:rtl/>
          <w:lang w:val="fr-CH"/>
        </w:rPr>
        <w:t xml:space="preserve">المساعدة التقنية وتكوين الكفاءات </w:t>
      </w:r>
      <w:r>
        <w:rPr>
          <w:rFonts w:hint="cs"/>
          <w:rtl/>
        </w:rPr>
        <w:t>الموفَّرة لأغراض تنفيذ هذه المعاهدة" عوضا عن العبارة "المساعدة التقنية الموفَّرة بناء على هذه المعاهدة".</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bidi w:val="0"/>
      <w:rPr>
        <w:caps/>
      </w:rPr>
    </w:pPr>
    <w:r>
      <w:rPr>
        <w:caps/>
      </w:rPr>
      <w:t>SCT/S3/4</w:t>
    </w:r>
  </w:p>
  <w:p>
    <w:pPr>
      <w:bidi w:val="0"/>
    </w:pPr>
    <w:r>
      <w:fldChar w:fldCharType="begin"/>
    </w:r>
    <w:r>
      <w:instrText xml:space="preserve"> PAGE  \* MERGEFORMAT </w:instrText>
    </w:r>
    <w:r>
      <w:fldChar w:fldCharType="separate"/>
    </w:r>
    <w:r>
      <w:rPr>
        <w:noProof/>
      </w:rPr>
      <w:t>2</w:t>
    </w:r>
    <w:r>
      <w:fldChar w:fldCharType="end"/>
    </w:r>
  </w:p>
  <w:p>
    <w:pPr>
      <w:bidi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bidi w:val="0"/>
      <w:rPr>
        <w:rtl/>
      </w:rPr>
    </w:pPr>
    <w:r>
      <w:t>DLT/2/PM/2</w:t>
    </w:r>
  </w:p>
  <w:p>
    <w:pPr>
      <w:bidi w:val="0"/>
    </w:pPr>
    <w:r>
      <w:fldChar w:fldCharType="begin"/>
    </w:r>
    <w:r>
      <w:instrText xml:space="preserve"> PAGE  \* MERGEFORMAT </w:instrText>
    </w:r>
    <w:r>
      <w:fldChar w:fldCharType="separate"/>
    </w:r>
    <w:r>
      <w:rPr>
        <w:noProof/>
      </w:rPr>
      <w:t>6</w:t>
    </w:r>
    <w:r>
      <w:fldChar w:fldCharType="end"/>
    </w:r>
  </w:p>
  <w:p>
    <w:pP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1493273"/>
      <w:docPartObj>
        <w:docPartGallery w:val="Page Numbers (Top of Page)"/>
        <w:docPartUnique/>
      </w:docPartObj>
    </w:sdtPr>
    <w:sdtEndPr>
      <w:rPr>
        <w:noProof/>
        <w:rtl/>
      </w:rPr>
    </w:sdtEndPr>
    <w:sdtContent>
      <w:p>
        <w:pPr>
          <w:pStyle w:val="Header"/>
          <w:bidi w:val="0"/>
        </w:pPr>
        <w:r>
          <w:t>DLT/2/PM/2</w:t>
        </w:r>
      </w:p>
      <w:p>
        <w:pPr>
          <w:pStyle w:val="Header"/>
          <w:jc w:val="right"/>
        </w:pPr>
        <w:r>
          <w:fldChar w:fldCharType="begin"/>
        </w:r>
        <w:r>
          <w:instrText xml:space="preserve"> PAGE   \* MERGEFORMAT </w:instrText>
        </w:r>
        <w:r>
          <w:fldChar w:fldCharType="separate"/>
        </w:r>
        <w:r>
          <w:rPr>
            <w:noProof/>
            <w:rtl/>
          </w:rPr>
          <w:t>2</w:t>
        </w:r>
        <w:r>
          <w:rPr>
            <w:noProof/>
          </w:rPr>
          <w:fldChar w:fldCharType="end"/>
        </w:r>
      </w:p>
    </w:sdtContent>
  </w:sdt>
  <w:p>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72AFA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22C4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5B28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84A1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0E766C71"/>
    <w:multiLevelType w:val="hybridMultilevel"/>
    <w:tmpl w:val="12441B76"/>
    <w:lvl w:ilvl="0" w:tplc="BA4469C8">
      <w:start w:val="1"/>
      <w:numFmt w:val="decimal"/>
      <w:lvlText w:val="&quot;%1&quot;"/>
      <w:lvlJc w:val="left"/>
      <w:pPr>
        <w:tabs>
          <w:tab w:val="num" w:pos="2214"/>
        </w:tabs>
        <w:ind w:left="2214" w:hanging="36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1"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6547323E"/>
    <w:multiLevelType w:val="hybridMultilevel"/>
    <w:tmpl w:val="1BF27E48"/>
    <w:lvl w:ilvl="0" w:tplc="9C5CF3AE">
      <w:start w:val="1"/>
      <w:numFmt w:val="decimal"/>
      <w:lvlText w:val="&quot;%1&quot;"/>
      <w:lvlJc w:val="left"/>
      <w:pPr>
        <w:tabs>
          <w:tab w:val="num" w:pos="2214"/>
        </w:tabs>
        <w:ind w:left="2214" w:hanging="360"/>
      </w:pPr>
      <w:rPr>
        <w:rFonts w:ascii="Arabic Typesetting" w:hAnsi="Arabic Typesetting" w:cs="Arabic Typesetting" w:hint="default"/>
        <w:sz w:val="36"/>
        <w:szCs w:val="36"/>
      </w:rPr>
    </w:lvl>
    <w:lvl w:ilvl="1" w:tplc="04090019" w:tentative="1">
      <w:start w:val="1"/>
      <w:numFmt w:val="lowerLetter"/>
      <w:lvlText w:val="%2."/>
      <w:lvlJc w:val="left"/>
      <w:pPr>
        <w:tabs>
          <w:tab w:val="num" w:pos="2934"/>
        </w:tabs>
        <w:ind w:left="2934" w:hanging="360"/>
      </w:pPr>
    </w:lvl>
    <w:lvl w:ilvl="2" w:tplc="0409001B">
      <w:start w:val="1"/>
      <w:numFmt w:val="lowerRoman"/>
      <w:lvlText w:val="%3."/>
      <w:lvlJc w:val="right"/>
      <w:pPr>
        <w:tabs>
          <w:tab w:val="num" w:pos="3654"/>
        </w:tabs>
        <w:ind w:left="3654" w:hanging="180"/>
      </w:pPr>
    </w:lvl>
    <w:lvl w:ilvl="3" w:tplc="0409000F" w:tentative="1">
      <w:start w:val="1"/>
      <w:numFmt w:val="decimal"/>
      <w:lvlText w:val="%4."/>
      <w:lvlJc w:val="left"/>
      <w:pPr>
        <w:tabs>
          <w:tab w:val="num" w:pos="4374"/>
        </w:tabs>
        <w:ind w:left="4374" w:hanging="360"/>
      </w:pPr>
    </w:lvl>
    <w:lvl w:ilvl="4" w:tplc="04090019" w:tentative="1">
      <w:start w:val="1"/>
      <w:numFmt w:val="lowerLetter"/>
      <w:lvlText w:val="%5."/>
      <w:lvlJc w:val="left"/>
      <w:pPr>
        <w:tabs>
          <w:tab w:val="num" w:pos="5094"/>
        </w:tabs>
        <w:ind w:left="5094" w:hanging="360"/>
      </w:pPr>
    </w:lvl>
    <w:lvl w:ilvl="5" w:tplc="0409001B" w:tentative="1">
      <w:start w:val="1"/>
      <w:numFmt w:val="lowerRoman"/>
      <w:lvlText w:val="%6."/>
      <w:lvlJc w:val="right"/>
      <w:pPr>
        <w:tabs>
          <w:tab w:val="num" w:pos="5814"/>
        </w:tabs>
        <w:ind w:left="5814" w:hanging="180"/>
      </w:pPr>
    </w:lvl>
    <w:lvl w:ilvl="6" w:tplc="0409000F" w:tentative="1">
      <w:start w:val="1"/>
      <w:numFmt w:val="decimal"/>
      <w:lvlText w:val="%7."/>
      <w:lvlJc w:val="left"/>
      <w:pPr>
        <w:tabs>
          <w:tab w:val="num" w:pos="6534"/>
        </w:tabs>
        <w:ind w:left="6534" w:hanging="360"/>
      </w:pPr>
    </w:lvl>
    <w:lvl w:ilvl="7" w:tplc="04090019" w:tentative="1">
      <w:start w:val="1"/>
      <w:numFmt w:val="lowerLetter"/>
      <w:lvlText w:val="%8."/>
      <w:lvlJc w:val="left"/>
      <w:pPr>
        <w:tabs>
          <w:tab w:val="num" w:pos="7254"/>
        </w:tabs>
        <w:ind w:left="7254" w:hanging="360"/>
      </w:pPr>
    </w:lvl>
    <w:lvl w:ilvl="8" w:tplc="0409001B" w:tentative="1">
      <w:start w:val="1"/>
      <w:numFmt w:val="lowerRoman"/>
      <w:lvlText w:val="%9."/>
      <w:lvlJc w:val="right"/>
      <w:pPr>
        <w:tabs>
          <w:tab w:val="num" w:pos="7974"/>
        </w:tabs>
        <w:ind w:left="7974" w:hanging="180"/>
      </w:pPr>
    </w:lvl>
  </w:abstractNum>
  <w:abstractNum w:abstractNumId="23" w15:restartNumberingAfterBreak="0">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5" w15:restartNumberingAfterBreak="0">
    <w:nsid w:val="7AEF7B0A"/>
    <w:multiLevelType w:val="hybridMultilevel"/>
    <w:tmpl w:val="B24A4F2E"/>
    <w:lvl w:ilvl="0" w:tplc="61521332">
      <w:start w:val="1"/>
      <w:numFmt w:val="decimal"/>
      <w:lvlRestart w:val="0"/>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3"/>
  </w:num>
  <w:num w:numId="2">
    <w:abstractNumId w:val="18"/>
  </w:num>
  <w:num w:numId="3">
    <w:abstractNumId w:val="8"/>
  </w:num>
  <w:num w:numId="4">
    <w:abstractNumId w:val="19"/>
  </w:num>
  <w:num w:numId="5">
    <w:abstractNumId w:val="10"/>
  </w:num>
  <w:num w:numId="6">
    <w:abstractNumId w:val="14"/>
  </w:num>
  <w:num w:numId="7">
    <w:abstractNumId w:val="20"/>
  </w:num>
  <w:num w:numId="8">
    <w:abstractNumId w:val="17"/>
  </w:num>
  <w:num w:numId="9">
    <w:abstractNumId w:val="20"/>
  </w:num>
  <w:num w:numId="10">
    <w:abstractNumId w:val="20"/>
  </w:num>
  <w:num w:numId="11">
    <w:abstractNumId w:val="12"/>
  </w:num>
  <w:num w:numId="12">
    <w:abstractNumId w:val="24"/>
  </w:num>
  <w:num w:numId="13">
    <w:abstractNumId w:val="25"/>
  </w:num>
  <w:num w:numId="14">
    <w:abstractNumId w:val="16"/>
  </w:num>
  <w:num w:numId="15">
    <w:abstractNumId w:val="23"/>
  </w:num>
  <w:num w:numId="16">
    <w:abstractNumId w:val="21"/>
  </w:num>
  <w:num w:numId="17">
    <w:abstractNumId w:val="26"/>
  </w:num>
  <w:num w:numId="18">
    <w:abstractNumId w:val="15"/>
  </w:num>
  <w:num w:numId="19">
    <w:abstractNumId w:val="9"/>
  </w:num>
  <w:num w:numId="20">
    <w:abstractNumId w:val="7"/>
  </w:num>
  <w:num w:numId="21">
    <w:abstractNumId w:val="6"/>
  </w:num>
  <w:num w:numId="22">
    <w:abstractNumId w:val="5"/>
  </w:num>
  <w:num w:numId="23">
    <w:abstractNumId w:val="4"/>
  </w:num>
  <w:num w:numId="24">
    <w:abstractNumId w:val="3"/>
  </w:num>
  <w:num w:numId="25">
    <w:abstractNumId w:val="2"/>
  </w:num>
  <w:num w:numId="26">
    <w:abstractNumId w:val="1"/>
  </w:num>
  <w:num w:numId="27">
    <w:abstractNumId w:val="0"/>
  </w:num>
  <w:num w:numId="28">
    <w:abstractNumId w:val="22"/>
  </w:num>
  <w:num w:numId="29">
    <w:abstractNumId w:val="11"/>
  </w:num>
  <w:num w:numId="30">
    <w:abstractNumId w:val="20"/>
  </w:num>
  <w:num w:numId="31">
    <w:abstractNumId w:val="20"/>
  </w:num>
  <w:num w:numId="32">
    <w:abstractNumId w:val="20"/>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activeWritingStyle w:appName="MSWord" w:lang="ar-SA" w:vendorID="64" w:dllVersion="131078" w:nlCheck="1" w:checkStyle="0"/>
  <w:activeWritingStyle w:appName="MSWord" w:lang="en-US" w:vendorID="64" w:dllVersion="131078" w:nlCheck="1" w:checkStyle="0"/>
  <w:activeWritingStyle w:appName="MSWord" w:lang="ar-EG"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0E9AA85F-EB52-457B-8838-6569AA93E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rFonts w:ascii="Arial" w:eastAsia="SimSun" w:hAnsi="Arial" w:cs="Calibri"/>
      <w:sz w:val="22"/>
      <w:szCs w:val="22"/>
      <w:lang w:val="en-US" w:eastAsia="zh-CN"/>
    </w:rPr>
  </w:style>
  <w:style w:type="paragraph" w:styleId="Heading1">
    <w:name w:val="heading 1"/>
    <w:basedOn w:val="Normal"/>
    <w:next w:val="Normal"/>
    <w:qFormat/>
    <w:pPr>
      <w:keepNext/>
      <w:spacing w:after="480"/>
      <w:outlineLvl w:val="0"/>
    </w:pPr>
    <w:rPr>
      <w:b/>
      <w:bCs/>
      <w:caps/>
      <w:kern w:val="32"/>
      <w:sz w:val="32"/>
      <w:szCs w:val="32"/>
    </w:rPr>
  </w:style>
  <w:style w:type="paragraph" w:styleId="Heading2">
    <w:name w:val="heading 2"/>
    <w:basedOn w:val="Normal"/>
    <w:next w:val="Normal"/>
    <w:qFormat/>
    <w:pPr>
      <w:keepNext/>
      <w:spacing w:before="240" w:after="60"/>
      <w:outlineLvl w:val="1"/>
    </w:pPr>
    <w:rPr>
      <w:bCs/>
      <w:iCs/>
      <w:caps/>
      <w:sz w:val="28"/>
      <w:szCs w:val="28"/>
    </w:rPr>
  </w:style>
  <w:style w:type="paragraph" w:styleId="Heading3">
    <w:name w:val="heading 3"/>
    <w:basedOn w:val="Normal"/>
    <w:next w:val="Normal"/>
    <w:qFormat/>
    <w:pPr>
      <w:keepNext/>
      <w:spacing w:before="240" w:after="60"/>
      <w:outlineLvl w:val="2"/>
    </w:pPr>
    <w:rPr>
      <w:bCs/>
      <w:sz w:val="26"/>
      <w:szCs w:val="26"/>
      <w:u w:val="single"/>
    </w:rPr>
  </w:style>
  <w:style w:type="paragraph" w:styleId="Heading4">
    <w:name w:val="heading 4"/>
    <w:basedOn w:val="Normal"/>
    <w:next w:val="Normal"/>
    <w:qFormat/>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pPr>
      <w:ind w:left="5534"/>
    </w:pPr>
  </w:style>
  <w:style w:type="paragraph" w:styleId="BodyText">
    <w:name w:val="Body Text"/>
    <w:basedOn w:val="Normal"/>
    <w:pPr>
      <w:spacing w:after="220"/>
    </w:pPr>
  </w:style>
  <w:style w:type="paragraph" w:styleId="Caption">
    <w:name w:val="caption"/>
    <w:basedOn w:val="Normal"/>
    <w:next w:val="Normal"/>
    <w:qFormat/>
    <w:rPr>
      <w:b/>
      <w:bCs/>
      <w:sz w:val="18"/>
    </w:rPr>
  </w:style>
  <w:style w:type="paragraph" w:styleId="CommentText">
    <w:name w:val="annotation text"/>
    <w:basedOn w:val="Normal"/>
    <w:semiHidden/>
    <w:rPr>
      <w:sz w:val="18"/>
    </w:rPr>
  </w:style>
  <w:style w:type="paragraph" w:styleId="EndnoteText">
    <w:name w:val="endnote text"/>
    <w:basedOn w:val="Normal"/>
    <w:link w:val="EndnoteTextChar"/>
    <w:semiHidden/>
    <w:rPr>
      <w:sz w:val="18"/>
      <w:szCs w:val="18"/>
    </w:rPr>
  </w:style>
  <w:style w:type="paragraph" w:styleId="Footer">
    <w:name w:val="footer"/>
    <w:basedOn w:val="Normal"/>
    <w:semiHidden/>
    <w:pPr>
      <w:tabs>
        <w:tab w:val="center" w:pos="4320"/>
        <w:tab w:val="right" w:pos="8640"/>
      </w:tabs>
    </w:pPr>
  </w:style>
  <w:style w:type="paragraph" w:styleId="FootnoteText">
    <w:name w:val="footnote text"/>
    <w:basedOn w:val="Normal"/>
    <w:link w:val="FootnoteTextChar"/>
    <w:semiHidden/>
    <w:rPr>
      <w:sz w:val="18"/>
      <w:szCs w:val="18"/>
    </w:rPr>
  </w:style>
  <w:style w:type="paragraph" w:styleId="Header">
    <w:name w:val="header"/>
    <w:basedOn w:val="Normal"/>
    <w:link w:val="HeaderChar"/>
    <w:uiPriority w:val="99"/>
    <w:pPr>
      <w:tabs>
        <w:tab w:val="center" w:pos="4536"/>
        <w:tab w:val="right" w:pos="9072"/>
      </w:tabs>
    </w:pPr>
  </w:style>
  <w:style w:type="paragraph" w:styleId="ListNumber">
    <w:name w:val="List Number"/>
    <w:basedOn w:val="Normal"/>
    <w:semiHidden/>
    <w:pPr>
      <w:numPr>
        <w:numId w:val="4"/>
      </w:numPr>
    </w:pPr>
  </w:style>
  <w:style w:type="paragraph" w:customStyle="1" w:styleId="ONUME">
    <w:name w:val="ONUM E"/>
    <w:basedOn w:val="BodyText"/>
    <w:pPr>
      <w:numPr>
        <w:numId w:val="5"/>
      </w:numPr>
    </w:pPr>
  </w:style>
  <w:style w:type="paragraph" w:customStyle="1" w:styleId="ONUMFS">
    <w:name w:val="ONUM FS"/>
    <w:basedOn w:val="BodyText"/>
    <w:pPr>
      <w:numPr>
        <w:numId w:val="6"/>
      </w:numPr>
    </w:pPr>
  </w:style>
  <w:style w:type="paragraph" w:styleId="Salutation">
    <w:name w:val="Salutation"/>
    <w:basedOn w:val="Normal"/>
    <w:next w:val="Normal"/>
    <w:semiHidden/>
  </w:style>
  <w:style w:type="paragraph" w:styleId="Signature">
    <w:name w:val="Signature"/>
    <w:basedOn w:val="Normal"/>
    <w:semiHidden/>
    <w:pPr>
      <w:ind w:left="5250"/>
    </w:pPr>
  </w:style>
  <w:style w:type="paragraph" w:customStyle="1" w:styleId="ONUMA">
    <w:name w:val="ONUM A"/>
    <w:basedOn w:val="BodyText"/>
    <w:pPr>
      <w:numPr>
        <w:numId w:val="7"/>
      </w:numPr>
    </w:pPr>
    <w:rPr>
      <w:rFonts w:eastAsia="Times New Roman"/>
      <w:lang w:eastAsia="en-US"/>
    </w:rPr>
  </w:style>
  <w:style w:type="character" w:styleId="FootnoteReference">
    <w:name w:val="footnote reference"/>
    <w:basedOn w:val="DefaultParagraphFont"/>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paragraph" w:customStyle="1" w:styleId="NormalParaAR">
    <w:name w:val="Normal_Para_AR"/>
    <w:link w:val="NormalParaARChar"/>
    <w:pPr>
      <w:bidi/>
      <w:spacing w:after="240" w:line="360" w:lineRule="exact"/>
    </w:pPr>
    <w:rPr>
      <w:rFonts w:ascii="Arabic Typesetting" w:hAnsi="Arabic Typesetting" w:cs="Arabic Typesetting"/>
      <w:sz w:val="36"/>
      <w:szCs w:val="36"/>
      <w:lang w:val="en-US" w:eastAsia="en-US"/>
    </w:rPr>
  </w:style>
  <w:style w:type="character" w:customStyle="1" w:styleId="NormalParaARChar">
    <w:name w:val="Normal_Para_AR Char"/>
    <w:link w:val="NormalParaAR"/>
    <w:rPr>
      <w:rFonts w:ascii="Arabic Typesetting" w:hAnsi="Arabic Typesetting" w:cs="Arabic Typesetting"/>
      <w:sz w:val="36"/>
      <w:szCs w:val="36"/>
      <w:lang w:val="en-US" w:eastAsia="en-US"/>
    </w:rPr>
  </w:style>
  <w:style w:type="character" w:customStyle="1" w:styleId="FootnoteTextChar">
    <w:name w:val="Footnote Text Char"/>
    <w:link w:val="FootnoteText"/>
    <w:semiHidden/>
    <w:locked/>
    <w:rPr>
      <w:rFonts w:ascii="Arial" w:eastAsia="SimSun" w:hAnsi="Arial" w:cs="Calibri"/>
      <w:sz w:val="18"/>
      <w:szCs w:val="18"/>
      <w:lang w:val="en-US" w:eastAsia="zh-CN"/>
    </w:rPr>
  </w:style>
  <w:style w:type="character" w:customStyle="1" w:styleId="EndnoteTextChar">
    <w:name w:val="Endnote Text Char"/>
    <w:link w:val="EndnoteText"/>
    <w:semiHidden/>
    <w:locked/>
    <w:rPr>
      <w:rFonts w:ascii="Arial" w:eastAsia="SimSun" w:hAnsi="Arial" w:cs="Calibri"/>
      <w:sz w:val="18"/>
      <w:szCs w:val="18"/>
      <w:lang w:val="en-US" w:eastAsia="zh-CN"/>
    </w:rPr>
  </w:style>
  <w:style w:type="paragraph" w:customStyle="1" w:styleId="NumberedParaAR">
    <w:name w:val="Numbered_Para_AR"/>
    <w:basedOn w:val="NormalParaAR"/>
    <w:pPr>
      <w:numPr>
        <w:numId w:val="18"/>
      </w:numPr>
    </w:pPr>
  </w:style>
  <w:style w:type="table" w:styleId="TableGrid">
    <w:name w:val="Table Grid"/>
    <w:basedOn w:val="TableNormal"/>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CodeAR">
    <w:name w:val="Document_Code_AR"/>
    <w:basedOn w:val="Normal"/>
    <w:next w:val="DocumentLanguageAR"/>
    <w:pPr>
      <w:bidi w:val="0"/>
      <w:jc w:val="right"/>
    </w:pPr>
    <w:rPr>
      <w:rFonts w:ascii="Arial Black" w:eastAsia="Times New Roman" w:hAnsi="Arial Black" w:cs="Arabic Typesetting"/>
      <w:b/>
      <w:bCs/>
      <w:sz w:val="16"/>
      <w:szCs w:val="16"/>
      <w:lang w:eastAsia="en-US"/>
    </w:rPr>
  </w:style>
  <w:style w:type="paragraph" w:customStyle="1" w:styleId="DocumentLanguageAR">
    <w:name w:val="Document_Language_AR"/>
    <w:basedOn w:val="Normal"/>
    <w:next w:val="DocumentDateAR"/>
    <w:pPr>
      <w:bidi w:val="0"/>
      <w:spacing w:line="240" w:lineRule="exact"/>
      <w:jc w:val="right"/>
    </w:pPr>
    <w:rPr>
      <w:rFonts w:ascii="Arabic Typesetting" w:eastAsia="Times New Roman" w:hAnsi="Arabic Typesetting" w:cs="Arabic Typesetting"/>
      <w:b/>
      <w:bCs/>
      <w:sz w:val="30"/>
      <w:szCs w:val="30"/>
      <w:lang w:eastAsia="en-US"/>
    </w:rPr>
  </w:style>
  <w:style w:type="paragraph" w:customStyle="1" w:styleId="DocumentDateAR">
    <w:name w:val="Document_Date_AR"/>
    <w:basedOn w:val="Normal"/>
    <w:next w:val="NormalParaAR"/>
    <w:pPr>
      <w:bidi w:val="0"/>
      <w:jc w:val="right"/>
    </w:pPr>
    <w:rPr>
      <w:rFonts w:ascii="Arabic Typesetting" w:eastAsia="Times New Roman" w:hAnsi="Arabic Typesetting" w:cs="Arabic Typesetting"/>
      <w:b/>
      <w:bCs/>
      <w:sz w:val="30"/>
      <w:szCs w:val="30"/>
      <w:lang w:eastAsia="en-US"/>
    </w:rPr>
  </w:style>
  <w:style w:type="paragraph" w:customStyle="1" w:styleId="MeetingTitleAR">
    <w:name w:val="Meeting_Title_AR"/>
    <w:basedOn w:val="Normal"/>
    <w:next w:val="NormalParaAR"/>
    <w:pPr>
      <w:bidi w:val="0"/>
      <w:spacing w:line="360" w:lineRule="exact"/>
    </w:pPr>
    <w:rPr>
      <w:rFonts w:ascii="Arial Black" w:eastAsia="Times New Roman" w:hAnsi="Arial Black" w:cs="PT Bold Heading"/>
      <w:sz w:val="34"/>
      <w:szCs w:val="34"/>
      <w:lang w:eastAsia="en-US"/>
    </w:rPr>
  </w:style>
  <w:style w:type="paragraph" w:customStyle="1" w:styleId="MeetingSessionAR">
    <w:name w:val="Meeting_Session_AR"/>
    <w:basedOn w:val="Normal"/>
    <w:next w:val="NormalParaAR"/>
    <w:pPr>
      <w:bidi w:val="0"/>
      <w:spacing w:line="360" w:lineRule="exact"/>
    </w:pPr>
    <w:rPr>
      <w:rFonts w:ascii="Arial Black" w:eastAsia="Times New Roman" w:hAnsi="Arial Black" w:cs="PT Bold Heading"/>
      <w:sz w:val="30"/>
      <w:szCs w:val="30"/>
      <w:lang w:eastAsia="en-US"/>
    </w:rPr>
  </w:style>
  <w:style w:type="paragraph" w:customStyle="1" w:styleId="MeetingDatesAR">
    <w:name w:val="Meeting_Dates_AR"/>
    <w:basedOn w:val="Normal"/>
    <w:next w:val="NormalParaAR"/>
    <w:pPr>
      <w:bidi w:val="0"/>
      <w:spacing w:line="360" w:lineRule="exact"/>
    </w:pPr>
    <w:rPr>
      <w:rFonts w:ascii="Arabic Typesetting" w:eastAsia="Times New Roman" w:hAnsi="Arabic Typesetting" w:cs="Arabic Typesetting"/>
      <w:b/>
      <w:bCs/>
      <w:sz w:val="36"/>
      <w:szCs w:val="36"/>
      <w:lang w:eastAsia="en-US"/>
    </w:rPr>
  </w:style>
  <w:style w:type="paragraph" w:customStyle="1" w:styleId="DocumentTitleAR">
    <w:name w:val="Document_Title_AR"/>
    <w:basedOn w:val="Normal"/>
    <w:next w:val="PreparedbyAR"/>
    <w:pPr>
      <w:bidi w:val="0"/>
      <w:spacing w:line="360" w:lineRule="exact"/>
    </w:pPr>
    <w:rPr>
      <w:rFonts w:ascii="Arial Black" w:eastAsia="Times New Roman" w:hAnsi="Arial Black" w:cs="PT Bold Heading"/>
      <w:sz w:val="26"/>
      <w:szCs w:val="26"/>
      <w:lang w:eastAsia="en-US"/>
    </w:rPr>
  </w:style>
  <w:style w:type="paragraph" w:customStyle="1" w:styleId="PreparedbyAR">
    <w:name w:val="Prepared_by_AR"/>
    <w:basedOn w:val="Normal"/>
    <w:next w:val="NormalParaAR"/>
    <w:pPr>
      <w:bidi w:val="0"/>
      <w:spacing w:before="240" w:after="840" w:line="360" w:lineRule="exact"/>
    </w:pPr>
    <w:rPr>
      <w:rFonts w:ascii="Arabic Typesetting" w:eastAsia="Times New Roman" w:hAnsi="Arabic Typesetting" w:cs="Arabic Typesetting"/>
      <w:i/>
      <w:iCs/>
      <w:sz w:val="36"/>
      <w:szCs w:val="36"/>
      <w:lang w:eastAsia="en-US"/>
    </w:rPr>
  </w:style>
  <w:style w:type="paragraph" w:customStyle="1" w:styleId="DecisionParaAR">
    <w:name w:val="Decision_Para_AR"/>
    <w:basedOn w:val="NumberedParaAR"/>
    <w:pPr>
      <w:ind w:left="5534"/>
    </w:pPr>
    <w:rPr>
      <w:i/>
      <w:iCs/>
    </w:rPr>
  </w:style>
  <w:style w:type="paragraph" w:customStyle="1" w:styleId="EndofDocumentAR">
    <w:name w:val="End_of_Document_AR"/>
    <w:basedOn w:val="NormalParaAR"/>
    <w:next w:val="NormalParaAR"/>
    <w:pPr>
      <w:ind w:left="5534"/>
    </w:pPr>
  </w:style>
  <w:style w:type="paragraph" w:customStyle="1" w:styleId="Heading1AR">
    <w:name w:val="Heading_1_AR"/>
    <w:basedOn w:val="NormalParaAR"/>
    <w:next w:val="NormalParaAR"/>
    <w:pPr>
      <w:keepNext/>
      <w:spacing w:before="240" w:after="60" w:line="400" w:lineRule="exact"/>
    </w:pPr>
    <w:rPr>
      <w:bCs/>
      <w:sz w:val="40"/>
      <w:szCs w:val="40"/>
    </w:rPr>
  </w:style>
  <w:style w:type="paragraph" w:customStyle="1" w:styleId="Heading2AR">
    <w:name w:val="Heading_2_AR"/>
    <w:basedOn w:val="Heading1AR"/>
    <w:next w:val="NormalParaAR"/>
    <w:rPr>
      <w:bCs w:val="0"/>
    </w:rPr>
  </w:style>
  <w:style w:type="paragraph" w:customStyle="1" w:styleId="Heading3AR">
    <w:name w:val="Heading_3_AR"/>
    <w:basedOn w:val="Heading2AR"/>
    <w:next w:val="NormalParaAR"/>
    <w:pPr>
      <w:spacing w:before="120" w:line="360" w:lineRule="exact"/>
    </w:pPr>
    <w:rPr>
      <w:sz w:val="36"/>
      <w:szCs w:val="36"/>
      <w:u w:val="single"/>
    </w:rPr>
  </w:style>
  <w:style w:type="paragraph" w:customStyle="1" w:styleId="Heading4AR">
    <w:name w:val="Heading_4_AR"/>
    <w:basedOn w:val="Heading3AR"/>
    <w:next w:val="NormalParaAR"/>
    <w:rPr>
      <w:iCs/>
      <w:u w:val="none"/>
    </w:rPr>
  </w:style>
  <w:style w:type="paragraph" w:styleId="BalloonText">
    <w:name w:val="Balloon Text"/>
    <w:basedOn w:val="Normal"/>
    <w:link w:val="BalloonTextChar"/>
    <w:pPr>
      <w:bidi w:val="0"/>
    </w:pPr>
    <w:rPr>
      <w:rFonts w:ascii="Tahoma" w:eastAsia="Times New Roman" w:hAnsi="Tahoma" w:cs="Tahoma"/>
      <w:sz w:val="16"/>
      <w:szCs w:val="16"/>
      <w:lang w:eastAsia="en-US"/>
    </w:rPr>
  </w:style>
  <w:style w:type="character" w:customStyle="1" w:styleId="BalloonTextChar">
    <w:name w:val="Balloon Text Char"/>
    <w:basedOn w:val="DefaultParagraphFont"/>
    <w:link w:val="BalloonText"/>
    <w:rPr>
      <w:rFonts w:ascii="Tahoma" w:hAnsi="Tahoma" w:cs="Tahoma"/>
      <w:sz w:val="16"/>
      <w:szCs w:val="16"/>
      <w:lang w:val="en-US" w:eastAsia="en-US"/>
    </w:rPr>
  </w:style>
  <w:style w:type="paragraph" w:customStyle="1" w:styleId="DecisionInvitingPara">
    <w:name w:val="Decision Inviting Para."/>
    <w:basedOn w:val="Normal"/>
    <w:pPr>
      <w:bidi w:val="0"/>
      <w:spacing w:after="120" w:line="260" w:lineRule="atLeast"/>
      <w:ind w:left="5534"/>
    </w:pPr>
    <w:rPr>
      <w:rFonts w:eastAsia="Times New Roman" w:cs="Times New Roman"/>
      <w:i/>
      <w:sz w:val="20"/>
      <w:szCs w:val="20"/>
      <w:lang w:eastAsia="en-US"/>
    </w:rPr>
  </w:style>
  <w:style w:type="paragraph" w:styleId="NormalWeb">
    <w:name w:val="Normal (Web)"/>
    <w:basedOn w:val="Normal"/>
    <w:pPr>
      <w:bidi w:val="0"/>
      <w:spacing w:before="100" w:beforeAutospacing="1" w:after="100" w:afterAutospacing="1"/>
    </w:pPr>
    <w:rPr>
      <w:rFonts w:ascii="Times New Roman" w:eastAsia="Times New Roman" w:hAnsi="Times New Roman" w:cs="Times New Roman"/>
      <w:sz w:val="24"/>
      <w:szCs w:val="24"/>
      <w:lang w:val="fr-FR" w:eastAsia="fr-FR"/>
    </w:rPr>
  </w:style>
  <w:style w:type="paragraph" w:customStyle="1" w:styleId="DecisionParagraphAR">
    <w:name w:val="Decision Paragraph AR"/>
    <w:basedOn w:val="Normal"/>
    <w:pPr>
      <w:spacing w:after="120" w:line="340" w:lineRule="exact"/>
      <w:ind w:left="5534"/>
    </w:pPr>
    <w:rPr>
      <w:rFonts w:ascii="Arabic Typesetting" w:eastAsia="Times New Roman" w:hAnsi="Arabic Typesetting" w:cs="Arabic Typesetting"/>
      <w:i/>
      <w:iCs/>
      <w:sz w:val="34"/>
      <w:szCs w:val="34"/>
      <w:lang w:eastAsia="en-US" w:bidi="ar-EG"/>
    </w:rPr>
  </w:style>
  <w:style w:type="paragraph" w:styleId="TOC1">
    <w:name w:val="toc 1"/>
    <w:basedOn w:val="Normal"/>
    <w:next w:val="Normal"/>
    <w:autoRedefine/>
    <w:uiPriority w:val="39"/>
    <w:pPr>
      <w:tabs>
        <w:tab w:val="right" w:leader="dot" w:pos="9345"/>
      </w:tabs>
      <w:spacing w:after="160" w:line="360" w:lineRule="exact"/>
      <w:ind w:left="992" w:hanging="992"/>
      <w:jc w:val="both"/>
    </w:pPr>
    <w:rPr>
      <w:rFonts w:eastAsia="Times New Roman" w:cs="Arial"/>
      <w:szCs w:val="20"/>
      <w:lang w:eastAsia="en-US"/>
    </w:rPr>
  </w:style>
  <w:style w:type="character" w:styleId="PageNumber">
    <w:name w:val="page number"/>
    <w:basedOn w:val="DefaultParagraphFont"/>
  </w:style>
  <w:style w:type="paragraph" w:styleId="ListParagraph">
    <w:name w:val="List Paragraph"/>
    <w:basedOn w:val="Normal"/>
    <w:uiPriority w:val="34"/>
    <w:qFormat/>
    <w:pPr>
      <w:bidi w:val="0"/>
      <w:ind w:left="720"/>
      <w:contextualSpacing/>
    </w:pPr>
    <w:rPr>
      <w:rFonts w:eastAsia="Times New Roman" w:cs="Arial"/>
      <w:szCs w:val="20"/>
      <w:lang w:eastAsia="en-US"/>
    </w:rPr>
  </w:style>
  <w:style w:type="paragraph" w:styleId="TOC2">
    <w:name w:val="toc 2"/>
    <w:basedOn w:val="Normal"/>
    <w:next w:val="Normal"/>
    <w:autoRedefine/>
    <w:uiPriority w:val="39"/>
    <w:unhideWhenUsed/>
    <w:pPr>
      <w:spacing w:after="100"/>
      <w:ind w:left="220"/>
    </w:pPr>
  </w:style>
  <w:style w:type="character" w:customStyle="1" w:styleId="HeaderChar">
    <w:name w:val="Header Char"/>
    <w:basedOn w:val="DefaultParagraphFont"/>
    <w:link w:val="Header"/>
    <w:uiPriority w:val="99"/>
    <w:rPr>
      <w:rFonts w:ascii="Arial" w:eastAsia="SimSun" w:hAnsi="Arial"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SCT_S3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46ABA-231A-470C-B54C-1C02757E4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SCT_S3_AR.dotx</Template>
  <TotalTime>168</TotalTime>
  <Pages>6</Pages>
  <Words>1594</Words>
  <Characters>8089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SCT/S3/4 (Arabic)</vt:lpstr>
    </vt:vector>
  </TitlesOfParts>
  <Company>WIPO</Company>
  <LinksUpToDate>false</LinksUpToDate>
  <CharactersWithSpaces>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SCT/S3/4 (Arabic)</dc:title>
  <dc:creator>MERZOUK Fawzi</dc:creator>
  <cp:keywords>FOR OFFICIAL USE ONLY</cp:keywords>
  <cp:lastModifiedBy>MERZOUK Fawzi</cp:lastModifiedBy>
  <cp:revision>15</cp:revision>
  <cp:lastPrinted>2023-10-10T10:46:00Z</cp:lastPrinted>
  <dcterms:created xsi:type="dcterms:W3CDTF">2023-08-01T09:37:00Z</dcterms:created>
  <dcterms:modified xsi:type="dcterms:W3CDTF">2023-10-10T10:48:00Z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2023-05-04T11:37:58Z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3621fe17-b4a0-4814-87df-012edab2e0d2</vt:lpwstr>
  </property>
  <property fmtid="{D5CDD505-2E9C-101B-9397-08002B2CF9AE}" pid="13" name="MSIP_Label_20773ee6-353b-4fb9-a59d-0b94c8c67bea_ContentBits">
    <vt:lpwstr>0</vt:lpwstr>
  </property>
</Properties>
</file>