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2140F" w:rsidRPr="00C94E9E" w:rsidTr="00D85F92">
        <w:trPr>
          <w:trHeight w:val="1977"/>
        </w:trPr>
        <w:tc>
          <w:tcPr>
            <w:tcW w:w="4594" w:type="dxa"/>
            <w:tcBorders>
              <w:bottom w:val="single" w:sz="4" w:space="0" w:color="auto"/>
            </w:tcBorders>
            <w:tcMar>
              <w:bottom w:w="170" w:type="dxa"/>
            </w:tcMar>
          </w:tcPr>
          <w:p w:rsidR="00A2140F" w:rsidRPr="00C94E9E" w:rsidRDefault="00CE0B7E" w:rsidP="00D85F92">
            <w:bookmarkStart w:id="0" w:name="TitleOfDoc"/>
            <w:bookmarkEnd w:id="0"/>
            <w:r>
              <w:rPr>
                <w:noProof/>
              </w:rPr>
              <w:drawing>
                <wp:anchor distT="0" distB="0" distL="114300" distR="114300" simplePos="0" relativeHeight="251659264" behindDoc="1" locked="0" layoutInCell="0" allowOverlap="1">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2140F" w:rsidRPr="00C94E9E" w:rsidRDefault="00A2140F" w:rsidP="00D85F92"/>
        </w:tc>
        <w:tc>
          <w:tcPr>
            <w:tcW w:w="425" w:type="dxa"/>
            <w:tcBorders>
              <w:bottom w:val="single" w:sz="4" w:space="0" w:color="auto"/>
            </w:tcBorders>
            <w:tcMar>
              <w:left w:w="0" w:type="dxa"/>
              <w:right w:w="0" w:type="dxa"/>
            </w:tcMar>
          </w:tcPr>
          <w:p w:rsidR="00A2140F" w:rsidRPr="00C94E9E" w:rsidRDefault="00A2140F" w:rsidP="00D85F92">
            <w:pPr>
              <w:jc w:val="right"/>
            </w:pPr>
            <w:r w:rsidRPr="00C94E9E">
              <w:rPr>
                <w:b/>
                <w:sz w:val="40"/>
                <w:szCs w:val="40"/>
              </w:rPr>
              <w:t>C</w:t>
            </w:r>
          </w:p>
        </w:tc>
      </w:tr>
      <w:tr w:rsidR="00A2140F" w:rsidRPr="000E7C23" w:rsidTr="00D85F92">
        <w:trPr>
          <w:trHeight w:hRule="exact" w:val="340"/>
        </w:trPr>
        <w:tc>
          <w:tcPr>
            <w:tcW w:w="9356" w:type="dxa"/>
            <w:gridSpan w:val="3"/>
            <w:tcBorders>
              <w:top w:val="single" w:sz="4" w:space="0" w:color="auto"/>
            </w:tcBorders>
            <w:tcMar>
              <w:top w:w="170" w:type="dxa"/>
              <w:left w:w="0" w:type="dxa"/>
              <w:right w:w="0" w:type="dxa"/>
            </w:tcMar>
            <w:vAlign w:val="bottom"/>
          </w:tcPr>
          <w:p w:rsidR="00A2140F" w:rsidRPr="00C94E9E" w:rsidRDefault="00A2140F" w:rsidP="00D85F92">
            <w:pPr>
              <w:jc w:val="right"/>
              <w:rPr>
                <w:rFonts w:ascii="Arial Black" w:hAnsi="Arial Black"/>
                <w:caps/>
                <w:sz w:val="15"/>
              </w:rPr>
            </w:pPr>
            <w:r>
              <w:rPr>
                <w:rFonts w:ascii="Arial Black" w:hAnsi="Arial Black"/>
                <w:caps/>
                <w:sz w:val="15"/>
              </w:rPr>
              <w:t>SCP/20/</w:t>
            </w:r>
            <w:bookmarkStart w:id="1" w:name="Code"/>
            <w:bookmarkEnd w:id="1"/>
            <w:r>
              <w:rPr>
                <w:rFonts w:ascii="Arial Black" w:hAnsi="Arial Black" w:hint="eastAsia"/>
                <w:caps/>
                <w:sz w:val="15"/>
              </w:rPr>
              <w:t>10</w:t>
            </w:r>
          </w:p>
        </w:tc>
      </w:tr>
      <w:tr w:rsidR="00A2140F" w:rsidRPr="00C94E9E" w:rsidTr="00D85F92">
        <w:trPr>
          <w:trHeight w:hRule="exact" w:val="170"/>
        </w:trPr>
        <w:tc>
          <w:tcPr>
            <w:tcW w:w="9356" w:type="dxa"/>
            <w:gridSpan w:val="3"/>
            <w:noWrap/>
            <w:tcMar>
              <w:left w:w="0" w:type="dxa"/>
              <w:right w:w="0" w:type="dxa"/>
            </w:tcMar>
            <w:vAlign w:val="bottom"/>
          </w:tcPr>
          <w:p w:rsidR="00A2140F" w:rsidRPr="00C94E9E" w:rsidRDefault="00A2140F" w:rsidP="00D85F92">
            <w:pPr>
              <w:jc w:val="right"/>
              <w:rPr>
                <w:rFonts w:ascii="Arial Black" w:hAnsi="Arial Black"/>
                <w:b/>
                <w:caps/>
                <w:sz w:val="15"/>
                <w:szCs w:val="15"/>
              </w:rPr>
            </w:pPr>
            <w:r w:rsidRPr="00C94E9E">
              <w:rPr>
                <w:rFonts w:eastAsia="SimHei" w:hint="eastAsia"/>
                <w:b/>
                <w:sz w:val="15"/>
                <w:szCs w:val="15"/>
              </w:rPr>
              <w:t>原</w:t>
            </w:r>
            <w:r w:rsidRPr="00C94E9E">
              <w:rPr>
                <w:rFonts w:eastAsia="SimHei"/>
                <w:b/>
                <w:sz w:val="15"/>
                <w:szCs w:val="15"/>
                <w:lang w:val="pt-BR"/>
              </w:rPr>
              <w:t xml:space="preserve"> </w:t>
            </w:r>
            <w:r w:rsidRPr="00C94E9E">
              <w:rPr>
                <w:rFonts w:eastAsia="SimHei" w:hint="eastAsia"/>
                <w:b/>
                <w:sz w:val="15"/>
                <w:szCs w:val="15"/>
              </w:rPr>
              <w:t>文</w:t>
            </w:r>
            <w:r w:rsidRPr="00C94E9E">
              <w:rPr>
                <w:rFonts w:eastAsia="SimHei" w:hint="eastAsia"/>
                <w:b/>
                <w:sz w:val="15"/>
                <w:szCs w:val="15"/>
                <w:lang w:val="pt-BR"/>
              </w:rPr>
              <w:t>：英</w:t>
            </w:r>
            <w:r w:rsidRPr="00C94E9E">
              <w:rPr>
                <w:rFonts w:eastAsia="SimHei" w:hint="eastAsia"/>
                <w:b/>
                <w:sz w:val="15"/>
                <w:szCs w:val="15"/>
              </w:rPr>
              <w:t>文</w:t>
            </w:r>
          </w:p>
        </w:tc>
      </w:tr>
      <w:tr w:rsidR="00A2140F" w:rsidRPr="00C94E9E" w:rsidTr="00D85F92">
        <w:trPr>
          <w:trHeight w:hRule="exact" w:val="198"/>
        </w:trPr>
        <w:tc>
          <w:tcPr>
            <w:tcW w:w="9356" w:type="dxa"/>
            <w:gridSpan w:val="3"/>
            <w:tcMar>
              <w:left w:w="0" w:type="dxa"/>
              <w:right w:w="0" w:type="dxa"/>
            </w:tcMar>
            <w:vAlign w:val="bottom"/>
          </w:tcPr>
          <w:p w:rsidR="00A2140F" w:rsidRPr="00C94E9E" w:rsidRDefault="00A2140F" w:rsidP="00D85F92">
            <w:pPr>
              <w:jc w:val="right"/>
              <w:rPr>
                <w:rFonts w:ascii="SimHei" w:eastAsia="SimHei" w:hAnsi="Arial Black"/>
                <w:b/>
                <w:caps/>
                <w:sz w:val="15"/>
                <w:szCs w:val="15"/>
              </w:rPr>
            </w:pPr>
            <w:r w:rsidRPr="00C94E9E">
              <w:rPr>
                <w:rFonts w:ascii="SimHei" w:eastAsia="SimHei" w:hint="eastAsia"/>
                <w:b/>
                <w:sz w:val="15"/>
                <w:szCs w:val="15"/>
              </w:rPr>
              <w:t>日</w:t>
            </w:r>
            <w:r w:rsidRPr="00C94E9E">
              <w:rPr>
                <w:rFonts w:ascii="SimHei" w:eastAsia="SimHei" w:hint="eastAsia"/>
                <w:b/>
                <w:sz w:val="15"/>
                <w:szCs w:val="15"/>
                <w:lang w:val="pt-BR"/>
              </w:rPr>
              <w:t xml:space="preserve"> </w:t>
            </w:r>
            <w:r w:rsidRPr="00C94E9E">
              <w:rPr>
                <w:rFonts w:ascii="SimHei" w:eastAsia="SimHei" w:hint="eastAsia"/>
                <w:b/>
                <w:sz w:val="15"/>
                <w:szCs w:val="15"/>
              </w:rPr>
              <w:t>期</w:t>
            </w:r>
            <w:r w:rsidRPr="00C94E9E">
              <w:rPr>
                <w:rFonts w:ascii="SimHei" w:eastAsia="SimHei" w:hAnsi="SimSun" w:hint="eastAsia"/>
                <w:b/>
                <w:sz w:val="15"/>
                <w:szCs w:val="15"/>
                <w:lang w:val="pt-BR"/>
              </w:rPr>
              <w:t>：</w:t>
            </w:r>
            <w:r w:rsidRPr="00C94E9E">
              <w:rPr>
                <w:rFonts w:ascii="Arial Black" w:eastAsia="SimHei" w:hAnsi="Arial Black"/>
                <w:b/>
                <w:sz w:val="15"/>
                <w:szCs w:val="15"/>
                <w:lang w:val="pt-BR"/>
              </w:rPr>
              <w:t>2013</w:t>
            </w:r>
            <w:r w:rsidRPr="00C94E9E">
              <w:rPr>
                <w:rFonts w:ascii="SimHei" w:eastAsia="SimHei" w:hAnsi="Times New Roman" w:hint="eastAsia"/>
                <w:b/>
                <w:sz w:val="15"/>
                <w:szCs w:val="15"/>
              </w:rPr>
              <w:t>年</w:t>
            </w:r>
            <w:r w:rsidRPr="009D03B2">
              <w:rPr>
                <w:rFonts w:ascii="Arial Black" w:eastAsia="SimHei" w:hAnsi="Arial Black" w:hint="eastAsia"/>
                <w:b/>
                <w:sz w:val="15"/>
                <w:szCs w:val="15"/>
                <w:lang w:val="pt-BR"/>
              </w:rPr>
              <w:t>1</w:t>
            </w:r>
            <w:r>
              <w:rPr>
                <w:rFonts w:ascii="Arial Black" w:eastAsia="SimHei" w:hAnsi="Arial Black" w:hint="eastAsia"/>
                <w:b/>
                <w:sz w:val="15"/>
                <w:szCs w:val="15"/>
                <w:lang w:val="pt-BR"/>
              </w:rPr>
              <w:t>2</w:t>
            </w:r>
            <w:r w:rsidRPr="00C94E9E">
              <w:rPr>
                <w:rFonts w:ascii="SimHei" w:eastAsia="SimHei" w:hAnsi="Times New Roman" w:hint="eastAsia"/>
                <w:b/>
                <w:sz w:val="15"/>
                <w:szCs w:val="15"/>
              </w:rPr>
              <w:t>月</w:t>
            </w:r>
            <w:r>
              <w:rPr>
                <w:rFonts w:ascii="Arial Black" w:eastAsia="SimHei" w:hAnsi="Arial Black" w:hint="eastAsia"/>
                <w:b/>
                <w:sz w:val="15"/>
                <w:szCs w:val="15"/>
              </w:rPr>
              <w:t>4</w:t>
            </w:r>
            <w:r w:rsidRPr="00C94E9E">
              <w:rPr>
                <w:rFonts w:ascii="SimHei" w:eastAsia="SimHei" w:hAnsi="Times New Roman" w:hint="eastAsia"/>
                <w:b/>
                <w:sz w:val="15"/>
                <w:szCs w:val="15"/>
              </w:rPr>
              <w:t>日</w:t>
            </w:r>
            <w:r w:rsidRPr="00C94E9E">
              <w:rPr>
                <w:rFonts w:ascii="SimHei" w:eastAsia="SimHei" w:hAnsi="Arial Black" w:hint="eastAsia"/>
                <w:b/>
                <w:caps/>
                <w:sz w:val="15"/>
                <w:szCs w:val="15"/>
              </w:rPr>
              <w:t xml:space="preserve">  </w:t>
            </w:r>
            <w:bookmarkStart w:id="2" w:name="Date"/>
            <w:bookmarkEnd w:id="2"/>
          </w:p>
        </w:tc>
      </w:tr>
    </w:tbl>
    <w:p w:rsidR="00A2140F" w:rsidRPr="00C94E9E" w:rsidRDefault="00A2140F" w:rsidP="00A2140F"/>
    <w:p w:rsidR="00A2140F" w:rsidRPr="00C94E9E" w:rsidRDefault="00A2140F" w:rsidP="00A2140F"/>
    <w:p w:rsidR="00A2140F" w:rsidRPr="00C94E9E" w:rsidRDefault="00A2140F" w:rsidP="00A2140F"/>
    <w:p w:rsidR="00A2140F" w:rsidRPr="00C94E9E" w:rsidRDefault="00A2140F" w:rsidP="00A2140F"/>
    <w:p w:rsidR="00A2140F" w:rsidRPr="00C94E9E" w:rsidRDefault="00A2140F" w:rsidP="00A2140F"/>
    <w:p w:rsidR="00A2140F" w:rsidRPr="00C94E9E" w:rsidRDefault="00A2140F" w:rsidP="00A2140F">
      <w:pPr>
        <w:pStyle w:val="Meetingtitle"/>
        <w:spacing w:line="240" w:lineRule="auto"/>
        <w:ind w:left="0"/>
        <w:rPr>
          <w:rFonts w:ascii="SimHei" w:eastAsia="SimHei"/>
          <w:b w:val="0"/>
          <w:szCs w:val="28"/>
          <w:lang w:eastAsia="zh-CN"/>
        </w:rPr>
      </w:pPr>
      <w:r w:rsidRPr="00C94E9E">
        <w:rPr>
          <w:rFonts w:ascii="SimHei" w:eastAsia="SimHei" w:hint="eastAsia"/>
          <w:b w:val="0"/>
          <w:szCs w:val="28"/>
          <w:lang w:eastAsia="zh-CN"/>
        </w:rPr>
        <w:t>专利法常设委员会</w:t>
      </w:r>
    </w:p>
    <w:p w:rsidR="00A2140F" w:rsidRPr="00C94E9E" w:rsidRDefault="00A2140F" w:rsidP="00A2140F"/>
    <w:p w:rsidR="00A2140F" w:rsidRPr="00C94E9E" w:rsidRDefault="00A2140F" w:rsidP="00A2140F"/>
    <w:p w:rsidR="00A2140F" w:rsidRPr="00C94E9E" w:rsidRDefault="00A2140F" w:rsidP="00A2140F">
      <w:pPr>
        <w:autoSpaceDE w:val="0"/>
        <w:autoSpaceDN w:val="0"/>
        <w:textAlignment w:val="bottom"/>
        <w:rPr>
          <w:rFonts w:ascii="KaiTi" w:eastAsia="KaiTi"/>
          <w:b/>
          <w:sz w:val="24"/>
          <w:szCs w:val="24"/>
        </w:rPr>
      </w:pPr>
      <w:r w:rsidRPr="00C94E9E">
        <w:rPr>
          <w:rFonts w:ascii="KaiTi" w:eastAsia="KaiTi" w:hint="eastAsia"/>
          <w:b/>
          <w:sz w:val="24"/>
          <w:szCs w:val="24"/>
        </w:rPr>
        <w:t>第</w:t>
      </w:r>
      <w:r>
        <w:rPr>
          <w:rFonts w:ascii="KaiTi" w:eastAsia="KaiTi" w:hint="eastAsia"/>
          <w:b/>
          <w:sz w:val="24"/>
          <w:szCs w:val="24"/>
        </w:rPr>
        <w:t>二</w:t>
      </w:r>
      <w:r w:rsidRPr="00C94E9E">
        <w:rPr>
          <w:rFonts w:ascii="KaiTi" w:eastAsia="KaiTi" w:hint="eastAsia"/>
          <w:b/>
          <w:sz w:val="24"/>
          <w:szCs w:val="24"/>
        </w:rPr>
        <w:t>十届会议</w:t>
      </w:r>
    </w:p>
    <w:p w:rsidR="00A2140F" w:rsidRPr="00C94E9E" w:rsidRDefault="00A2140F" w:rsidP="00A2140F">
      <w:pPr>
        <w:pStyle w:val="Meetingplacedate"/>
        <w:spacing w:line="240" w:lineRule="auto"/>
        <w:ind w:left="0"/>
        <w:rPr>
          <w:rFonts w:ascii="KaiTi" w:eastAsia="KaiTi" w:cs="Arial"/>
          <w:szCs w:val="24"/>
          <w:lang w:eastAsia="zh-CN"/>
        </w:rPr>
      </w:pPr>
      <w:r w:rsidRPr="00C94E9E">
        <w:rPr>
          <w:rFonts w:ascii="KaiTi" w:eastAsia="KaiTi" w:hAnsi="Times New Roman"/>
          <w:b w:val="0"/>
          <w:szCs w:val="24"/>
          <w:lang w:eastAsia="zh-CN"/>
        </w:rPr>
        <w:t>201</w:t>
      </w:r>
      <w:r>
        <w:rPr>
          <w:rFonts w:ascii="KaiTi" w:eastAsia="KaiTi" w:hAnsi="Times New Roman" w:hint="eastAsia"/>
          <w:b w:val="0"/>
          <w:szCs w:val="24"/>
          <w:lang w:eastAsia="zh-CN"/>
        </w:rPr>
        <w:t>4</w:t>
      </w:r>
      <w:r w:rsidRPr="00C94E9E">
        <w:rPr>
          <w:rFonts w:ascii="KaiTi" w:eastAsia="KaiTi" w:cs="Arial" w:hint="eastAsia"/>
          <w:szCs w:val="24"/>
          <w:lang w:eastAsia="zh-CN"/>
        </w:rPr>
        <w:t>年</w:t>
      </w:r>
      <w:r>
        <w:rPr>
          <w:rFonts w:ascii="KaiTi" w:eastAsia="KaiTi" w:hAnsi="Times New Roman" w:hint="eastAsia"/>
          <w:b w:val="0"/>
          <w:szCs w:val="24"/>
          <w:lang w:eastAsia="zh-CN"/>
        </w:rPr>
        <w:t>1</w:t>
      </w:r>
      <w:r w:rsidRPr="00C94E9E">
        <w:rPr>
          <w:rFonts w:ascii="KaiTi" w:eastAsia="KaiTi" w:cs="Arial" w:hint="eastAsia"/>
          <w:szCs w:val="24"/>
          <w:lang w:eastAsia="zh-CN"/>
        </w:rPr>
        <w:t>月</w:t>
      </w:r>
      <w:r>
        <w:rPr>
          <w:rFonts w:ascii="KaiTi" w:eastAsia="KaiTi" w:hAnsi="Times New Roman" w:hint="eastAsia"/>
          <w:b w:val="0"/>
          <w:szCs w:val="24"/>
          <w:lang w:eastAsia="zh-CN"/>
        </w:rPr>
        <w:t>27</w:t>
      </w:r>
      <w:r w:rsidRPr="00C94E9E">
        <w:rPr>
          <w:rFonts w:ascii="KaiTi" w:eastAsia="KaiTi" w:cs="Arial" w:hint="eastAsia"/>
          <w:szCs w:val="24"/>
          <w:lang w:eastAsia="zh-CN"/>
        </w:rPr>
        <w:t>日至</w:t>
      </w:r>
      <w:r>
        <w:rPr>
          <w:rFonts w:ascii="KaiTi" w:eastAsia="KaiTi" w:hAnsi="Times New Roman" w:hint="eastAsia"/>
          <w:b w:val="0"/>
          <w:szCs w:val="24"/>
          <w:lang w:eastAsia="zh-CN"/>
        </w:rPr>
        <w:t>31</w:t>
      </w:r>
      <w:r w:rsidRPr="00C94E9E">
        <w:rPr>
          <w:rFonts w:ascii="KaiTi" w:eastAsia="KaiTi" w:cs="Arial" w:hint="eastAsia"/>
          <w:szCs w:val="24"/>
          <w:lang w:eastAsia="zh-CN"/>
        </w:rPr>
        <w:t>日，日内瓦</w:t>
      </w:r>
    </w:p>
    <w:p w:rsidR="00A2140F" w:rsidRPr="00C94E9E" w:rsidRDefault="00A2140F" w:rsidP="00A2140F"/>
    <w:p w:rsidR="00A2140F" w:rsidRPr="00C94E9E" w:rsidRDefault="00A2140F" w:rsidP="00A2140F"/>
    <w:p w:rsidR="00A2140F" w:rsidRPr="00C94E9E" w:rsidRDefault="00A2140F" w:rsidP="00A2140F"/>
    <w:p w:rsidR="002F3221" w:rsidRPr="00CE0B7E" w:rsidRDefault="002F3221">
      <w:pPr>
        <w:rPr>
          <w:rFonts w:ascii="KaiTi" w:eastAsia="KaiTi" w:hAnsi="KaiTi"/>
          <w:caps/>
          <w:sz w:val="24"/>
        </w:rPr>
      </w:pPr>
      <w:r w:rsidRPr="00CE0B7E">
        <w:rPr>
          <w:rFonts w:ascii="KaiTi" w:eastAsia="KaiTi" w:hAnsi="KaiTi" w:hint="eastAsia"/>
          <w:caps/>
          <w:sz w:val="24"/>
        </w:rPr>
        <w:t>专利和技术转让：进一步的实例和经验</w:t>
      </w:r>
    </w:p>
    <w:p w:rsidR="002F3221" w:rsidRDefault="002F3221"/>
    <w:p w:rsidR="002F3221" w:rsidRPr="00CE0B7E" w:rsidRDefault="002F3221">
      <w:pPr>
        <w:rPr>
          <w:rFonts w:ascii="KaiTi" w:eastAsia="KaiTi" w:hAnsi="KaiTi"/>
          <w:i/>
          <w:sz w:val="21"/>
          <w:szCs w:val="21"/>
        </w:rPr>
      </w:pPr>
      <w:r w:rsidRPr="00CE0B7E">
        <w:rPr>
          <w:rFonts w:ascii="KaiTi" w:eastAsia="KaiTi" w:hAnsi="KaiTi" w:hint="eastAsia"/>
          <w:i/>
          <w:sz w:val="21"/>
          <w:szCs w:val="21"/>
        </w:rPr>
        <w:t>秘书处编拟的文件</w:t>
      </w:r>
    </w:p>
    <w:p w:rsidR="002F3221" w:rsidRDefault="002F3221"/>
    <w:p w:rsidR="002F3221" w:rsidRDefault="002F3221"/>
    <w:p w:rsidR="002F3221" w:rsidRDefault="002F3221"/>
    <w:p w:rsidR="002F3221" w:rsidRDefault="002F3221"/>
    <w:p w:rsidR="002F3221" w:rsidRPr="00C347C2" w:rsidRDefault="002F3221" w:rsidP="00C347C2">
      <w:pPr>
        <w:adjustRightInd w:val="0"/>
        <w:spacing w:beforeLines="100" w:before="240" w:afterLines="100" w:after="240" w:line="340" w:lineRule="atLeast"/>
        <w:ind w:firstLine="27"/>
        <w:jc w:val="both"/>
        <w:rPr>
          <w:rFonts w:ascii="SimHei" w:eastAsia="SimHei" w:hAnsi="SimHei"/>
          <w:sz w:val="21"/>
          <w:szCs w:val="21"/>
        </w:rPr>
      </w:pPr>
      <w:r w:rsidRPr="00C347C2">
        <w:rPr>
          <w:rFonts w:ascii="SimHei" w:eastAsia="SimHei" w:hAnsi="SimHei" w:hint="eastAsia"/>
          <w:sz w:val="21"/>
          <w:szCs w:val="21"/>
        </w:rPr>
        <w:t>导</w:t>
      </w:r>
      <w:r w:rsidR="00C347C2" w:rsidRPr="00C347C2">
        <w:rPr>
          <w:rFonts w:ascii="SimHei" w:eastAsia="SimHei" w:hAnsi="SimHei" w:hint="eastAsia"/>
          <w:sz w:val="21"/>
          <w:szCs w:val="21"/>
        </w:rPr>
        <w:t xml:space="preserve">  </w:t>
      </w:r>
      <w:r w:rsidRPr="00C347C2">
        <w:rPr>
          <w:rFonts w:ascii="SimHei" w:eastAsia="SimHei" w:hAnsi="SimHei" w:hint="eastAsia"/>
          <w:sz w:val="21"/>
          <w:szCs w:val="21"/>
        </w:rPr>
        <w:t>言</w:t>
      </w:r>
    </w:p>
    <w:p w:rsidR="002F3221" w:rsidRPr="00C347C2" w:rsidRDefault="002F3221" w:rsidP="00C347C2">
      <w:pPr>
        <w:adjustRightInd w:val="0"/>
        <w:spacing w:afterLines="50" w:after="120" w:line="340" w:lineRule="atLeast"/>
        <w:jc w:val="both"/>
        <w:rPr>
          <w:rFonts w:ascii="SimSun" w:hAnsi="SimSun"/>
          <w:sz w:val="21"/>
          <w:szCs w:val="21"/>
        </w:rPr>
      </w:pPr>
      <w:r w:rsidRPr="00C347C2">
        <w:rPr>
          <w:rFonts w:ascii="SimSun" w:hAnsi="SimSun"/>
          <w:sz w:val="21"/>
          <w:szCs w:val="21"/>
        </w:rPr>
        <w:fldChar w:fldCharType="begin"/>
      </w:r>
      <w:r w:rsidRPr="00C347C2">
        <w:rPr>
          <w:rFonts w:ascii="SimSun" w:hAnsi="SimSun"/>
          <w:sz w:val="21"/>
          <w:szCs w:val="21"/>
        </w:rPr>
        <w:instrText xml:space="preserve"> AUTONUM  </w:instrText>
      </w:r>
      <w:r w:rsidRPr="00C347C2">
        <w:rPr>
          <w:rFonts w:ascii="SimSun" w:hAnsi="SimSun"/>
          <w:sz w:val="21"/>
          <w:szCs w:val="21"/>
        </w:rPr>
        <w:fldChar w:fldCharType="end"/>
      </w:r>
      <w:r w:rsidR="00C347C2">
        <w:rPr>
          <w:rFonts w:ascii="SimSun" w:hAnsi="SimSun"/>
          <w:sz w:val="21"/>
          <w:szCs w:val="21"/>
        </w:rPr>
        <w:t>.</w:t>
      </w:r>
      <w:r w:rsidRPr="00C347C2">
        <w:rPr>
          <w:rFonts w:ascii="SimSun" w:hAnsi="SimSun"/>
          <w:sz w:val="21"/>
          <w:szCs w:val="21"/>
        </w:rPr>
        <w:tab/>
      </w:r>
      <w:r w:rsidRPr="00C347C2">
        <w:rPr>
          <w:rFonts w:ascii="SimSun" w:hAnsi="SimSun" w:hint="eastAsia"/>
          <w:sz w:val="21"/>
          <w:szCs w:val="21"/>
        </w:rPr>
        <w:t>2013年2月25日至28日在日内瓦举行的专利法常设委员会(SCP)第十九届会议商定，秘书处将对文件</w:t>
      </w:r>
      <w:r w:rsidRPr="00C347C2">
        <w:rPr>
          <w:rFonts w:ascii="SimSun" w:hAnsi="SimSun"/>
          <w:sz w:val="21"/>
          <w:szCs w:val="21"/>
        </w:rPr>
        <w:t>SCP/18/8</w:t>
      </w:r>
      <w:r w:rsidRPr="00C347C2">
        <w:rPr>
          <w:rFonts w:ascii="SimSun" w:hAnsi="SimSun" w:hint="eastAsia"/>
          <w:sz w:val="21"/>
          <w:szCs w:val="21"/>
        </w:rPr>
        <w:t>进行修订，根据SCP成员国和观察员提供的意见，进一步增加技术转让的专利相关激励机制和障碍方面的实例和经验，同时考虑到技术转让吸收能力的方面(参见文件</w:t>
      </w:r>
      <w:r w:rsidRPr="00C347C2">
        <w:rPr>
          <w:rFonts w:ascii="SimSun" w:hAnsi="SimSun"/>
          <w:sz w:val="21"/>
          <w:szCs w:val="21"/>
        </w:rPr>
        <w:t>SCP/19/7</w:t>
      </w:r>
      <w:r w:rsidRPr="00C347C2">
        <w:rPr>
          <w:rFonts w:ascii="SimSun" w:hAnsi="SimSun" w:hint="eastAsia"/>
          <w:sz w:val="21"/>
          <w:szCs w:val="21"/>
        </w:rPr>
        <w:t>第</w:t>
      </w:r>
      <w:r w:rsidRPr="00C347C2">
        <w:rPr>
          <w:rFonts w:ascii="SimSun" w:hAnsi="SimSun"/>
          <w:sz w:val="21"/>
          <w:szCs w:val="21"/>
        </w:rPr>
        <w:t>23(e)(</w:t>
      </w:r>
      <w:proofErr w:type="spellStart"/>
      <w:r w:rsidRPr="00C347C2">
        <w:rPr>
          <w:rFonts w:ascii="SimSun" w:hAnsi="SimSun"/>
          <w:sz w:val="21"/>
          <w:szCs w:val="21"/>
        </w:rPr>
        <w:t>i</w:t>
      </w:r>
      <w:proofErr w:type="spellEnd"/>
      <w:r w:rsidRPr="00C347C2">
        <w:rPr>
          <w:rFonts w:ascii="SimSun" w:hAnsi="SimSun"/>
          <w:sz w:val="21"/>
          <w:szCs w:val="21"/>
        </w:rPr>
        <w:t>)</w:t>
      </w:r>
      <w:r w:rsidRPr="00C347C2">
        <w:rPr>
          <w:rFonts w:ascii="SimSun" w:hAnsi="SimSun" w:hint="eastAsia"/>
          <w:sz w:val="21"/>
          <w:szCs w:val="21"/>
        </w:rPr>
        <w:t>段)。</w:t>
      </w:r>
    </w:p>
    <w:p w:rsidR="002F3221" w:rsidRPr="00C347C2" w:rsidRDefault="002F3221" w:rsidP="00C347C2">
      <w:pPr>
        <w:adjustRightInd w:val="0"/>
        <w:spacing w:afterLines="50" w:after="120" w:line="340" w:lineRule="atLeast"/>
        <w:jc w:val="both"/>
        <w:rPr>
          <w:rFonts w:ascii="SimSun" w:hAnsi="SimSun"/>
          <w:sz w:val="21"/>
          <w:szCs w:val="21"/>
        </w:rPr>
      </w:pPr>
      <w:r w:rsidRPr="00C347C2">
        <w:rPr>
          <w:rFonts w:ascii="SimSun" w:hAnsi="SimSun"/>
          <w:sz w:val="21"/>
          <w:szCs w:val="21"/>
        </w:rPr>
        <w:fldChar w:fldCharType="begin"/>
      </w:r>
      <w:r w:rsidRPr="00C347C2">
        <w:rPr>
          <w:rFonts w:ascii="SimSun" w:hAnsi="SimSun"/>
          <w:sz w:val="21"/>
          <w:szCs w:val="21"/>
        </w:rPr>
        <w:instrText xml:space="preserve"> AUTONUM  </w:instrText>
      </w:r>
      <w:r w:rsidRPr="00C347C2">
        <w:rPr>
          <w:rFonts w:ascii="SimSun" w:hAnsi="SimSun"/>
          <w:sz w:val="21"/>
          <w:szCs w:val="21"/>
        </w:rPr>
        <w:fldChar w:fldCharType="end"/>
      </w:r>
      <w:r w:rsidR="00C347C2">
        <w:rPr>
          <w:rFonts w:ascii="SimSun" w:hAnsi="SimSun"/>
          <w:sz w:val="21"/>
          <w:szCs w:val="21"/>
        </w:rPr>
        <w:t>.</w:t>
      </w:r>
      <w:r w:rsidR="00C347C2">
        <w:rPr>
          <w:rFonts w:ascii="SimSun" w:hAnsi="SimSun"/>
          <w:sz w:val="21"/>
          <w:szCs w:val="21"/>
        </w:rPr>
        <w:tab/>
      </w:r>
      <w:r w:rsidRPr="00C347C2">
        <w:rPr>
          <w:rFonts w:ascii="SimSun" w:hAnsi="SimSun" w:hint="eastAsia"/>
          <w:sz w:val="21"/>
          <w:szCs w:val="21"/>
        </w:rPr>
        <w:t>根据上述决定，秘书处通过第</w:t>
      </w:r>
      <w:r w:rsidRPr="00C347C2">
        <w:rPr>
          <w:rFonts w:ascii="SimSun" w:hAnsi="SimSun"/>
          <w:sz w:val="21"/>
          <w:szCs w:val="21"/>
        </w:rPr>
        <w:t>C.8261</w:t>
      </w:r>
      <w:r w:rsidRPr="00C347C2">
        <w:rPr>
          <w:rFonts w:ascii="SimSun" w:hAnsi="SimSun" w:hint="eastAsia"/>
          <w:sz w:val="21"/>
          <w:szCs w:val="21"/>
        </w:rPr>
        <w:t>和</w:t>
      </w:r>
      <w:r w:rsidRPr="00C347C2">
        <w:rPr>
          <w:rFonts w:ascii="SimSun" w:hAnsi="SimSun"/>
          <w:sz w:val="21"/>
          <w:szCs w:val="21"/>
        </w:rPr>
        <w:t>C.8262</w:t>
      </w:r>
      <w:r w:rsidRPr="00C347C2">
        <w:rPr>
          <w:rFonts w:ascii="SimSun" w:hAnsi="SimSun" w:hint="eastAsia"/>
          <w:sz w:val="21"/>
          <w:szCs w:val="21"/>
        </w:rPr>
        <w:t>号通知，请SCP成员国和观察员提交技术转让的专利相关激励机制和障碍方面的实例和经验。以下成员国、一家政府间组织和非政府组织提供了技术转让方面的信息：哥斯达黎加、芬兰、德国、以色列、立陶宛</w:t>
      </w:r>
      <w:r w:rsidRPr="00C347C2">
        <w:rPr>
          <w:rStyle w:val="ae"/>
          <w:rFonts w:ascii="SimSun" w:hAnsi="SimSun"/>
          <w:sz w:val="21"/>
          <w:szCs w:val="21"/>
        </w:rPr>
        <w:footnoteReference w:id="2"/>
      </w:r>
      <w:r w:rsidRPr="00C347C2">
        <w:rPr>
          <w:rFonts w:ascii="SimSun" w:hAnsi="SimSun" w:hint="eastAsia"/>
          <w:sz w:val="21"/>
          <w:szCs w:val="21"/>
        </w:rPr>
        <w:t>、摩纳哥、波兰、大韩民国、联合王国、美利坚合众国、赞比亚、世界贸易组织(WTO)、国际商会(ICC)和知识产权联盟。</w:t>
      </w:r>
    </w:p>
    <w:p w:rsidR="002F3221" w:rsidRPr="00C347C2" w:rsidRDefault="002F3221" w:rsidP="00C347C2">
      <w:pPr>
        <w:adjustRightInd w:val="0"/>
        <w:spacing w:afterLines="50" w:after="120" w:line="340" w:lineRule="atLeast"/>
        <w:jc w:val="both"/>
        <w:rPr>
          <w:rFonts w:ascii="SimSun" w:hAnsi="SimSun"/>
          <w:sz w:val="21"/>
          <w:szCs w:val="21"/>
        </w:rPr>
      </w:pPr>
      <w:r w:rsidRPr="00C347C2">
        <w:rPr>
          <w:rFonts w:ascii="SimSun" w:hAnsi="SimSun"/>
          <w:sz w:val="21"/>
          <w:szCs w:val="21"/>
        </w:rPr>
        <w:fldChar w:fldCharType="begin"/>
      </w:r>
      <w:r w:rsidRPr="00C347C2">
        <w:rPr>
          <w:rFonts w:ascii="SimSun" w:hAnsi="SimSun"/>
          <w:sz w:val="21"/>
          <w:szCs w:val="21"/>
        </w:rPr>
        <w:instrText xml:space="preserve"> AUTONUM  </w:instrText>
      </w:r>
      <w:r w:rsidRPr="00C347C2">
        <w:rPr>
          <w:rFonts w:ascii="SimSun" w:hAnsi="SimSun"/>
          <w:sz w:val="21"/>
          <w:szCs w:val="21"/>
        </w:rPr>
        <w:fldChar w:fldCharType="end"/>
      </w:r>
      <w:r w:rsidR="00C347C2">
        <w:rPr>
          <w:rFonts w:ascii="SimSun" w:hAnsi="SimSun"/>
          <w:sz w:val="21"/>
          <w:szCs w:val="21"/>
        </w:rPr>
        <w:t>.</w:t>
      </w:r>
      <w:r w:rsidR="00C347C2">
        <w:rPr>
          <w:rFonts w:ascii="SimSun" w:hAnsi="SimSun"/>
          <w:sz w:val="21"/>
          <w:szCs w:val="21"/>
        </w:rPr>
        <w:tab/>
      </w:r>
      <w:r w:rsidRPr="00C347C2">
        <w:rPr>
          <w:rFonts w:ascii="SimSun" w:hAnsi="SimSun" w:hint="eastAsia"/>
          <w:sz w:val="21"/>
          <w:szCs w:val="21"/>
        </w:rPr>
        <w:t>自SCP电子论坛公布了这些提交资料的全文之后，本文件对上述SCP成员国和观察员所提交的信息进行了总结。此外，本文件还包括了秘书处对此问题的总体意见。</w:t>
      </w:r>
    </w:p>
    <w:p w:rsidR="00C347C2" w:rsidRDefault="00C347C2">
      <w:pPr>
        <w:rPr>
          <w:rFonts w:ascii="SimHei" w:eastAsia="SimHei" w:hAnsi="SimHei"/>
          <w:sz w:val="21"/>
          <w:szCs w:val="21"/>
        </w:rPr>
      </w:pPr>
      <w:r>
        <w:rPr>
          <w:rFonts w:ascii="SimHei" w:eastAsia="SimHei" w:hAnsi="SimHei"/>
          <w:sz w:val="21"/>
          <w:szCs w:val="21"/>
        </w:rPr>
        <w:br w:type="page"/>
      </w:r>
    </w:p>
    <w:p w:rsidR="002F3221" w:rsidRPr="00C347C2" w:rsidRDefault="002F3221" w:rsidP="00C347C2">
      <w:pPr>
        <w:adjustRightInd w:val="0"/>
        <w:spacing w:beforeLines="100" w:before="240" w:afterLines="100" w:after="240" w:line="340" w:lineRule="atLeast"/>
        <w:ind w:firstLine="27"/>
        <w:jc w:val="both"/>
        <w:rPr>
          <w:rFonts w:ascii="SimHei" w:eastAsia="SimHei" w:hAnsi="SimHei"/>
          <w:sz w:val="21"/>
          <w:szCs w:val="21"/>
        </w:rPr>
      </w:pPr>
      <w:r w:rsidRPr="00C347C2">
        <w:rPr>
          <w:rFonts w:ascii="SimHei" w:eastAsia="SimHei" w:hAnsi="SimHei" w:hint="eastAsia"/>
          <w:sz w:val="21"/>
          <w:szCs w:val="21"/>
        </w:rPr>
        <w:lastRenderedPageBreak/>
        <w:t>最不发达国家的观点</w:t>
      </w:r>
    </w:p>
    <w:p w:rsidR="002F3221" w:rsidRPr="00C347C2" w:rsidRDefault="002F3221" w:rsidP="00C347C2">
      <w:pPr>
        <w:adjustRightInd w:val="0"/>
        <w:spacing w:afterLines="50" w:after="120" w:line="340" w:lineRule="atLeast"/>
        <w:jc w:val="both"/>
        <w:rPr>
          <w:rFonts w:ascii="SimSun" w:hAnsi="SimSun"/>
          <w:sz w:val="21"/>
          <w:szCs w:val="21"/>
        </w:rPr>
      </w:pPr>
      <w:r w:rsidRPr="00C347C2">
        <w:rPr>
          <w:rFonts w:ascii="SimSun" w:hAnsi="SimSun"/>
          <w:sz w:val="21"/>
          <w:szCs w:val="21"/>
        </w:rPr>
        <w:fldChar w:fldCharType="begin"/>
      </w:r>
      <w:r w:rsidRPr="00C347C2">
        <w:rPr>
          <w:rFonts w:ascii="SimSun" w:hAnsi="SimSun"/>
          <w:sz w:val="21"/>
          <w:szCs w:val="21"/>
        </w:rPr>
        <w:instrText xml:space="preserve"> AUTONUM  </w:instrText>
      </w:r>
      <w:r w:rsidRPr="00C347C2">
        <w:rPr>
          <w:rFonts w:ascii="SimSun" w:hAnsi="SimSun"/>
          <w:sz w:val="21"/>
          <w:szCs w:val="21"/>
        </w:rPr>
        <w:fldChar w:fldCharType="end"/>
      </w:r>
      <w:r w:rsidR="00C347C2">
        <w:rPr>
          <w:rFonts w:ascii="SimSun" w:hAnsi="SimSun"/>
          <w:sz w:val="21"/>
          <w:szCs w:val="21"/>
        </w:rPr>
        <w:t>.</w:t>
      </w:r>
      <w:r w:rsidR="00C347C2">
        <w:rPr>
          <w:rFonts w:ascii="SimSun" w:hAnsi="SimSun"/>
          <w:sz w:val="21"/>
          <w:szCs w:val="21"/>
        </w:rPr>
        <w:tab/>
      </w:r>
      <w:r w:rsidRPr="00C347C2">
        <w:rPr>
          <w:rFonts w:ascii="SimSun" w:hAnsi="SimSun" w:hint="eastAsia"/>
          <w:sz w:val="21"/>
          <w:szCs w:val="21"/>
        </w:rPr>
        <w:t>赞比亚是唯一</w:t>
      </w:r>
      <w:proofErr w:type="gramStart"/>
      <w:r w:rsidRPr="00C347C2">
        <w:rPr>
          <w:rFonts w:ascii="SimSun" w:hAnsi="SimSun" w:hint="eastAsia"/>
          <w:sz w:val="21"/>
          <w:szCs w:val="21"/>
        </w:rPr>
        <w:t>一个</w:t>
      </w:r>
      <w:proofErr w:type="gramEnd"/>
      <w:r w:rsidRPr="00C347C2">
        <w:rPr>
          <w:rFonts w:ascii="SimSun" w:hAnsi="SimSun" w:hint="eastAsia"/>
          <w:sz w:val="21"/>
          <w:szCs w:val="21"/>
        </w:rPr>
        <w:t>就此主题提交意见的最不发达国家(L</w:t>
      </w:r>
      <w:r w:rsidR="009D03B2">
        <w:rPr>
          <w:rFonts w:ascii="SimSun" w:hAnsi="SimSun" w:hint="eastAsia"/>
          <w:sz w:val="21"/>
          <w:szCs w:val="21"/>
        </w:rPr>
        <w:t>D</w:t>
      </w:r>
      <w:r w:rsidRPr="00C347C2">
        <w:rPr>
          <w:rFonts w:ascii="SimSun" w:hAnsi="SimSun" w:hint="eastAsia"/>
          <w:sz w:val="21"/>
          <w:szCs w:val="21"/>
        </w:rPr>
        <w:t>C)。其对可能被视为技术转让的专利相关激励机制和障碍的各种因素进行了说明，并列出了其面临的挑战。作为技术转让的激励机制，赞比亚制定了一项国家知识产权政策，对知识产权资产的许可、商业化和市场推广进行了规定</w:t>
      </w:r>
      <w:r w:rsidRPr="00C347C2">
        <w:rPr>
          <w:rStyle w:val="ae"/>
          <w:rFonts w:ascii="SimSun" w:hAnsi="SimSun"/>
          <w:sz w:val="21"/>
          <w:szCs w:val="21"/>
        </w:rPr>
        <w:footnoteReference w:id="3"/>
      </w:r>
      <w:r w:rsidR="009D03B2">
        <w:rPr>
          <w:rFonts w:ascii="SimSun" w:hAnsi="SimSun" w:hint="eastAsia"/>
          <w:sz w:val="21"/>
          <w:szCs w:val="21"/>
        </w:rPr>
        <w:t>。</w:t>
      </w:r>
    </w:p>
    <w:p w:rsidR="002F3221" w:rsidRPr="00C347C2" w:rsidRDefault="002F3221" w:rsidP="00C347C2">
      <w:pPr>
        <w:adjustRightInd w:val="0"/>
        <w:spacing w:afterLines="50" w:after="120" w:line="340" w:lineRule="atLeast"/>
        <w:jc w:val="both"/>
        <w:rPr>
          <w:rFonts w:ascii="SimSun" w:hAnsi="SimSun"/>
          <w:sz w:val="21"/>
          <w:szCs w:val="21"/>
        </w:rPr>
      </w:pPr>
      <w:r w:rsidRPr="00C347C2">
        <w:rPr>
          <w:rFonts w:ascii="SimSun" w:hAnsi="SimSun"/>
          <w:sz w:val="21"/>
          <w:szCs w:val="21"/>
        </w:rPr>
        <w:fldChar w:fldCharType="begin"/>
      </w:r>
      <w:r w:rsidRPr="00C347C2">
        <w:rPr>
          <w:rFonts w:ascii="SimSun" w:hAnsi="SimSun"/>
          <w:sz w:val="21"/>
          <w:szCs w:val="21"/>
        </w:rPr>
        <w:instrText xml:space="preserve"> AUTONUM  </w:instrText>
      </w:r>
      <w:r w:rsidRPr="00C347C2">
        <w:rPr>
          <w:rFonts w:ascii="SimSun" w:hAnsi="SimSun"/>
          <w:sz w:val="21"/>
          <w:szCs w:val="21"/>
        </w:rPr>
        <w:fldChar w:fldCharType="end"/>
      </w:r>
      <w:r w:rsidR="00C347C2">
        <w:rPr>
          <w:rFonts w:ascii="SimSun" w:hAnsi="SimSun"/>
          <w:sz w:val="21"/>
          <w:szCs w:val="21"/>
        </w:rPr>
        <w:t>.</w:t>
      </w:r>
      <w:r w:rsidR="00C347C2">
        <w:rPr>
          <w:rFonts w:ascii="SimSun" w:hAnsi="SimSun"/>
          <w:sz w:val="21"/>
          <w:szCs w:val="21"/>
        </w:rPr>
        <w:tab/>
      </w:r>
      <w:r w:rsidRPr="00C347C2">
        <w:rPr>
          <w:rFonts w:ascii="SimSun" w:hAnsi="SimSun" w:hint="eastAsia"/>
          <w:sz w:val="21"/>
          <w:szCs w:val="21"/>
        </w:rPr>
        <w:t>关于技术持有人和接收人需求的信息可用性和接收人吸收技术的能力被认为是开展有效技术转让的两个基本条件。在实际情况下，这两个条件可以被理解为需要：(</w:t>
      </w:r>
      <w:proofErr w:type="spellStart"/>
      <w:r w:rsidRPr="00C347C2">
        <w:rPr>
          <w:rFonts w:ascii="SimSun" w:hAnsi="SimSun" w:hint="eastAsia"/>
          <w:sz w:val="21"/>
          <w:szCs w:val="21"/>
        </w:rPr>
        <w:t>i</w:t>
      </w:r>
      <w:proofErr w:type="spellEnd"/>
      <w:r w:rsidRPr="00C347C2">
        <w:rPr>
          <w:rFonts w:ascii="SimSun" w:hAnsi="SimSun" w:hint="eastAsia"/>
          <w:sz w:val="21"/>
          <w:szCs w:val="21"/>
        </w:rPr>
        <w:t>)具有熟练的律师和知识产权专家来就技术转让许可进行谈判；以及(ii)公共研究机构、大学、中小企业(SME)和传统知识持有人参与到知识交易中。</w:t>
      </w:r>
    </w:p>
    <w:p w:rsidR="002F3221" w:rsidRPr="00C347C2" w:rsidRDefault="002F3221" w:rsidP="00C347C2">
      <w:pPr>
        <w:adjustRightInd w:val="0"/>
        <w:spacing w:afterLines="50" w:after="120" w:line="340" w:lineRule="atLeast"/>
        <w:jc w:val="both"/>
        <w:rPr>
          <w:rFonts w:ascii="SimSun" w:hAnsi="SimSun"/>
          <w:sz w:val="21"/>
          <w:szCs w:val="21"/>
        </w:rPr>
      </w:pPr>
      <w:r w:rsidRPr="00C347C2">
        <w:rPr>
          <w:rFonts w:ascii="SimSun" w:hAnsi="SimSun"/>
          <w:sz w:val="21"/>
          <w:szCs w:val="21"/>
        </w:rPr>
        <w:fldChar w:fldCharType="begin"/>
      </w:r>
      <w:r w:rsidRPr="00C347C2">
        <w:rPr>
          <w:rFonts w:ascii="SimSun" w:hAnsi="SimSun"/>
          <w:sz w:val="21"/>
          <w:szCs w:val="21"/>
        </w:rPr>
        <w:instrText xml:space="preserve"> AUTONUM  </w:instrText>
      </w:r>
      <w:r w:rsidRPr="00C347C2">
        <w:rPr>
          <w:rFonts w:ascii="SimSun" w:hAnsi="SimSun"/>
          <w:sz w:val="21"/>
          <w:szCs w:val="21"/>
        </w:rPr>
        <w:fldChar w:fldCharType="end"/>
      </w:r>
      <w:r w:rsidR="00C347C2">
        <w:rPr>
          <w:rFonts w:ascii="SimSun" w:hAnsi="SimSun"/>
          <w:sz w:val="21"/>
          <w:szCs w:val="21"/>
        </w:rPr>
        <w:t>.</w:t>
      </w:r>
      <w:r w:rsidR="00C347C2">
        <w:rPr>
          <w:rFonts w:ascii="SimSun" w:hAnsi="SimSun"/>
          <w:sz w:val="21"/>
          <w:szCs w:val="21"/>
        </w:rPr>
        <w:tab/>
      </w:r>
      <w:r w:rsidRPr="00C347C2">
        <w:rPr>
          <w:rFonts w:ascii="SimSun" w:hAnsi="SimSun" w:hint="eastAsia"/>
          <w:sz w:val="21"/>
          <w:szCs w:val="21"/>
        </w:rPr>
        <w:t>但是，上述两种因素不得割裂开来考虑。实际的挑战包括：</w:t>
      </w:r>
    </w:p>
    <w:p w:rsidR="002F3221" w:rsidRPr="00C347C2" w:rsidRDefault="002F3221" w:rsidP="00C347C2">
      <w:pPr>
        <w:pStyle w:val="af"/>
        <w:numPr>
          <w:ilvl w:val="0"/>
          <w:numId w:val="7"/>
        </w:numPr>
        <w:adjustRightInd w:val="0"/>
        <w:spacing w:afterLines="50" w:after="120" w:line="340" w:lineRule="atLeast"/>
        <w:ind w:firstLineChars="0"/>
        <w:jc w:val="both"/>
        <w:rPr>
          <w:rFonts w:ascii="SimSun" w:hAnsi="SimSun"/>
          <w:sz w:val="21"/>
          <w:szCs w:val="21"/>
        </w:rPr>
      </w:pPr>
      <w:r w:rsidRPr="00C347C2">
        <w:rPr>
          <w:rFonts w:ascii="SimSun" w:hAnsi="SimSun" w:hint="eastAsia"/>
          <w:sz w:val="21"/>
          <w:szCs w:val="21"/>
        </w:rPr>
        <w:t>研发部门与产业之间的衔接不够；</w:t>
      </w:r>
    </w:p>
    <w:p w:rsidR="002F3221" w:rsidRPr="00C347C2" w:rsidRDefault="002F3221" w:rsidP="00C347C2">
      <w:pPr>
        <w:pStyle w:val="af"/>
        <w:numPr>
          <w:ilvl w:val="0"/>
          <w:numId w:val="7"/>
        </w:numPr>
        <w:adjustRightInd w:val="0"/>
        <w:spacing w:afterLines="50" w:after="120" w:line="340" w:lineRule="atLeast"/>
        <w:ind w:firstLineChars="0"/>
        <w:jc w:val="both"/>
        <w:rPr>
          <w:rFonts w:ascii="SimSun" w:hAnsi="SimSun"/>
          <w:sz w:val="21"/>
          <w:szCs w:val="21"/>
        </w:rPr>
      </w:pPr>
      <w:r w:rsidRPr="00C347C2">
        <w:rPr>
          <w:rFonts w:ascii="SimSun" w:hAnsi="SimSun" w:hint="eastAsia"/>
          <w:sz w:val="21"/>
          <w:szCs w:val="21"/>
        </w:rPr>
        <w:t>接收人吸收并按照其需求调整技术的能力不足；</w:t>
      </w:r>
    </w:p>
    <w:p w:rsidR="002F3221" w:rsidRPr="00C347C2" w:rsidRDefault="002F3221" w:rsidP="00C347C2">
      <w:pPr>
        <w:pStyle w:val="af"/>
        <w:numPr>
          <w:ilvl w:val="0"/>
          <w:numId w:val="7"/>
        </w:numPr>
        <w:adjustRightInd w:val="0"/>
        <w:spacing w:afterLines="50" w:after="120" w:line="340" w:lineRule="atLeast"/>
        <w:ind w:firstLineChars="0"/>
        <w:jc w:val="both"/>
        <w:rPr>
          <w:rFonts w:ascii="SimSun" w:hAnsi="SimSun"/>
          <w:sz w:val="21"/>
          <w:szCs w:val="21"/>
        </w:rPr>
      </w:pPr>
      <w:r w:rsidRPr="00C347C2">
        <w:rPr>
          <w:rFonts w:ascii="SimSun" w:hAnsi="SimSun" w:hint="eastAsia"/>
          <w:sz w:val="21"/>
          <w:szCs w:val="21"/>
        </w:rPr>
        <w:t>发明人对其技术加以开发和商业化的资源不足；</w:t>
      </w:r>
    </w:p>
    <w:p w:rsidR="002F3221" w:rsidRPr="00C347C2" w:rsidRDefault="002F3221" w:rsidP="009D03B2">
      <w:pPr>
        <w:pStyle w:val="af"/>
        <w:numPr>
          <w:ilvl w:val="0"/>
          <w:numId w:val="7"/>
        </w:numPr>
        <w:adjustRightInd w:val="0"/>
        <w:spacing w:afterLines="50" w:after="120" w:line="340" w:lineRule="atLeast"/>
        <w:ind w:firstLineChars="0"/>
        <w:jc w:val="both"/>
        <w:rPr>
          <w:rFonts w:ascii="SimSun" w:hAnsi="SimSun"/>
          <w:sz w:val="21"/>
          <w:szCs w:val="21"/>
        </w:rPr>
      </w:pPr>
      <w:r w:rsidRPr="00C347C2">
        <w:rPr>
          <w:rFonts w:ascii="SimSun" w:hAnsi="SimSun" w:hint="eastAsia"/>
          <w:sz w:val="21"/>
          <w:szCs w:val="21"/>
        </w:rPr>
        <w:t>专家协助发明人撰写专利申请的能力不足，从而使得技术</w:t>
      </w:r>
      <w:proofErr w:type="gramStart"/>
      <w:r w:rsidRPr="00C347C2">
        <w:rPr>
          <w:rFonts w:ascii="SimSun" w:hAnsi="SimSun" w:hint="eastAsia"/>
          <w:sz w:val="21"/>
          <w:szCs w:val="21"/>
        </w:rPr>
        <w:t>转让全</w:t>
      </w:r>
      <w:proofErr w:type="gramEnd"/>
      <w:r w:rsidRPr="00C347C2">
        <w:rPr>
          <w:rFonts w:ascii="SimSun" w:hAnsi="SimSun" w:hint="eastAsia"/>
          <w:sz w:val="21"/>
          <w:szCs w:val="21"/>
        </w:rPr>
        <w:t>过程变得困难；</w:t>
      </w:r>
    </w:p>
    <w:p w:rsidR="002F3221" w:rsidRPr="00C347C2" w:rsidRDefault="002F3221" w:rsidP="00C347C2">
      <w:pPr>
        <w:pStyle w:val="af"/>
        <w:numPr>
          <w:ilvl w:val="0"/>
          <w:numId w:val="7"/>
        </w:numPr>
        <w:adjustRightInd w:val="0"/>
        <w:spacing w:afterLines="50" w:after="120" w:line="340" w:lineRule="atLeast"/>
        <w:ind w:firstLineChars="0"/>
        <w:jc w:val="both"/>
        <w:rPr>
          <w:rFonts w:ascii="SimSun" w:hAnsi="SimSun"/>
          <w:sz w:val="21"/>
          <w:szCs w:val="21"/>
        </w:rPr>
      </w:pPr>
      <w:r w:rsidRPr="00C347C2">
        <w:rPr>
          <w:rFonts w:ascii="SimSun" w:hAnsi="SimSun" w:hint="eastAsia"/>
          <w:sz w:val="21"/>
          <w:szCs w:val="21"/>
        </w:rPr>
        <w:t>在外国技术转让方面，外国直接投资(FDI)交易大部分都没有明确规定许可或研发协议；以及</w:t>
      </w:r>
    </w:p>
    <w:p w:rsidR="002F3221" w:rsidRPr="00C347C2" w:rsidRDefault="002F3221" w:rsidP="009D03B2">
      <w:pPr>
        <w:pStyle w:val="af"/>
        <w:numPr>
          <w:ilvl w:val="0"/>
          <w:numId w:val="7"/>
        </w:numPr>
        <w:adjustRightInd w:val="0"/>
        <w:spacing w:afterLines="50" w:after="120" w:line="340" w:lineRule="atLeast"/>
        <w:ind w:firstLineChars="0"/>
        <w:jc w:val="both"/>
        <w:rPr>
          <w:rFonts w:ascii="SimSun" w:hAnsi="SimSun"/>
          <w:sz w:val="21"/>
          <w:szCs w:val="21"/>
        </w:rPr>
      </w:pPr>
      <w:r w:rsidRPr="00C347C2">
        <w:rPr>
          <w:rFonts w:ascii="SimSun" w:hAnsi="SimSun" w:hint="eastAsia"/>
          <w:sz w:val="21"/>
          <w:szCs w:val="21"/>
        </w:rPr>
        <w:t>缺乏关于知识产权保护及其对国家经济的贡献方面的知识。</w:t>
      </w:r>
    </w:p>
    <w:p w:rsidR="002F3221" w:rsidRPr="00C347C2" w:rsidRDefault="002F3221" w:rsidP="00C347C2">
      <w:pPr>
        <w:adjustRightInd w:val="0"/>
        <w:spacing w:afterLines="50" w:after="120" w:line="340" w:lineRule="atLeast"/>
        <w:ind w:firstLine="27"/>
        <w:jc w:val="both"/>
        <w:rPr>
          <w:rFonts w:ascii="SimSun" w:hAnsi="SimSun"/>
          <w:sz w:val="21"/>
          <w:szCs w:val="21"/>
        </w:rPr>
      </w:pPr>
      <w:r w:rsidRPr="00C347C2">
        <w:rPr>
          <w:rFonts w:ascii="SimSun" w:hAnsi="SimSun"/>
          <w:sz w:val="21"/>
          <w:szCs w:val="21"/>
        </w:rPr>
        <w:fldChar w:fldCharType="begin"/>
      </w:r>
      <w:r w:rsidRPr="00C347C2">
        <w:rPr>
          <w:rFonts w:ascii="SimSun" w:hAnsi="SimSun"/>
          <w:sz w:val="21"/>
          <w:szCs w:val="21"/>
        </w:rPr>
        <w:instrText xml:space="preserve"> AUTONUM  </w:instrText>
      </w:r>
      <w:r w:rsidRPr="00C347C2">
        <w:rPr>
          <w:rFonts w:ascii="SimSun" w:hAnsi="SimSun"/>
          <w:sz w:val="21"/>
          <w:szCs w:val="21"/>
        </w:rPr>
        <w:fldChar w:fldCharType="end"/>
      </w:r>
      <w:r w:rsidR="00C347C2">
        <w:rPr>
          <w:rFonts w:ascii="SimSun" w:hAnsi="SimSun"/>
          <w:sz w:val="21"/>
          <w:szCs w:val="21"/>
        </w:rPr>
        <w:t>.</w:t>
      </w:r>
      <w:r w:rsidR="00C347C2">
        <w:rPr>
          <w:rFonts w:ascii="SimSun" w:hAnsi="SimSun"/>
          <w:sz w:val="21"/>
          <w:szCs w:val="21"/>
        </w:rPr>
        <w:tab/>
      </w:r>
      <w:r w:rsidRPr="00C347C2">
        <w:rPr>
          <w:rFonts w:ascii="SimSun" w:hAnsi="SimSun" w:hint="eastAsia"/>
          <w:sz w:val="21"/>
          <w:szCs w:val="21"/>
        </w:rPr>
        <w:t>考虑到发展水平的迥异，赞比亚认为，专利制度应提供一种针对最不发达国家和发展中国家足够灵活的机制，在不侵犯专利权的情况下对专利技术进行反向工程。因而，这种机制会澄清专利是技术转让的障碍这种误解。此外，赞比亚认为，发达国家迟迟未能兑现其根据《TRIPS协定》第66.2条规定的承诺。</w:t>
      </w:r>
    </w:p>
    <w:p w:rsidR="002F3221" w:rsidRPr="00C347C2" w:rsidRDefault="002F3221" w:rsidP="00C347C2">
      <w:pPr>
        <w:adjustRightInd w:val="0"/>
        <w:spacing w:beforeLines="100" w:before="240" w:afterLines="100" w:after="240" w:line="340" w:lineRule="atLeast"/>
        <w:ind w:firstLine="27"/>
        <w:jc w:val="both"/>
        <w:rPr>
          <w:rFonts w:ascii="SimHei" w:eastAsia="SimHei" w:hAnsi="SimHei"/>
          <w:sz w:val="21"/>
          <w:szCs w:val="21"/>
        </w:rPr>
      </w:pPr>
      <w:r w:rsidRPr="00C347C2">
        <w:rPr>
          <w:rFonts w:ascii="SimHei" w:eastAsia="SimHei" w:hAnsi="SimHei" w:hint="eastAsia"/>
          <w:sz w:val="21"/>
          <w:szCs w:val="21"/>
        </w:rPr>
        <w:t>研究机构向企业的技术转让</w:t>
      </w:r>
    </w:p>
    <w:p w:rsidR="002F3221" w:rsidRPr="00C347C2" w:rsidRDefault="002F3221" w:rsidP="00C347C2">
      <w:pPr>
        <w:adjustRightInd w:val="0"/>
        <w:spacing w:afterLines="100" w:after="240" w:line="340" w:lineRule="atLeast"/>
        <w:ind w:firstLine="27"/>
        <w:jc w:val="both"/>
        <w:rPr>
          <w:rFonts w:ascii="KaiTi" w:eastAsia="KaiTi" w:hAnsi="KaiTi"/>
          <w:i/>
          <w:sz w:val="21"/>
          <w:szCs w:val="21"/>
        </w:rPr>
      </w:pPr>
      <w:r w:rsidRPr="00C347C2">
        <w:rPr>
          <w:rFonts w:ascii="KaiTi" w:eastAsia="KaiTi" w:hAnsi="KaiTi" w:hint="eastAsia"/>
          <w:i/>
          <w:sz w:val="21"/>
          <w:szCs w:val="21"/>
        </w:rPr>
        <w:t>以色列学术机构的技术转让</w:t>
      </w:r>
    </w:p>
    <w:p w:rsidR="002F3221" w:rsidRPr="00C347C2" w:rsidRDefault="002F3221" w:rsidP="00C347C2">
      <w:pPr>
        <w:adjustRightInd w:val="0"/>
        <w:spacing w:afterLines="50" w:after="120" w:line="340" w:lineRule="atLeast"/>
        <w:ind w:firstLine="27"/>
        <w:jc w:val="both"/>
        <w:rPr>
          <w:rFonts w:ascii="SimSun" w:hAnsi="SimSun"/>
          <w:sz w:val="21"/>
          <w:szCs w:val="21"/>
        </w:rPr>
      </w:pPr>
      <w:r w:rsidRPr="00C347C2">
        <w:rPr>
          <w:rFonts w:ascii="SimSun" w:hAnsi="SimSun"/>
          <w:sz w:val="21"/>
          <w:szCs w:val="21"/>
        </w:rPr>
        <w:fldChar w:fldCharType="begin"/>
      </w:r>
      <w:r w:rsidRPr="00C347C2">
        <w:rPr>
          <w:rFonts w:ascii="SimSun" w:hAnsi="SimSun"/>
          <w:sz w:val="21"/>
          <w:szCs w:val="21"/>
        </w:rPr>
        <w:instrText xml:space="preserve"> AUTONUM  </w:instrText>
      </w:r>
      <w:r w:rsidRPr="00C347C2">
        <w:rPr>
          <w:rFonts w:ascii="SimSun" w:hAnsi="SimSun"/>
          <w:sz w:val="21"/>
          <w:szCs w:val="21"/>
        </w:rPr>
        <w:fldChar w:fldCharType="end"/>
      </w:r>
      <w:r w:rsidR="00C347C2">
        <w:rPr>
          <w:rFonts w:ascii="SimSun" w:hAnsi="SimSun"/>
          <w:sz w:val="21"/>
          <w:szCs w:val="21"/>
        </w:rPr>
        <w:t>.</w:t>
      </w:r>
      <w:r w:rsidR="00C347C2">
        <w:rPr>
          <w:rFonts w:ascii="SimSun" w:hAnsi="SimSun"/>
          <w:sz w:val="21"/>
          <w:szCs w:val="21"/>
        </w:rPr>
        <w:tab/>
      </w:r>
      <w:r w:rsidRPr="00C347C2">
        <w:rPr>
          <w:rFonts w:ascii="SimSun" w:hAnsi="SimSun" w:hint="eastAsia"/>
          <w:sz w:val="21"/>
          <w:szCs w:val="21"/>
        </w:rPr>
        <w:t>第5744-1984号《鼓励产业研发法》提供了一种法律框架，由政府出资支持以色列企业的研发活动。此外，在政府和公司层面已开展了一系列与外国实体之间的合作性企业研发项目</w:t>
      </w:r>
      <w:r w:rsidRPr="00C347C2">
        <w:rPr>
          <w:rStyle w:val="ae"/>
          <w:rFonts w:ascii="SimSun" w:hAnsi="SimSun"/>
          <w:sz w:val="21"/>
          <w:szCs w:val="21"/>
        </w:rPr>
        <w:footnoteReference w:id="4"/>
      </w:r>
      <w:r w:rsidR="009D03B2">
        <w:rPr>
          <w:rFonts w:ascii="SimSun" w:hAnsi="SimSun" w:hint="eastAsia"/>
          <w:sz w:val="21"/>
          <w:szCs w:val="21"/>
        </w:rPr>
        <w:t>。</w:t>
      </w:r>
      <w:r w:rsidRPr="00C347C2">
        <w:rPr>
          <w:rFonts w:ascii="SimSun" w:hAnsi="SimSun" w:hint="eastAsia"/>
          <w:sz w:val="21"/>
          <w:szCs w:val="21"/>
        </w:rPr>
        <w:t>一系列广泛的支持活动包括为专利申请的撰写提供帮助。如果政府资助的研发项目的产品在商业上获得成功，这时公司就必须向首席科学家办公室(OCS)支付许可费。一般来讲，许可费约为所研发产品的销售年收入</w:t>
      </w:r>
      <w:r w:rsidRPr="00C347C2">
        <w:rPr>
          <w:rFonts w:ascii="SimSun" w:hAnsi="SimSun" w:hint="eastAsia"/>
          <w:sz w:val="21"/>
          <w:szCs w:val="21"/>
        </w:rPr>
        <w:lastRenderedPageBreak/>
        <w:t>的3.0%至3.5%。以色列学术界</w:t>
      </w:r>
      <w:r w:rsidR="009D03B2">
        <w:rPr>
          <w:rFonts w:ascii="SimSun" w:hAnsi="SimSun" w:hint="eastAsia"/>
          <w:sz w:val="21"/>
          <w:szCs w:val="21"/>
        </w:rPr>
        <w:t>的</w:t>
      </w:r>
      <w:r w:rsidRPr="00C347C2">
        <w:rPr>
          <w:rFonts w:ascii="SimSun" w:hAnsi="SimSun" w:hint="eastAsia"/>
          <w:sz w:val="21"/>
          <w:szCs w:val="21"/>
        </w:rPr>
        <w:t>技术转让活动非常活跃。相关技术转让办公室网站上可以查阅到这类技术转让的条款和条件</w:t>
      </w:r>
      <w:r w:rsidRPr="00C347C2">
        <w:rPr>
          <w:rStyle w:val="ae"/>
          <w:rFonts w:ascii="SimSun" w:hAnsi="SimSun"/>
          <w:sz w:val="21"/>
          <w:szCs w:val="21"/>
        </w:rPr>
        <w:footnoteReference w:id="5"/>
      </w:r>
      <w:r w:rsidR="009D03B2">
        <w:rPr>
          <w:rFonts w:ascii="SimSun" w:hAnsi="SimSun" w:hint="eastAsia"/>
          <w:sz w:val="21"/>
          <w:szCs w:val="21"/>
        </w:rPr>
        <w:t>。</w:t>
      </w:r>
    </w:p>
    <w:p w:rsidR="002F3221" w:rsidRPr="00C347C2" w:rsidRDefault="002F3221" w:rsidP="00C347C2">
      <w:pPr>
        <w:adjustRightInd w:val="0"/>
        <w:spacing w:beforeLines="100" w:before="240" w:afterLines="100" w:after="240" w:line="340" w:lineRule="atLeast"/>
        <w:ind w:firstLine="27"/>
        <w:jc w:val="both"/>
        <w:rPr>
          <w:rFonts w:ascii="KaiTi" w:eastAsia="KaiTi" w:hAnsi="KaiTi"/>
          <w:i/>
          <w:sz w:val="21"/>
          <w:szCs w:val="21"/>
        </w:rPr>
      </w:pPr>
      <w:r w:rsidRPr="00C347C2">
        <w:rPr>
          <w:rFonts w:ascii="KaiTi" w:eastAsia="KaiTi" w:hAnsi="KaiTi" w:hint="eastAsia"/>
          <w:i/>
          <w:sz w:val="21"/>
          <w:szCs w:val="21"/>
        </w:rPr>
        <w:t>波兰“大学向企业技术转让”试点项目</w:t>
      </w:r>
    </w:p>
    <w:p w:rsidR="002F3221" w:rsidRPr="00C347C2" w:rsidRDefault="002F3221" w:rsidP="00C347C2">
      <w:pPr>
        <w:adjustRightInd w:val="0"/>
        <w:spacing w:afterLines="50" w:after="120" w:line="340" w:lineRule="atLeast"/>
        <w:ind w:firstLine="27"/>
        <w:jc w:val="both"/>
        <w:rPr>
          <w:rFonts w:ascii="SimSun" w:hAnsi="SimSun"/>
          <w:sz w:val="21"/>
          <w:szCs w:val="21"/>
        </w:rPr>
      </w:pPr>
      <w:r w:rsidRPr="00C347C2">
        <w:rPr>
          <w:rFonts w:ascii="SimSun" w:hAnsi="SimSun"/>
          <w:sz w:val="21"/>
          <w:szCs w:val="21"/>
        </w:rPr>
        <w:fldChar w:fldCharType="begin"/>
      </w:r>
      <w:r w:rsidRPr="00C347C2">
        <w:rPr>
          <w:rFonts w:ascii="SimSun" w:hAnsi="SimSun"/>
          <w:sz w:val="21"/>
          <w:szCs w:val="21"/>
        </w:rPr>
        <w:instrText xml:space="preserve"> AUTONUM  </w:instrText>
      </w:r>
      <w:r w:rsidRPr="00C347C2">
        <w:rPr>
          <w:rFonts w:ascii="SimSun" w:hAnsi="SimSun"/>
          <w:sz w:val="21"/>
          <w:szCs w:val="21"/>
        </w:rPr>
        <w:fldChar w:fldCharType="end"/>
      </w:r>
      <w:r w:rsidR="00C347C2">
        <w:rPr>
          <w:rFonts w:ascii="SimSun" w:hAnsi="SimSun"/>
          <w:sz w:val="21"/>
          <w:szCs w:val="21"/>
        </w:rPr>
        <w:t>.</w:t>
      </w:r>
      <w:r w:rsidR="00C347C2">
        <w:rPr>
          <w:rFonts w:ascii="SimSun" w:hAnsi="SimSun"/>
          <w:sz w:val="21"/>
          <w:szCs w:val="21"/>
        </w:rPr>
        <w:tab/>
      </w:r>
      <w:r w:rsidRPr="00C347C2">
        <w:rPr>
          <w:rFonts w:ascii="SimSun" w:hAnsi="SimSun" w:hint="eastAsia"/>
          <w:sz w:val="21"/>
          <w:szCs w:val="21"/>
        </w:rPr>
        <w:t>2008年，波兰专利局、Lodz技术大学(TUL)和欧洲专利局签署了一项工作计划，用以落实一个名为“大学向企业的技术转让”的试点项目。该试点项目的目标在于：(</w:t>
      </w:r>
      <w:proofErr w:type="spellStart"/>
      <w:r w:rsidRPr="00C347C2">
        <w:rPr>
          <w:rFonts w:ascii="SimSun" w:hAnsi="SimSun" w:hint="eastAsia"/>
          <w:sz w:val="21"/>
          <w:szCs w:val="21"/>
        </w:rPr>
        <w:t>i</w:t>
      </w:r>
      <w:proofErr w:type="spellEnd"/>
      <w:r w:rsidRPr="00C347C2">
        <w:rPr>
          <w:rFonts w:ascii="SimSun" w:hAnsi="SimSun" w:hint="eastAsia"/>
          <w:sz w:val="21"/>
          <w:szCs w:val="21"/>
        </w:rPr>
        <w:t>)提高TUL工作人员对知识产权的认识；(ii)改进对TUL研究成果的利用，为科学界与企业界牵线搭桥；(iii)为整个专利申请过程提供支持；(iv)传播知识产权保护方面的信息；以及(v)创建有效的商业化工具。该项目由三阶段组成。在创建阶段，制定工作计划并对参加的工作人员进行培训。在测试阶段，针对TUL工作人员举行了一系列的培训讲习班。这些讲习班的主题包括专利与技术诀窍保护、检索专利信息与技术转让相关的合同。在巩固阶段，继续开展高级培训。参与者能够开展现有技术检索并根据</w:t>
      </w:r>
      <w:proofErr w:type="gramStart"/>
      <w:r w:rsidRPr="00C347C2">
        <w:rPr>
          <w:rFonts w:ascii="SimSun" w:hAnsi="SimSun" w:hint="eastAsia"/>
          <w:sz w:val="21"/>
          <w:szCs w:val="21"/>
        </w:rPr>
        <w:t>可专利</w:t>
      </w:r>
      <w:proofErr w:type="gramEnd"/>
      <w:r w:rsidRPr="00C347C2">
        <w:rPr>
          <w:rFonts w:ascii="SimSun" w:hAnsi="SimSun" w:hint="eastAsia"/>
          <w:sz w:val="21"/>
          <w:szCs w:val="21"/>
        </w:rPr>
        <w:t>性要求来重新撰写权利要求。他们还学习了国内和国际知识产权法律、知识产权评估、TUL知识产权和技术转让规定等方面的知识。</w:t>
      </w:r>
    </w:p>
    <w:p w:rsidR="002F3221" w:rsidRPr="00C347C2" w:rsidRDefault="002F3221" w:rsidP="00C347C2">
      <w:pPr>
        <w:adjustRightInd w:val="0"/>
        <w:spacing w:afterLines="50" w:after="120" w:line="340" w:lineRule="atLeast"/>
        <w:ind w:firstLine="27"/>
        <w:jc w:val="both"/>
        <w:rPr>
          <w:rFonts w:ascii="SimSun" w:hAnsi="SimSun"/>
          <w:sz w:val="21"/>
          <w:szCs w:val="21"/>
        </w:rPr>
      </w:pPr>
      <w:r w:rsidRPr="00C347C2">
        <w:rPr>
          <w:rFonts w:ascii="SimSun" w:hAnsi="SimSun"/>
          <w:sz w:val="21"/>
          <w:szCs w:val="21"/>
        </w:rPr>
        <w:fldChar w:fldCharType="begin"/>
      </w:r>
      <w:r w:rsidRPr="00C347C2">
        <w:rPr>
          <w:rFonts w:ascii="SimSun" w:hAnsi="SimSun"/>
          <w:sz w:val="21"/>
          <w:szCs w:val="21"/>
        </w:rPr>
        <w:instrText xml:space="preserve"> AUTONUM  </w:instrText>
      </w:r>
      <w:r w:rsidRPr="00C347C2">
        <w:rPr>
          <w:rFonts w:ascii="SimSun" w:hAnsi="SimSun"/>
          <w:sz w:val="21"/>
          <w:szCs w:val="21"/>
        </w:rPr>
        <w:fldChar w:fldCharType="end"/>
      </w:r>
      <w:r w:rsidR="00C347C2">
        <w:rPr>
          <w:rFonts w:ascii="SimSun" w:hAnsi="SimSun"/>
          <w:sz w:val="21"/>
          <w:szCs w:val="21"/>
        </w:rPr>
        <w:t>.</w:t>
      </w:r>
      <w:r w:rsidR="00C347C2">
        <w:rPr>
          <w:rFonts w:ascii="SimSun" w:hAnsi="SimSun"/>
          <w:sz w:val="21"/>
          <w:szCs w:val="21"/>
        </w:rPr>
        <w:tab/>
      </w:r>
      <w:r w:rsidRPr="00C347C2">
        <w:rPr>
          <w:rFonts w:ascii="SimSun" w:hAnsi="SimSun" w:hint="eastAsia"/>
          <w:sz w:val="21"/>
          <w:szCs w:val="21"/>
        </w:rPr>
        <w:t>此外，TUL还组织了中小企业开放日。另外，它还创建了一个企业家、技术转让中心和专利律师联系方式数据库。该项目的落实者发现，在国家专利局专家的支持下，针对科学界与企业界代表组织面对面的会议为该大学带来一个很好的机会，能够将其技术推广给“周围的”企业家们。</w:t>
      </w:r>
    </w:p>
    <w:p w:rsidR="002F3221" w:rsidRPr="00C347C2" w:rsidRDefault="002F3221" w:rsidP="00C347C2">
      <w:pPr>
        <w:adjustRightInd w:val="0"/>
        <w:spacing w:afterLines="50" w:after="120" w:line="340" w:lineRule="atLeast"/>
        <w:ind w:firstLine="27"/>
        <w:jc w:val="both"/>
        <w:rPr>
          <w:rFonts w:ascii="SimSun" w:hAnsi="SimSun"/>
          <w:sz w:val="21"/>
          <w:szCs w:val="21"/>
        </w:rPr>
      </w:pPr>
      <w:r w:rsidRPr="00C347C2">
        <w:rPr>
          <w:rFonts w:ascii="SimSun" w:hAnsi="SimSun"/>
          <w:sz w:val="21"/>
          <w:szCs w:val="21"/>
        </w:rPr>
        <w:fldChar w:fldCharType="begin"/>
      </w:r>
      <w:r w:rsidRPr="00C347C2">
        <w:rPr>
          <w:rFonts w:ascii="SimSun" w:hAnsi="SimSun"/>
          <w:sz w:val="21"/>
          <w:szCs w:val="21"/>
        </w:rPr>
        <w:instrText xml:space="preserve"> AUTONUM  </w:instrText>
      </w:r>
      <w:r w:rsidRPr="00C347C2">
        <w:rPr>
          <w:rFonts w:ascii="SimSun" w:hAnsi="SimSun"/>
          <w:sz w:val="21"/>
          <w:szCs w:val="21"/>
        </w:rPr>
        <w:fldChar w:fldCharType="end"/>
      </w:r>
      <w:r w:rsidR="00C347C2">
        <w:rPr>
          <w:rFonts w:ascii="SimSun" w:hAnsi="SimSun"/>
          <w:sz w:val="21"/>
          <w:szCs w:val="21"/>
        </w:rPr>
        <w:t>.</w:t>
      </w:r>
      <w:r w:rsidR="00C347C2">
        <w:rPr>
          <w:rFonts w:ascii="SimSun" w:hAnsi="SimSun"/>
          <w:sz w:val="21"/>
          <w:szCs w:val="21"/>
        </w:rPr>
        <w:tab/>
      </w:r>
      <w:r w:rsidRPr="00C347C2">
        <w:rPr>
          <w:rFonts w:ascii="SimSun" w:hAnsi="SimSun" w:hint="eastAsia"/>
          <w:sz w:val="21"/>
          <w:szCs w:val="21"/>
        </w:rPr>
        <w:t>该试点项目的落实工作表明，技术转让的主要推动力包括：(</w:t>
      </w:r>
      <w:proofErr w:type="spellStart"/>
      <w:r w:rsidRPr="00C347C2">
        <w:rPr>
          <w:rFonts w:ascii="SimSun" w:hAnsi="SimSun" w:hint="eastAsia"/>
          <w:sz w:val="21"/>
          <w:szCs w:val="21"/>
        </w:rPr>
        <w:t>i</w:t>
      </w:r>
      <w:proofErr w:type="spellEnd"/>
      <w:r w:rsidRPr="00C347C2">
        <w:rPr>
          <w:rFonts w:ascii="SimSun" w:hAnsi="SimSun" w:hint="eastAsia"/>
          <w:sz w:val="21"/>
          <w:szCs w:val="21"/>
        </w:rPr>
        <w:t>)提高科学家和企业家对知识产权保护、商业化和技术转让所带来优势的认识；(ii)令科学家了解与企业界合作会带来的好处；(iii)加强大学和企业界之间的联系和知识转让；(iv)提高大学的商业化能力；(v)收集并传播有关解决方案、技术、专利律师、产生带、技术园和技术转让中心方面的信息；(vi)鼓励科学家对其研究成果加以商业化，以便更有效地利用成果；以及(vii)传播好的商业化作法和成功实例方面的信息。</w:t>
      </w:r>
    </w:p>
    <w:p w:rsidR="002F3221" w:rsidRPr="00C347C2" w:rsidRDefault="002F3221" w:rsidP="00C347C2">
      <w:pPr>
        <w:adjustRightInd w:val="0"/>
        <w:spacing w:beforeLines="100" w:before="240" w:afterLines="100" w:after="240" w:line="340" w:lineRule="atLeast"/>
        <w:ind w:firstLine="27"/>
        <w:jc w:val="both"/>
        <w:rPr>
          <w:rFonts w:ascii="KaiTi" w:eastAsia="KaiTi" w:hAnsi="KaiTi"/>
          <w:i/>
          <w:sz w:val="21"/>
          <w:szCs w:val="21"/>
        </w:rPr>
      </w:pPr>
      <w:r w:rsidRPr="00C347C2">
        <w:rPr>
          <w:rFonts w:ascii="KaiTi" w:eastAsia="KaiTi" w:hAnsi="KaiTi" w:hint="eastAsia"/>
          <w:i/>
          <w:sz w:val="21"/>
          <w:szCs w:val="21"/>
        </w:rPr>
        <w:t>美利坚合众国《</w:t>
      </w:r>
      <w:r w:rsidRPr="00C347C2">
        <w:rPr>
          <w:rFonts w:ascii="KaiTi" w:eastAsia="KaiTi" w:hAnsi="KaiTi"/>
          <w:i/>
          <w:sz w:val="21"/>
          <w:szCs w:val="21"/>
        </w:rPr>
        <w:t>Bayh-Dole</w:t>
      </w:r>
      <w:r w:rsidRPr="00C347C2">
        <w:rPr>
          <w:rFonts w:ascii="KaiTi" w:eastAsia="KaiTi" w:hAnsi="KaiTi" w:hint="eastAsia"/>
          <w:i/>
          <w:sz w:val="21"/>
          <w:szCs w:val="21"/>
        </w:rPr>
        <w:t>法案》和联邦计划方面的经验</w:t>
      </w:r>
    </w:p>
    <w:p w:rsidR="002F3221" w:rsidRPr="00C347C2" w:rsidRDefault="002F3221" w:rsidP="00C347C2">
      <w:pPr>
        <w:adjustRightInd w:val="0"/>
        <w:spacing w:afterLines="50" w:after="120" w:line="340" w:lineRule="atLeast"/>
        <w:ind w:firstLine="27"/>
        <w:jc w:val="both"/>
        <w:rPr>
          <w:rFonts w:ascii="SimSun" w:hAnsi="SimSun"/>
          <w:sz w:val="21"/>
          <w:szCs w:val="21"/>
        </w:rPr>
      </w:pPr>
      <w:r w:rsidRPr="00C347C2">
        <w:rPr>
          <w:rFonts w:ascii="SimSun" w:hAnsi="SimSun"/>
          <w:sz w:val="21"/>
          <w:szCs w:val="21"/>
        </w:rPr>
        <w:fldChar w:fldCharType="begin"/>
      </w:r>
      <w:r w:rsidRPr="00C347C2">
        <w:rPr>
          <w:rFonts w:ascii="SimSun" w:hAnsi="SimSun"/>
          <w:sz w:val="21"/>
          <w:szCs w:val="21"/>
        </w:rPr>
        <w:instrText xml:space="preserve"> AUTONUM  </w:instrText>
      </w:r>
      <w:r w:rsidRPr="00C347C2">
        <w:rPr>
          <w:rFonts w:ascii="SimSun" w:hAnsi="SimSun"/>
          <w:sz w:val="21"/>
          <w:szCs w:val="21"/>
        </w:rPr>
        <w:fldChar w:fldCharType="end"/>
      </w:r>
      <w:r w:rsidR="00C347C2">
        <w:rPr>
          <w:rFonts w:ascii="SimSun" w:hAnsi="SimSun"/>
          <w:sz w:val="21"/>
          <w:szCs w:val="21"/>
        </w:rPr>
        <w:t>.</w:t>
      </w:r>
      <w:r w:rsidR="00C347C2">
        <w:rPr>
          <w:rFonts w:ascii="SimSun" w:hAnsi="SimSun"/>
          <w:sz w:val="21"/>
          <w:szCs w:val="21"/>
        </w:rPr>
        <w:tab/>
      </w:r>
      <w:r w:rsidRPr="00C347C2">
        <w:rPr>
          <w:rFonts w:ascii="SimSun" w:hAnsi="SimSun" w:hint="eastAsia"/>
          <w:sz w:val="21"/>
          <w:szCs w:val="21"/>
        </w:rPr>
        <w:t>1980年通过的《</w:t>
      </w:r>
      <w:r w:rsidRPr="00C347C2">
        <w:rPr>
          <w:rFonts w:ascii="SimSun" w:hAnsi="SimSun"/>
          <w:sz w:val="21"/>
          <w:szCs w:val="21"/>
        </w:rPr>
        <w:t>Bayh-Dole</w:t>
      </w:r>
      <w:r w:rsidRPr="00C347C2">
        <w:rPr>
          <w:rFonts w:ascii="SimSun" w:hAnsi="SimSun" w:hint="eastAsia"/>
          <w:sz w:val="21"/>
          <w:szCs w:val="21"/>
        </w:rPr>
        <w:t>法案》促进了美国大学专利申请和大学向企业进行技术转让的增长。这是因为大学可以选择获得联邦政府资助的发明所有权，并简化了这种选择流程。1980年之前，美国大学所获专利不足250件。2011年，大学技术管理者协会(AUTM)成员获得了4700件专利。同年签署了4899份新许可协议，并针对大学研究工作成立了671家初创企业</w:t>
      </w:r>
      <w:r w:rsidRPr="00C347C2">
        <w:rPr>
          <w:rStyle w:val="ae"/>
          <w:rFonts w:ascii="SimSun" w:hAnsi="SimSun"/>
          <w:sz w:val="21"/>
          <w:szCs w:val="21"/>
        </w:rPr>
        <w:footnoteReference w:id="6"/>
      </w:r>
      <w:r w:rsidR="009D03B2">
        <w:rPr>
          <w:rFonts w:ascii="SimSun" w:hAnsi="SimSun" w:hint="eastAsia"/>
          <w:sz w:val="21"/>
          <w:szCs w:val="21"/>
        </w:rPr>
        <w:t>。</w:t>
      </w:r>
    </w:p>
    <w:p w:rsidR="002F3221" w:rsidRPr="00C347C2" w:rsidRDefault="002F3221" w:rsidP="00C347C2">
      <w:pPr>
        <w:adjustRightInd w:val="0"/>
        <w:spacing w:afterLines="50" w:after="120" w:line="340" w:lineRule="atLeast"/>
        <w:ind w:firstLine="27"/>
        <w:jc w:val="both"/>
        <w:rPr>
          <w:rFonts w:ascii="SimSun" w:hAnsi="SimSun"/>
          <w:sz w:val="21"/>
          <w:szCs w:val="21"/>
        </w:rPr>
      </w:pPr>
      <w:r w:rsidRPr="00C347C2">
        <w:rPr>
          <w:rFonts w:ascii="SimSun" w:hAnsi="SimSun"/>
          <w:sz w:val="21"/>
          <w:szCs w:val="21"/>
        </w:rPr>
        <w:fldChar w:fldCharType="begin"/>
      </w:r>
      <w:r w:rsidRPr="00C347C2">
        <w:rPr>
          <w:rFonts w:ascii="SimSun" w:hAnsi="SimSun"/>
          <w:sz w:val="21"/>
          <w:szCs w:val="21"/>
        </w:rPr>
        <w:instrText xml:space="preserve"> AUTONUM  </w:instrText>
      </w:r>
      <w:r w:rsidRPr="00C347C2">
        <w:rPr>
          <w:rFonts w:ascii="SimSun" w:hAnsi="SimSun"/>
          <w:sz w:val="21"/>
          <w:szCs w:val="21"/>
        </w:rPr>
        <w:fldChar w:fldCharType="end"/>
      </w:r>
      <w:r w:rsidR="00C347C2">
        <w:rPr>
          <w:rFonts w:ascii="SimSun" w:hAnsi="SimSun"/>
          <w:sz w:val="21"/>
          <w:szCs w:val="21"/>
        </w:rPr>
        <w:t>.</w:t>
      </w:r>
      <w:r w:rsidR="00C347C2">
        <w:rPr>
          <w:rFonts w:ascii="SimSun" w:hAnsi="SimSun"/>
          <w:sz w:val="21"/>
          <w:szCs w:val="21"/>
        </w:rPr>
        <w:tab/>
      </w:r>
      <w:r w:rsidRPr="00C347C2">
        <w:rPr>
          <w:rFonts w:ascii="SimSun" w:hAnsi="SimSun" w:hint="eastAsia"/>
          <w:sz w:val="21"/>
          <w:szCs w:val="21"/>
        </w:rPr>
        <w:t>此外，联邦计划还为美利坚合众国的技术转让提供了众多的激励机制。美国国立卫生研究院(NIH)的各项活动就是与卫生技术相关的专利相关激励机制的一个实例。NIH是美国政府拥有的HIV抗逆转录病毒(ARV)蛋白酶抑制药</w:t>
      </w:r>
      <w:proofErr w:type="gramStart"/>
      <w:r w:rsidRPr="00C347C2">
        <w:rPr>
          <w:rFonts w:ascii="SimSun" w:hAnsi="SimSun" w:hint="eastAsia"/>
          <w:sz w:val="21"/>
          <w:szCs w:val="21"/>
        </w:rPr>
        <w:t>品专利</w:t>
      </w:r>
      <w:proofErr w:type="gramEnd"/>
      <w:r w:rsidRPr="00C347C2">
        <w:rPr>
          <w:rFonts w:ascii="SimSun" w:hAnsi="SimSun" w:hint="eastAsia"/>
          <w:sz w:val="21"/>
          <w:szCs w:val="21"/>
        </w:rPr>
        <w:t xml:space="preserve">许可的药品专利池(MPP)的首个捐助者。此外，2011年，NIH也成为了WIPO </w:t>
      </w:r>
      <w:proofErr w:type="spellStart"/>
      <w:r w:rsidRPr="00C347C2">
        <w:rPr>
          <w:rFonts w:ascii="SimSun" w:hAnsi="SimSun" w:hint="eastAsia"/>
          <w:sz w:val="21"/>
          <w:szCs w:val="21"/>
        </w:rPr>
        <w:t>Re:Search</w:t>
      </w:r>
      <w:proofErr w:type="spellEnd"/>
      <w:r w:rsidRPr="00C347C2">
        <w:rPr>
          <w:rFonts w:ascii="SimSun" w:hAnsi="SimSun" w:hint="eastAsia"/>
          <w:sz w:val="21"/>
          <w:szCs w:val="21"/>
        </w:rPr>
        <w:t>项目的创始捐助者。其从其内部研究计划中捐助了超过70项技术的知识产权。NIH的参与也符合《美国总统关于全球发展的政策指令》，该指令呼吁更多地利用研发活动来改善疾病的治疗。</w:t>
      </w:r>
    </w:p>
    <w:p w:rsidR="002F3221" w:rsidRPr="00C347C2" w:rsidRDefault="002F3221" w:rsidP="00C347C2">
      <w:pPr>
        <w:adjustRightInd w:val="0"/>
        <w:spacing w:beforeLines="100" w:before="240" w:afterLines="100" w:after="240" w:line="340" w:lineRule="atLeast"/>
        <w:ind w:firstLine="27"/>
        <w:jc w:val="both"/>
        <w:rPr>
          <w:rFonts w:ascii="SimHei" w:eastAsia="SimHei" w:hAnsi="SimHei"/>
          <w:sz w:val="21"/>
          <w:szCs w:val="21"/>
        </w:rPr>
      </w:pPr>
      <w:r w:rsidRPr="00C347C2">
        <w:rPr>
          <w:rFonts w:ascii="SimHei" w:eastAsia="SimHei" w:hAnsi="SimHei" w:hint="eastAsia"/>
          <w:sz w:val="21"/>
          <w:szCs w:val="21"/>
        </w:rPr>
        <w:lastRenderedPageBreak/>
        <w:t>更好地认识对专利制度的利用</w:t>
      </w:r>
    </w:p>
    <w:p w:rsidR="002F3221" w:rsidRPr="00C347C2" w:rsidRDefault="002F3221" w:rsidP="00C347C2">
      <w:pPr>
        <w:adjustRightInd w:val="0"/>
        <w:spacing w:afterLines="50" w:after="120" w:line="340" w:lineRule="atLeast"/>
        <w:ind w:firstLine="27"/>
        <w:jc w:val="both"/>
        <w:rPr>
          <w:rFonts w:ascii="SimSun" w:hAnsi="SimSun"/>
          <w:sz w:val="21"/>
          <w:szCs w:val="21"/>
        </w:rPr>
      </w:pPr>
      <w:r w:rsidRPr="00C347C2">
        <w:rPr>
          <w:rFonts w:ascii="SimSun" w:hAnsi="SimSun"/>
          <w:sz w:val="21"/>
          <w:szCs w:val="21"/>
        </w:rPr>
        <w:fldChar w:fldCharType="begin"/>
      </w:r>
      <w:r w:rsidRPr="00C347C2">
        <w:rPr>
          <w:rFonts w:ascii="SimSun" w:hAnsi="SimSun"/>
          <w:sz w:val="21"/>
          <w:szCs w:val="21"/>
        </w:rPr>
        <w:instrText xml:space="preserve"> AUTONUM  </w:instrText>
      </w:r>
      <w:r w:rsidRPr="00C347C2">
        <w:rPr>
          <w:rFonts w:ascii="SimSun" w:hAnsi="SimSun"/>
          <w:sz w:val="21"/>
          <w:szCs w:val="21"/>
        </w:rPr>
        <w:fldChar w:fldCharType="end"/>
      </w:r>
      <w:r w:rsidR="00C347C2">
        <w:rPr>
          <w:rFonts w:ascii="SimSun" w:hAnsi="SimSun"/>
          <w:sz w:val="21"/>
          <w:szCs w:val="21"/>
        </w:rPr>
        <w:t>.</w:t>
      </w:r>
      <w:r w:rsidR="00C347C2">
        <w:rPr>
          <w:rFonts w:ascii="SimSun" w:hAnsi="SimSun"/>
          <w:sz w:val="21"/>
          <w:szCs w:val="21"/>
        </w:rPr>
        <w:tab/>
      </w:r>
      <w:r w:rsidRPr="00C347C2">
        <w:rPr>
          <w:rFonts w:ascii="SimSun" w:hAnsi="SimSun" w:hint="eastAsia"/>
          <w:sz w:val="21"/>
          <w:szCs w:val="21"/>
        </w:rPr>
        <w:t>哥斯达黎加国家局就技术和创新支持中心(TISC)进行报告。该机构用以促进专利活动的增长、鼓励利益攸关者了解专利制度带来的好处、增进技术转让并改善专利质量。</w:t>
      </w:r>
    </w:p>
    <w:p w:rsidR="002F3221" w:rsidRPr="00C347C2" w:rsidRDefault="002F3221" w:rsidP="00C347C2">
      <w:pPr>
        <w:adjustRightInd w:val="0"/>
        <w:spacing w:afterLines="50" w:after="120" w:line="340" w:lineRule="atLeast"/>
        <w:ind w:firstLine="27"/>
        <w:jc w:val="both"/>
        <w:rPr>
          <w:rFonts w:ascii="SimSun" w:hAnsi="SimSun"/>
          <w:sz w:val="21"/>
          <w:szCs w:val="21"/>
        </w:rPr>
      </w:pPr>
      <w:r w:rsidRPr="00C347C2">
        <w:rPr>
          <w:rFonts w:ascii="SimSun" w:hAnsi="SimSun"/>
          <w:sz w:val="21"/>
          <w:szCs w:val="21"/>
        </w:rPr>
        <w:fldChar w:fldCharType="begin"/>
      </w:r>
      <w:r w:rsidRPr="00C347C2">
        <w:rPr>
          <w:rFonts w:ascii="SimSun" w:hAnsi="SimSun"/>
          <w:sz w:val="21"/>
          <w:szCs w:val="21"/>
        </w:rPr>
        <w:instrText xml:space="preserve"> AUTONUM  </w:instrText>
      </w:r>
      <w:r w:rsidRPr="00C347C2">
        <w:rPr>
          <w:rFonts w:ascii="SimSun" w:hAnsi="SimSun"/>
          <w:sz w:val="21"/>
          <w:szCs w:val="21"/>
        </w:rPr>
        <w:fldChar w:fldCharType="end"/>
      </w:r>
      <w:r w:rsidR="00C347C2">
        <w:rPr>
          <w:rFonts w:ascii="SimSun" w:hAnsi="SimSun"/>
          <w:sz w:val="21"/>
          <w:szCs w:val="21"/>
        </w:rPr>
        <w:t>.</w:t>
      </w:r>
      <w:r w:rsidR="00C347C2">
        <w:rPr>
          <w:rFonts w:ascii="SimSun" w:hAnsi="SimSun"/>
          <w:sz w:val="21"/>
          <w:szCs w:val="21"/>
        </w:rPr>
        <w:tab/>
      </w:r>
      <w:r w:rsidRPr="00C347C2">
        <w:rPr>
          <w:rFonts w:ascii="SimSun" w:hAnsi="SimSun" w:hint="eastAsia"/>
          <w:sz w:val="21"/>
          <w:szCs w:val="21"/>
        </w:rPr>
        <w:t>摩纳哥知识产权局目前正在构建一个专用于工业产权的网站。其目标之一就是向国内公司推广专利。</w:t>
      </w:r>
    </w:p>
    <w:p w:rsidR="002F3221" w:rsidRPr="00C347C2" w:rsidRDefault="002F3221" w:rsidP="00C347C2">
      <w:pPr>
        <w:adjustRightInd w:val="0"/>
        <w:spacing w:beforeLines="100" w:before="240" w:afterLines="100" w:after="240" w:line="340" w:lineRule="atLeast"/>
        <w:ind w:firstLine="27"/>
        <w:jc w:val="both"/>
        <w:rPr>
          <w:rFonts w:ascii="SimHei" w:eastAsia="SimHei" w:hAnsi="SimHei"/>
          <w:sz w:val="21"/>
          <w:szCs w:val="21"/>
        </w:rPr>
      </w:pPr>
      <w:r w:rsidRPr="00C347C2">
        <w:rPr>
          <w:rFonts w:ascii="SimHei" w:eastAsia="SimHei" w:hAnsi="SimHei" w:hint="eastAsia"/>
          <w:sz w:val="21"/>
          <w:szCs w:val="21"/>
        </w:rPr>
        <w:t>利用专利信息来满足当地需求</w:t>
      </w:r>
    </w:p>
    <w:p w:rsidR="002F3221" w:rsidRPr="00C347C2" w:rsidRDefault="002F3221" w:rsidP="00C347C2">
      <w:pPr>
        <w:adjustRightInd w:val="0"/>
        <w:spacing w:afterLines="50" w:after="120" w:line="340" w:lineRule="atLeast"/>
        <w:jc w:val="both"/>
        <w:rPr>
          <w:rFonts w:ascii="SimSun" w:hAnsi="SimSun"/>
          <w:sz w:val="21"/>
          <w:szCs w:val="21"/>
        </w:rPr>
      </w:pPr>
      <w:r w:rsidRPr="00C347C2">
        <w:rPr>
          <w:rFonts w:ascii="SimSun" w:hAnsi="SimSun"/>
          <w:sz w:val="21"/>
          <w:szCs w:val="21"/>
        </w:rPr>
        <w:fldChar w:fldCharType="begin"/>
      </w:r>
      <w:r w:rsidRPr="00C347C2">
        <w:rPr>
          <w:rFonts w:ascii="SimSun" w:hAnsi="SimSun"/>
          <w:sz w:val="21"/>
          <w:szCs w:val="21"/>
        </w:rPr>
        <w:instrText xml:space="preserve"> AUTONUM  </w:instrText>
      </w:r>
      <w:r w:rsidRPr="00C347C2">
        <w:rPr>
          <w:rFonts w:ascii="SimSun" w:hAnsi="SimSun"/>
          <w:sz w:val="21"/>
          <w:szCs w:val="21"/>
        </w:rPr>
        <w:fldChar w:fldCharType="end"/>
      </w:r>
      <w:r w:rsidR="00C347C2">
        <w:rPr>
          <w:rFonts w:ascii="SimSun" w:hAnsi="SimSun"/>
          <w:sz w:val="21"/>
          <w:szCs w:val="21"/>
        </w:rPr>
        <w:t>.</w:t>
      </w:r>
      <w:r w:rsidR="00C347C2">
        <w:rPr>
          <w:rFonts w:ascii="SimSun" w:hAnsi="SimSun"/>
          <w:sz w:val="21"/>
          <w:szCs w:val="21"/>
        </w:rPr>
        <w:tab/>
      </w:r>
      <w:r w:rsidRPr="00C347C2">
        <w:rPr>
          <w:rFonts w:ascii="SimSun" w:hAnsi="SimSun" w:hint="eastAsia"/>
          <w:sz w:val="21"/>
          <w:szCs w:val="21"/>
        </w:rPr>
        <w:t>专利文献可能包含有可用以应对发展中国家所面临主要挑战的科技信息(“适当技术”)。韩国知识产权局(KIPO)正在针对发展中国家开发适当技术。该项目包含五个步骤。首先，KIPO通过调查当地问题、需求、环境和文化来对当地需求进行调查。第二，为了找到解决这些当地问题的方法，利用一个包含有1亿5</w:t>
      </w:r>
      <w:proofErr w:type="gramStart"/>
      <w:r w:rsidRPr="00C347C2">
        <w:rPr>
          <w:rFonts w:ascii="SimSun" w:hAnsi="SimSun" w:hint="eastAsia"/>
          <w:sz w:val="21"/>
          <w:szCs w:val="21"/>
        </w:rPr>
        <w:t>千万</w:t>
      </w:r>
      <w:proofErr w:type="gramEnd"/>
      <w:r w:rsidRPr="00C347C2">
        <w:rPr>
          <w:rFonts w:ascii="SimSun" w:hAnsi="SimSun" w:hint="eastAsia"/>
          <w:sz w:val="21"/>
          <w:szCs w:val="21"/>
        </w:rPr>
        <w:t>项专利技术的专利数据库开展一项现有技术检索。第三步，KIPO与技术专家开展合作，对所选的技术进行调整，以适应当地的环境和条件。然后，其再将经调整后的最终技术向目标当地社区进行传播。最后，其还与非政府组织(NGO)开展合作，帮助开展产品的商业化和</w:t>
      </w:r>
      <w:proofErr w:type="gramStart"/>
      <w:r w:rsidRPr="00C347C2">
        <w:rPr>
          <w:rFonts w:ascii="SimSun" w:hAnsi="SimSun" w:hint="eastAsia"/>
          <w:sz w:val="21"/>
          <w:szCs w:val="21"/>
        </w:rPr>
        <w:t>可</w:t>
      </w:r>
      <w:proofErr w:type="gramEnd"/>
      <w:r w:rsidRPr="00C347C2">
        <w:rPr>
          <w:rFonts w:ascii="SimSun" w:hAnsi="SimSun" w:hint="eastAsia"/>
          <w:sz w:val="21"/>
          <w:szCs w:val="21"/>
        </w:rPr>
        <w:t>持续的商业运作。</w:t>
      </w:r>
    </w:p>
    <w:p w:rsidR="002F3221" w:rsidRPr="00C347C2" w:rsidRDefault="002F3221" w:rsidP="00C347C2">
      <w:pPr>
        <w:adjustRightInd w:val="0"/>
        <w:spacing w:afterLines="50" w:after="120" w:line="340" w:lineRule="atLeast"/>
        <w:jc w:val="both"/>
        <w:rPr>
          <w:rFonts w:ascii="SimSun" w:hAnsi="SimSun"/>
          <w:sz w:val="21"/>
          <w:szCs w:val="21"/>
        </w:rPr>
      </w:pPr>
      <w:r w:rsidRPr="00C347C2">
        <w:rPr>
          <w:rFonts w:ascii="SimSun" w:hAnsi="SimSun"/>
          <w:sz w:val="21"/>
          <w:szCs w:val="21"/>
        </w:rPr>
        <w:fldChar w:fldCharType="begin"/>
      </w:r>
      <w:r w:rsidRPr="00C347C2">
        <w:rPr>
          <w:rFonts w:ascii="SimSun" w:hAnsi="SimSun"/>
          <w:sz w:val="21"/>
          <w:szCs w:val="21"/>
        </w:rPr>
        <w:instrText xml:space="preserve"> AUTONUM  </w:instrText>
      </w:r>
      <w:r w:rsidRPr="00C347C2">
        <w:rPr>
          <w:rFonts w:ascii="SimSun" w:hAnsi="SimSun"/>
          <w:sz w:val="21"/>
          <w:szCs w:val="21"/>
        </w:rPr>
        <w:fldChar w:fldCharType="end"/>
      </w:r>
      <w:r w:rsidR="00C347C2">
        <w:rPr>
          <w:rFonts w:ascii="SimSun" w:hAnsi="SimSun"/>
          <w:sz w:val="21"/>
          <w:szCs w:val="21"/>
        </w:rPr>
        <w:t>.</w:t>
      </w:r>
      <w:r w:rsidR="00C347C2">
        <w:rPr>
          <w:rFonts w:ascii="SimSun" w:hAnsi="SimSun"/>
          <w:sz w:val="21"/>
          <w:szCs w:val="21"/>
        </w:rPr>
        <w:tab/>
      </w:r>
      <w:r w:rsidRPr="00C347C2">
        <w:rPr>
          <w:rFonts w:ascii="SimSun" w:hAnsi="SimSun" w:hint="eastAsia"/>
          <w:sz w:val="21"/>
          <w:szCs w:val="21"/>
        </w:rPr>
        <w:t>在与某些国家局开展技术转让的过程中，德国专利局(DPMA)正在对其数据库是否可在发展环境下用于受限使用开展评估。</w:t>
      </w:r>
    </w:p>
    <w:p w:rsidR="002F3221" w:rsidRPr="00C347C2" w:rsidRDefault="002F3221" w:rsidP="00C347C2">
      <w:pPr>
        <w:adjustRightInd w:val="0"/>
        <w:spacing w:beforeLines="100" w:before="240" w:afterLines="100" w:after="240" w:line="340" w:lineRule="atLeast"/>
        <w:ind w:firstLine="27"/>
        <w:jc w:val="both"/>
        <w:rPr>
          <w:rFonts w:ascii="SimHei" w:eastAsia="SimHei" w:hAnsi="SimHei"/>
          <w:sz w:val="21"/>
          <w:szCs w:val="21"/>
        </w:rPr>
      </w:pPr>
      <w:r w:rsidRPr="00C347C2">
        <w:rPr>
          <w:rFonts w:ascii="SimHei" w:eastAsia="SimHei" w:hAnsi="SimHei" w:hint="eastAsia"/>
          <w:sz w:val="21"/>
          <w:szCs w:val="21"/>
        </w:rPr>
        <w:t>USPTO人道专利试点计划</w:t>
      </w:r>
      <w:bookmarkStart w:id="3" w:name="_GoBack"/>
      <w:bookmarkEnd w:id="3"/>
    </w:p>
    <w:p w:rsidR="002F3221" w:rsidRPr="00C347C2" w:rsidRDefault="002F3221" w:rsidP="00C347C2">
      <w:pPr>
        <w:adjustRightInd w:val="0"/>
        <w:spacing w:afterLines="50" w:after="120" w:line="340" w:lineRule="atLeast"/>
        <w:ind w:firstLine="27"/>
        <w:jc w:val="both"/>
        <w:rPr>
          <w:rFonts w:ascii="SimSun" w:hAnsi="SimSun"/>
          <w:sz w:val="21"/>
          <w:szCs w:val="21"/>
        </w:rPr>
      </w:pPr>
      <w:r w:rsidRPr="00C347C2">
        <w:rPr>
          <w:rFonts w:ascii="SimSun" w:hAnsi="SimSun"/>
          <w:sz w:val="21"/>
          <w:szCs w:val="21"/>
        </w:rPr>
        <w:fldChar w:fldCharType="begin"/>
      </w:r>
      <w:r w:rsidRPr="00C347C2">
        <w:rPr>
          <w:rFonts w:ascii="SimSun" w:hAnsi="SimSun"/>
          <w:sz w:val="21"/>
          <w:szCs w:val="21"/>
        </w:rPr>
        <w:instrText xml:space="preserve"> AUTONUM  </w:instrText>
      </w:r>
      <w:r w:rsidRPr="00C347C2">
        <w:rPr>
          <w:rFonts w:ascii="SimSun" w:hAnsi="SimSun"/>
          <w:sz w:val="21"/>
          <w:szCs w:val="21"/>
        </w:rPr>
        <w:fldChar w:fldCharType="end"/>
      </w:r>
      <w:r w:rsidR="00C347C2">
        <w:rPr>
          <w:rFonts w:ascii="SimSun" w:hAnsi="SimSun"/>
          <w:sz w:val="21"/>
          <w:szCs w:val="21"/>
        </w:rPr>
        <w:t>.</w:t>
      </w:r>
      <w:r w:rsidR="00C347C2">
        <w:rPr>
          <w:rFonts w:ascii="SimSun" w:hAnsi="SimSun"/>
          <w:sz w:val="21"/>
          <w:szCs w:val="21"/>
        </w:rPr>
        <w:tab/>
      </w:r>
      <w:r w:rsidRPr="00C347C2">
        <w:rPr>
          <w:rFonts w:ascii="SimSun" w:hAnsi="SimSun" w:hint="eastAsia"/>
          <w:sz w:val="21"/>
          <w:szCs w:val="21"/>
        </w:rPr>
        <w:t>2012年2月，美国专利商标局(USPTO)启动了人道专利试点计划，奖励那些将拯救生命技术带给全球范围内未得到足够重视人群的公司</w:t>
      </w:r>
      <w:r w:rsidRPr="00C347C2">
        <w:rPr>
          <w:rStyle w:val="ae"/>
          <w:rFonts w:ascii="SimSun" w:hAnsi="SimSun"/>
          <w:sz w:val="21"/>
          <w:szCs w:val="21"/>
        </w:rPr>
        <w:footnoteReference w:id="7"/>
      </w:r>
      <w:r w:rsidR="009D03B2">
        <w:rPr>
          <w:rFonts w:ascii="SimSun" w:hAnsi="SimSun" w:hint="eastAsia"/>
          <w:sz w:val="21"/>
          <w:szCs w:val="21"/>
        </w:rPr>
        <w:t>。</w:t>
      </w:r>
      <w:r w:rsidRPr="00C347C2">
        <w:rPr>
          <w:rFonts w:ascii="SimSun" w:hAnsi="SimSun" w:hint="eastAsia"/>
          <w:sz w:val="21"/>
          <w:szCs w:val="21"/>
        </w:rPr>
        <w:t>该计划为将其专利技术用于解决人道需求的专利权人和被许可人提供商业激励。获奖者会获得一份证书，证明获奖者针对其技术组合中任何事项向USPTO提交的专利申请、上诉、复审程序均得到加快处理。获奖者还会在公共颁奖典礼上得到美国政府的认可，同时其努力也会得到媒体的宣传。</w:t>
      </w:r>
    </w:p>
    <w:p w:rsidR="002F3221" w:rsidRPr="00C347C2" w:rsidRDefault="002F3221" w:rsidP="00C347C2">
      <w:pPr>
        <w:adjustRightInd w:val="0"/>
        <w:spacing w:beforeLines="100" w:before="240" w:afterLines="100" w:after="240" w:line="340" w:lineRule="atLeast"/>
        <w:ind w:firstLine="27"/>
        <w:jc w:val="both"/>
        <w:rPr>
          <w:rFonts w:ascii="SimHei" w:eastAsia="SimHei" w:hAnsi="SimHei"/>
          <w:sz w:val="21"/>
          <w:szCs w:val="21"/>
        </w:rPr>
      </w:pPr>
      <w:r w:rsidRPr="00C347C2">
        <w:rPr>
          <w:rFonts w:ascii="SimHei" w:eastAsia="SimHei" w:hAnsi="SimHei" w:hint="eastAsia"/>
          <w:sz w:val="21"/>
          <w:szCs w:val="21"/>
        </w:rPr>
        <w:t>私营部门和投资环境的作用</w:t>
      </w:r>
    </w:p>
    <w:p w:rsidR="002F3221" w:rsidRPr="00C347C2" w:rsidRDefault="002F3221" w:rsidP="00C347C2">
      <w:pPr>
        <w:adjustRightInd w:val="0"/>
        <w:spacing w:afterLines="50" w:after="120" w:line="340" w:lineRule="atLeast"/>
        <w:ind w:firstLine="27"/>
        <w:jc w:val="both"/>
        <w:rPr>
          <w:rFonts w:ascii="SimSun" w:hAnsi="SimSun"/>
          <w:sz w:val="21"/>
          <w:szCs w:val="21"/>
        </w:rPr>
      </w:pPr>
      <w:r w:rsidRPr="00C347C2">
        <w:rPr>
          <w:rFonts w:ascii="SimSun" w:hAnsi="SimSun"/>
          <w:sz w:val="21"/>
          <w:szCs w:val="21"/>
        </w:rPr>
        <w:fldChar w:fldCharType="begin"/>
      </w:r>
      <w:r w:rsidRPr="00C347C2">
        <w:rPr>
          <w:rFonts w:ascii="SimSun" w:hAnsi="SimSun"/>
          <w:sz w:val="21"/>
          <w:szCs w:val="21"/>
        </w:rPr>
        <w:instrText xml:space="preserve"> AUTONUM  </w:instrText>
      </w:r>
      <w:r w:rsidRPr="00C347C2">
        <w:rPr>
          <w:rFonts w:ascii="SimSun" w:hAnsi="SimSun"/>
          <w:sz w:val="21"/>
          <w:szCs w:val="21"/>
        </w:rPr>
        <w:fldChar w:fldCharType="end"/>
      </w:r>
      <w:r w:rsidR="00C347C2">
        <w:rPr>
          <w:rFonts w:ascii="SimSun" w:hAnsi="SimSun"/>
          <w:sz w:val="21"/>
          <w:szCs w:val="21"/>
        </w:rPr>
        <w:t>.</w:t>
      </w:r>
      <w:r w:rsidR="00C347C2">
        <w:rPr>
          <w:rFonts w:ascii="SimSun" w:hAnsi="SimSun"/>
          <w:sz w:val="21"/>
          <w:szCs w:val="21"/>
        </w:rPr>
        <w:tab/>
      </w:r>
      <w:r w:rsidRPr="00C347C2">
        <w:rPr>
          <w:rFonts w:ascii="SimSun" w:hAnsi="SimSun" w:hint="eastAsia"/>
          <w:sz w:val="21"/>
          <w:szCs w:val="21"/>
        </w:rPr>
        <w:t>一些国家提交的资料提到了私营部门在促进技术转让方面的重要作用以及可持续经营适当的投资环境。联合王国政府认为，这类投资环境往往指的是一种合理规定、基础设施、财产权利、市场准入、税收制度和透明政治的综合体。因而，各国政府在营造这种投资环境方面发挥着关键性作用，正如民间社会团体在确保政策能够切实反映公共利益方面所发挥的作用一样。联合王国希望为更多更好的有针对性的技术转让活动提供更好的条件</w:t>
      </w:r>
      <w:r w:rsidRPr="00C347C2">
        <w:rPr>
          <w:rStyle w:val="ae"/>
          <w:rFonts w:ascii="SimSun" w:hAnsi="SimSun"/>
          <w:sz w:val="21"/>
          <w:szCs w:val="21"/>
        </w:rPr>
        <w:footnoteReference w:id="8"/>
      </w:r>
      <w:r w:rsidR="009D03B2">
        <w:rPr>
          <w:rFonts w:ascii="SimSun" w:hAnsi="SimSun" w:hint="eastAsia"/>
          <w:sz w:val="21"/>
          <w:szCs w:val="21"/>
        </w:rPr>
        <w:t>。</w:t>
      </w:r>
      <w:r w:rsidRPr="00C347C2">
        <w:rPr>
          <w:rFonts w:ascii="SimSun" w:hAnsi="SimSun" w:hint="eastAsia"/>
          <w:sz w:val="21"/>
          <w:szCs w:val="21"/>
        </w:rPr>
        <w:t>例如，根据社会影响投资这一概念，国际发展部(DFID)管理着一笔7500万英镑的影响基金，用于私营部门的发展项目，这些项目的目标是那些最需要的人群</w:t>
      </w:r>
      <w:r w:rsidR="009D03B2">
        <w:rPr>
          <w:rFonts w:ascii="SimSun" w:hAnsi="SimSun"/>
          <w:sz w:val="21"/>
          <w:szCs w:val="21"/>
        </w:rPr>
        <w:t>‍</w:t>
      </w:r>
      <w:r w:rsidRPr="00C347C2">
        <w:rPr>
          <w:rStyle w:val="ae"/>
          <w:rFonts w:ascii="SimSun" w:hAnsi="SimSun"/>
          <w:sz w:val="21"/>
          <w:szCs w:val="21"/>
        </w:rPr>
        <w:footnoteReference w:id="9"/>
      </w:r>
      <w:r w:rsidR="009D03B2">
        <w:rPr>
          <w:rFonts w:ascii="SimSun" w:hAnsi="SimSun" w:hint="eastAsia"/>
          <w:sz w:val="21"/>
          <w:szCs w:val="21"/>
        </w:rPr>
        <w:t>。</w:t>
      </w:r>
      <w:r w:rsidRPr="00C347C2">
        <w:rPr>
          <w:rFonts w:ascii="SimSun" w:hAnsi="SimSun" w:hint="eastAsia"/>
          <w:sz w:val="21"/>
          <w:szCs w:val="21"/>
        </w:rPr>
        <w:t>类似地，</w:t>
      </w:r>
      <w:proofErr w:type="spellStart"/>
      <w:r w:rsidRPr="00C347C2">
        <w:rPr>
          <w:rFonts w:ascii="SimSun" w:hAnsi="SimSun" w:hint="eastAsia"/>
          <w:sz w:val="21"/>
          <w:szCs w:val="21"/>
        </w:rPr>
        <w:t>Finnpartnership</w:t>
      </w:r>
      <w:proofErr w:type="spellEnd"/>
      <w:r w:rsidRPr="00C347C2">
        <w:rPr>
          <w:rFonts w:ascii="SimSun" w:hAnsi="SimSun" w:hint="eastAsia"/>
          <w:sz w:val="21"/>
          <w:szCs w:val="21"/>
        </w:rPr>
        <w:t>是一个芬兰商业合作伙伴计划，用以增进芬兰和发展中国家之间的商</w:t>
      </w:r>
      <w:r w:rsidRPr="00C347C2">
        <w:rPr>
          <w:rFonts w:ascii="SimSun" w:hAnsi="SimSun" w:hint="eastAsia"/>
          <w:sz w:val="21"/>
          <w:szCs w:val="21"/>
        </w:rPr>
        <w:lastRenderedPageBreak/>
        <w:t>业合作。该计划为芬兰公司在发展中国家的商业活动提供咨询服务并为其项目提供财政支持。此外，芬兰产业合作基金有限公司是一家发展金融公司，为发展中国家和俄罗斯联邦的</w:t>
      </w:r>
      <w:proofErr w:type="gramStart"/>
      <w:r w:rsidRPr="00C347C2">
        <w:rPr>
          <w:rFonts w:ascii="SimSun" w:hAnsi="SimSun" w:hint="eastAsia"/>
          <w:sz w:val="21"/>
          <w:szCs w:val="21"/>
        </w:rPr>
        <w:t>私营项目</w:t>
      </w:r>
      <w:proofErr w:type="gramEnd"/>
      <w:r w:rsidRPr="00C347C2">
        <w:rPr>
          <w:rFonts w:ascii="SimSun" w:hAnsi="SimSun" w:hint="eastAsia"/>
          <w:sz w:val="21"/>
          <w:szCs w:val="21"/>
        </w:rPr>
        <w:t>提供长期风险资本。</w:t>
      </w:r>
    </w:p>
    <w:p w:rsidR="002F3221" w:rsidRPr="00C347C2" w:rsidRDefault="002F3221" w:rsidP="00C347C2">
      <w:pPr>
        <w:adjustRightInd w:val="0"/>
        <w:spacing w:afterLines="50" w:after="120" w:line="340" w:lineRule="atLeast"/>
        <w:ind w:firstLine="27"/>
        <w:jc w:val="both"/>
        <w:rPr>
          <w:rFonts w:ascii="SimSun" w:hAnsi="SimSun"/>
          <w:sz w:val="21"/>
          <w:szCs w:val="21"/>
        </w:rPr>
      </w:pPr>
      <w:r w:rsidRPr="00C347C2">
        <w:rPr>
          <w:rFonts w:ascii="SimSun" w:hAnsi="SimSun"/>
          <w:sz w:val="21"/>
          <w:szCs w:val="21"/>
        </w:rPr>
        <w:fldChar w:fldCharType="begin"/>
      </w:r>
      <w:r w:rsidRPr="00C347C2">
        <w:rPr>
          <w:rFonts w:ascii="SimSun" w:hAnsi="SimSun"/>
          <w:sz w:val="21"/>
          <w:szCs w:val="21"/>
        </w:rPr>
        <w:instrText xml:space="preserve"> AUTONUM  </w:instrText>
      </w:r>
      <w:r w:rsidRPr="00C347C2">
        <w:rPr>
          <w:rFonts w:ascii="SimSun" w:hAnsi="SimSun"/>
          <w:sz w:val="21"/>
          <w:szCs w:val="21"/>
        </w:rPr>
        <w:fldChar w:fldCharType="end"/>
      </w:r>
      <w:r w:rsidR="00C347C2">
        <w:rPr>
          <w:rFonts w:ascii="SimSun" w:hAnsi="SimSun"/>
          <w:sz w:val="21"/>
          <w:szCs w:val="21"/>
        </w:rPr>
        <w:t>.</w:t>
      </w:r>
      <w:r w:rsidR="00C347C2">
        <w:rPr>
          <w:rFonts w:ascii="SimSun" w:hAnsi="SimSun"/>
          <w:sz w:val="21"/>
          <w:szCs w:val="21"/>
        </w:rPr>
        <w:tab/>
      </w:r>
      <w:r w:rsidRPr="00C347C2">
        <w:rPr>
          <w:rFonts w:ascii="SimSun" w:hAnsi="SimSun" w:hint="eastAsia"/>
          <w:sz w:val="21"/>
          <w:szCs w:val="21"/>
        </w:rPr>
        <w:t>知识产权联盟代表着参与各类技术转让活动的联合王国知识密集型公司，其认为文件</w:t>
      </w:r>
      <w:r w:rsidRPr="00C347C2">
        <w:rPr>
          <w:rFonts w:ascii="SimSun" w:hAnsi="SimSun"/>
          <w:sz w:val="21"/>
          <w:szCs w:val="21"/>
        </w:rPr>
        <w:t>SCP/18/8</w:t>
      </w:r>
      <w:r w:rsidRPr="00C347C2">
        <w:rPr>
          <w:rFonts w:ascii="SimSun" w:hAnsi="SimSun" w:hint="eastAsia"/>
          <w:sz w:val="21"/>
          <w:szCs w:val="21"/>
        </w:rPr>
        <w:t>中所载的实例与个人发明人或来自大学的发明人的经验相关，并未反映像知识产权联盟成员这样的大型跨国公司的经验。但是，其表示，这些公司在技术转让方面的许多实际经验在商业上是很敏感的，近期的话，这些公司是无法共享的。因此，在其一般性意见中，其强调：(</w:t>
      </w:r>
      <w:proofErr w:type="spellStart"/>
      <w:r w:rsidRPr="00C347C2">
        <w:rPr>
          <w:rFonts w:ascii="SimSun" w:hAnsi="SimSun" w:hint="eastAsia"/>
          <w:sz w:val="21"/>
          <w:szCs w:val="21"/>
        </w:rPr>
        <w:t>i</w:t>
      </w:r>
      <w:proofErr w:type="spellEnd"/>
      <w:r w:rsidRPr="00C347C2">
        <w:rPr>
          <w:rFonts w:ascii="SimSun" w:hAnsi="SimSun" w:hint="eastAsia"/>
          <w:sz w:val="21"/>
          <w:szCs w:val="21"/>
        </w:rPr>
        <w:t>)技术转让是一种加强与现有或新的合作伙伴之间新商业关系的手段，这个现有或新的合作伙伴比专利权人更善于开发新的市场。在这种情况下，一件专利就有助于促成技术转让；(ii)有效地进行技术诀窍转让，并配合以培训，这有助于巩固合作伙伴之间的关系；以及(iii)随着各方对彼此的能力相互更加信任时，所转让的技术数量也随之增多，技术转让往往会发生在这个阶段。</w:t>
      </w:r>
    </w:p>
    <w:p w:rsidR="002F3221" w:rsidRPr="00C347C2" w:rsidRDefault="002F3221" w:rsidP="00C347C2">
      <w:pPr>
        <w:adjustRightInd w:val="0"/>
        <w:spacing w:afterLines="50" w:after="120" w:line="340" w:lineRule="atLeast"/>
        <w:ind w:firstLine="27"/>
        <w:jc w:val="both"/>
        <w:rPr>
          <w:rFonts w:ascii="SimSun" w:hAnsi="SimSun"/>
          <w:sz w:val="21"/>
          <w:szCs w:val="21"/>
        </w:rPr>
      </w:pPr>
      <w:r w:rsidRPr="00C347C2">
        <w:rPr>
          <w:rFonts w:ascii="SimSun" w:hAnsi="SimSun"/>
          <w:sz w:val="21"/>
          <w:szCs w:val="21"/>
        </w:rPr>
        <w:fldChar w:fldCharType="begin"/>
      </w:r>
      <w:r w:rsidRPr="00C347C2">
        <w:rPr>
          <w:rFonts w:ascii="SimSun" w:hAnsi="SimSun"/>
          <w:sz w:val="21"/>
          <w:szCs w:val="21"/>
        </w:rPr>
        <w:instrText xml:space="preserve"> AUTONUM  </w:instrText>
      </w:r>
      <w:r w:rsidRPr="00C347C2">
        <w:rPr>
          <w:rFonts w:ascii="SimSun" w:hAnsi="SimSun"/>
          <w:sz w:val="21"/>
          <w:szCs w:val="21"/>
        </w:rPr>
        <w:fldChar w:fldCharType="end"/>
      </w:r>
      <w:r w:rsidR="00C347C2">
        <w:rPr>
          <w:rFonts w:ascii="SimSun" w:hAnsi="SimSun"/>
          <w:sz w:val="21"/>
          <w:szCs w:val="21"/>
        </w:rPr>
        <w:t>.</w:t>
      </w:r>
      <w:r w:rsidR="00C347C2">
        <w:rPr>
          <w:rFonts w:ascii="SimSun" w:hAnsi="SimSun"/>
          <w:sz w:val="21"/>
          <w:szCs w:val="21"/>
        </w:rPr>
        <w:tab/>
      </w:r>
      <w:r w:rsidRPr="00C347C2">
        <w:rPr>
          <w:rFonts w:ascii="SimSun" w:hAnsi="SimSun" w:hint="eastAsia"/>
          <w:sz w:val="21"/>
          <w:szCs w:val="21"/>
        </w:rPr>
        <w:t>国际商会(ICC)介绍了一个案例，一件涉及到一种简单一次性吸入器的专利被许可给了一个公司集团，该公司集团对这种技术进一步开发，用于其长效神经氨酸酶抑制剂(LANI)药品，一种针对流感的可吸入疗法。ICC介绍的另一个案例是用于治疗疟疾的半人工合成青蒿素项目，该项目是基于多方产品开发合作伙伴(PDP)合作模式。该项目涉及作为协调机构的PDP、一个慈善基金会、一所大学、一家分拆初创公司以及一家跨国制药公司。PDP聚合了通过合作所开发的相关知识产权。在考虑到研发风险以及近期和长期的投资回报的情况下，谨慎起草包括各方之间的知识产权许可条款在内的合作协议。为了实现可获取和</w:t>
      </w:r>
      <w:proofErr w:type="gramStart"/>
      <w:r w:rsidRPr="00C347C2">
        <w:rPr>
          <w:rFonts w:ascii="SimSun" w:hAnsi="SimSun" w:hint="eastAsia"/>
          <w:sz w:val="21"/>
          <w:szCs w:val="21"/>
        </w:rPr>
        <w:t>可</w:t>
      </w:r>
      <w:proofErr w:type="gramEnd"/>
      <w:r w:rsidRPr="00C347C2">
        <w:rPr>
          <w:rFonts w:ascii="SimSun" w:hAnsi="SimSun" w:hint="eastAsia"/>
          <w:sz w:val="21"/>
          <w:szCs w:val="21"/>
        </w:rPr>
        <w:t>承担药品价格这一目标，合作各方并未预期在疟疾领域获得许可费的回报。尽管如此，各方还是从合作中获益。例如，大学获益于研究资金的增长，初创公司成功地利用非盈利项目的知识和手段来启动商业项目，制药公司则能够将合成产品用于其青蒿</w:t>
      </w:r>
      <w:proofErr w:type="gramStart"/>
      <w:r w:rsidRPr="00C347C2">
        <w:rPr>
          <w:rFonts w:ascii="SimSun" w:hAnsi="SimSun" w:hint="eastAsia"/>
          <w:sz w:val="21"/>
          <w:szCs w:val="21"/>
        </w:rPr>
        <w:t>素综合</w:t>
      </w:r>
      <w:proofErr w:type="gramEnd"/>
      <w:r w:rsidRPr="00C347C2">
        <w:rPr>
          <w:rFonts w:ascii="SimSun" w:hAnsi="SimSun" w:hint="eastAsia"/>
          <w:sz w:val="21"/>
          <w:szCs w:val="21"/>
        </w:rPr>
        <w:t>疗法。</w:t>
      </w:r>
    </w:p>
    <w:p w:rsidR="002F3221" w:rsidRPr="00C347C2" w:rsidRDefault="002F3221" w:rsidP="00C347C2">
      <w:pPr>
        <w:adjustRightInd w:val="0"/>
        <w:spacing w:afterLines="50" w:after="120" w:line="340" w:lineRule="atLeast"/>
        <w:ind w:firstLine="27"/>
        <w:jc w:val="both"/>
        <w:rPr>
          <w:rFonts w:ascii="SimSun" w:hAnsi="SimSun"/>
          <w:sz w:val="21"/>
          <w:szCs w:val="21"/>
        </w:rPr>
      </w:pPr>
      <w:r w:rsidRPr="00C347C2">
        <w:rPr>
          <w:rFonts w:ascii="SimSun" w:hAnsi="SimSun"/>
          <w:sz w:val="21"/>
          <w:szCs w:val="21"/>
        </w:rPr>
        <w:fldChar w:fldCharType="begin"/>
      </w:r>
      <w:r w:rsidRPr="00C347C2">
        <w:rPr>
          <w:rFonts w:ascii="SimSun" w:hAnsi="SimSun"/>
          <w:sz w:val="21"/>
          <w:szCs w:val="21"/>
        </w:rPr>
        <w:instrText xml:space="preserve"> AUTONUM  </w:instrText>
      </w:r>
      <w:r w:rsidRPr="00C347C2">
        <w:rPr>
          <w:rFonts w:ascii="SimSun" w:hAnsi="SimSun"/>
          <w:sz w:val="21"/>
          <w:szCs w:val="21"/>
        </w:rPr>
        <w:fldChar w:fldCharType="end"/>
      </w:r>
      <w:r w:rsidR="00C347C2">
        <w:rPr>
          <w:rFonts w:ascii="SimSun" w:hAnsi="SimSun"/>
          <w:sz w:val="21"/>
          <w:szCs w:val="21"/>
        </w:rPr>
        <w:t>.</w:t>
      </w:r>
      <w:r w:rsidR="00C347C2">
        <w:rPr>
          <w:rFonts w:ascii="SimSun" w:hAnsi="SimSun"/>
          <w:sz w:val="21"/>
          <w:szCs w:val="21"/>
        </w:rPr>
        <w:tab/>
      </w:r>
      <w:r w:rsidRPr="00C347C2">
        <w:rPr>
          <w:rFonts w:ascii="SimSun" w:hAnsi="SimSun" w:hint="eastAsia"/>
          <w:sz w:val="21"/>
          <w:szCs w:val="21"/>
        </w:rPr>
        <w:t>美利坚合众国在提交的资料中表示，根据经验性证据，更强有力的专利保护会促进技术转让，因为这会积极地影响外国直接投资(FDI)和进口。其还提到许多作者的观点认为，技术转让真正的障碍与专利或知识产权本身并无关系。国家法律、法规和作法的不够充分、不足或不清楚、高税收、专利保护范围不足和专利执法的薄弱、以及通过强制许可来“获取”专利权，这些都被认为是创新和技术传播的障碍。</w:t>
      </w:r>
    </w:p>
    <w:p w:rsidR="002F3221" w:rsidRPr="00C347C2" w:rsidRDefault="002F3221" w:rsidP="00C347C2">
      <w:pPr>
        <w:adjustRightInd w:val="0"/>
        <w:spacing w:beforeLines="100" w:before="240" w:afterLines="100" w:after="240" w:line="340" w:lineRule="atLeast"/>
        <w:ind w:firstLine="27"/>
        <w:jc w:val="both"/>
        <w:rPr>
          <w:rFonts w:ascii="SimHei" w:eastAsia="SimHei" w:hAnsi="SimHei"/>
          <w:sz w:val="21"/>
          <w:szCs w:val="21"/>
        </w:rPr>
      </w:pPr>
      <w:r w:rsidRPr="00C347C2">
        <w:rPr>
          <w:rFonts w:ascii="SimHei" w:eastAsia="SimHei" w:hAnsi="SimHei" w:hint="eastAsia"/>
          <w:sz w:val="21"/>
          <w:szCs w:val="21"/>
        </w:rPr>
        <w:t>《TRIPS协定》第66.2条的落实工作</w:t>
      </w:r>
    </w:p>
    <w:p w:rsidR="002F3221" w:rsidRPr="00C347C2" w:rsidRDefault="002F3221" w:rsidP="00C347C2">
      <w:pPr>
        <w:adjustRightInd w:val="0"/>
        <w:spacing w:afterLines="50" w:after="120" w:line="340" w:lineRule="atLeast"/>
        <w:ind w:firstLine="27"/>
        <w:jc w:val="both"/>
        <w:rPr>
          <w:rFonts w:ascii="SimSun" w:hAnsi="SimSun"/>
          <w:sz w:val="21"/>
          <w:szCs w:val="21"/>
        </w:rPr>
      </w:pPr>
      <w:r w:rsidRPr="00C347C2">
        <w:rPr>
          <w:rFonts w:ascii="SimSun" w:hAnsi="SimSun"/>
          <w:sz w:val="21"/>
          <w:szCs w:val="21"/>
        </w:rPr>
        <w:fldChar w:fldCharType="begin"/>
      </w:r>
      <w:r w:rsidRPr="00C347C2">
        <w:rPr>
          <w:rFonts w:ascii="SimSun" w:hAnsi="SimSun"/>
          <w:sz w:val="21"/>
          <w:szCs w:val="21"/>
        </w:rPr>
        <w:instrText xml:space="preserve"> AUTONUM  </w:instrText>
      </w:r>
      <w:r w:rsidRPr="00C347C2">
        <w:rPr>
          <w:rFonts w:ascii="SimSun" w:hAnsi="SimSun"/>
          <w:sz w:val="21"/>
          <w:szCs w:val="21"/>
        </w:rPr>
        <w:fldChar w:fldCharType="end"/>
      </w:r>
      <w:r w:rsidR="00C347C2">
        <w:rPr>
          <w:rFonts w:ascii="SimSun" w:hAnsi="SimSun"/>
          <w:sz w:val="21"/>
          <w:szCs w:val="21"/>
        </w:rPr>
        <w:t>.</w:t>
      </w:r>
      <w:r w:rsidR="00C347C2">
        <w:rPr>
          <w:rFonts w:ascii="SimSun" w:hAnsi="SimSun"/>
          <w:sz w:val="21"/>
          <w:szCs w:val="21"/>
        </w:rPr>
        <w:tab/>
      </w:r>
      <w:r w:rsidRPr="00C347C2">
        <w:rPr>
          <w:rFonts w:ascii="SimSun" w:hAnsi="SimSun" w:hint="eastAsia"/>
          <w:sz w:val="21"/>
          <w:szCs w:val="21"/>
        </w:rPr>
        <w:t>世界贸易组织(WTO)提交的资料请本委员会注意TRIPS理事会收到的发达国家成员关于《与贸易相关的知识产权协定(TRIPS协定)》第66.2条落实工作的年度报告。这些报告提供了大量技术转让计划实例的具体内容。很多这类报告也大体都提到了技术许可。其所提交的资料中包含有若干个从最近的报告</w:t>
      </w:r>
      <w:r w:rsidRPr="00C347C2">
        <w:rPr>
          <w:rStyle w:val="ae"/>
          <w:rFonts w:ascii="SimSun" w:hAnsi="SimSun"/>
          <w:sz w:val="21"/>
          <w:szCs w:val="21"/>
        </w:rPr>
        <w:footnoteReference w:id="10"/>
      </w:r>
      <w:r w:rsidRPr="00C347C2">
        <w:rPr>
          <w:rFonts w:ascii="SimSun" w:hAnsi="SimSun" w:hint="eastAsia"/>
          <w:sz w:val="21"/>
          <w:szCs w:val="21"/>
        </w:rPr>
        <w:t>中摘录的实例，诸如发达国家一家公共研究中心与发展中国家公共和私营部门之间的技术许可和/或联合研发计划、一项汇集了发达国家和发展中国家科学家的研究联合体的国际合作计划、企业间的合作伙伴协议、发达国家知识产权机构为最不发达国家进行免费的最新现有技术检索以及公共研究中心为药品专利池提供捐助。</w:t>
      </w:r>
    </w:p>
    <w:p w:rsidR="00C347C2" w:rsidRDefault="00C347C2">
      <w:pPr>
        <w:rPr>
          <w:rFonts w:ascii="SimHei" w:eastAsia="SimHei" w:hAnsi="SimHei"/>
          <w:sz w:val="21"/>
          <w:szCs w:val="21"/>
        </w:rPr>
      </w:pPr>
      <w:r>
        <w:rPr>
          <w:rFonts w:ascii="SimHei" w:eastAsia="SimHei" w:hAnsi="SimHei"/>
          <w:sz w:val="21"/>
          <w:szCs w:val="21"/>
        </w:rPr>
        <w:br w:type="page"/>
      </w:r>
    </w:p>
    <w:p w:rsidR="002F3221" w:rsidRPr="00C347C2" w:rsidRDefault="002F3221" w:rsidP="00C347C2">
      <w:pPr>
        <w:adjustRightInd w:val="0"/>
        <w:spacing w:beforeLines="100" w:before="240" w:afterLines="100" w:after="240" w:line="340" w:lineRule="atLeast"/>
        <w:ind w:firstLine="27"/>
        <w:jc w:val="both"/>
        <w:rPr>
          <w:rFonts w:ascii="SimHei" w:eastAsia="SimHei" w:hAnsi="SimHei"/>
          <w:sz w:val="21"/>
          <w:szCs w:val="21"/>
        </w:rPr>
      </w:pPr>
      <w:r w:rsidRPr="00C347C2">
        <w:rPr>
          <w:rFonts w:ascii="SimHei" w:eastAsia="SimHei" w:hAnsi="SimHei" w:hint="eastAsia"/>
          <w:sz w:val="21"/>
          <w:szCs w:val="21"/>
        </w:rPr>
        <w:lastRenderedPageBreak/>
        <w:t>秘书处的意见</w:t>
      </w:r>
    </w:p>
    <w:p w:rsidR="002F3221" w:rsidRPr="00C347C2" w:rsidRDefault="002F3221" w:rsidP="00C347C2">
      <w:pPr>
        <w:adjustRightInd w:val="0"/>
        <w:spacing w:afterLines="50" w:after="120" w:line="340" w:lineRule="atLeast"/>
        <w:ind w:firstLine="27"/>
        <w:jc w:val="both"/>
        <w:rPr>
          <w:rFonts w:ascii="SimSun" w:hAnsi="SimSun"/>
          <w:sz w:val="21"/>
          <w:szCs w:val="21"/>
        </w:rPr>
      </w:pPr>
      <w:r w:rsidRPr="00C347C2">
        <w:rPr>
          <w:rFonts w:ascii="SimSun" w:hAnsi="SimSun"/>
          <w:sz w:val="21"/>
          <w:szCs w:val="21"/>
        </w:rPr>
        <w:fldChar w:fldCharType="begin"/>
      </w:r>
      <w:r w:rsidRPr="00C347C2">
        <w:rPr>
          <w:rFonts w:ascii="SimSun" w:hAnsi="SimSun"/>
          <w:sz w:val="21"/>
          <w:szCs w:val="21"/>
        </w:rPr>
        <w:instrText xml:space="preserve"> AUTONUM  </w:instrText>
      </w:r>
      <w:r w:rsidRPr="00C347C2">
        <w:rPr>
          <w:rFonts w:ascii="SimSun" w:hAnsi="SimSun"/>
          <w:sz w:val="21"/>
          <w:szCs w:val="21"/>
        </w:rPr>
        <w:fldChar w:fldCharType="end"/>
      </w:r>
      <w:r w:rsidR="00C347C2">
        <w:rPr>
          <w:rFonts w:ascii="SimSun" w:hAnsi="SimSun"/>
          <w:sz w:val="21"/>
          <w:szCs w:val="21"/>
        </w:rPr>
        <w:t>.</w:t>
      </w:r>
      <w:r w:rsidR="00C347C2">
        <w:rPr>
          <w:rFonts w:ascii="SimSun" w:hAnsi="SimSun"/>
          <w:sz w:val="21"/>
          <w:szCs w:val="21"/>
        </w:rPr>
        <w:tab/>
      </w:r>
      <w:r w:rsidRPr="00C347C2">
        <w:rPr>
          <w:rFonts w:ascii="SimSun" w:hAnsi="SimSun" w:hint="eastAsia"/>
          <w:sz w:val="21"/>
          <w:szCs w:val="21"/>
        </w:rPr>
        <w:t>根据文献和理论分析，文件</w:t>
      </w:r>
      <w:r w:rsidRPr="00C347C2">
        <w:rPr>
          <w:rFonts w:ascii="SimSun" w:hAnsi="SimSun"/>
          <w:sz w:val="21"/>
          <w:szCs w:val="21"/>
        </w:rPr>
        <w:t>SCP/14/4 Rev.2</w:t>
      </w:r>
      <w:r w:rsidRPr="00C347C2">
        <w:rPr>
          <w:rFonts w:ascii="SimSun" w:hAnsi="SimSun" w:hint="eastAsia"/>
          <w:sz w:val="21"/>
          <w:szCs w:val="21"/>
        </w:rPr>
        <w:t>对可能被认为对技术转让提供支持或称为技术转让阻碍的要素进行了说明。特别是，该文件第十一章特别关注这些障碍，由于激励和障碍往往是同一件事物的两个方面，清楚地理解所存在的障碍会有助于明确进一步需要改善的领域。作为文件</w:t>
      </w:r>
      <w:r w:rsidRPr="00C347C2">
        <w:rPr>
          <w:rFonts w:ascii="SimSun" w:hAnsi="SimSun"/>
          <w:sz w:val="21"/>
          <w:szCs w:val="21"/>
        </w:rPr>
        <w:t>SCP/14/4 Rev.2</w:t>
      </w:r>
      <w:r w:rsidRPr="00C347C2">
        <w:rPr>
          <w:rFonts w:ascii="SimSun" w:hAnsi="SimSun" w:hint="eastAsia"/>
          <w:sz w:val="21"/>
          <w:szCs w:val="21"/>
        </w:rPr>
        <w:t>的扩展部分，一些与技术转让有关的实例和经验载于文件</w:t>
      </w:r>
      <w:r w:rsidRPr="00C347C2">
        <w:rPr>
          <w:rFonts w:ascii="SimSun" w:hAnsi="SimSun"/>
          <w:sz w:val="21"/>
          <w:szCs w:val="21"/>
        </w:rPr>
        <w:t>SCP/18/8</w:t>
      </w:r>
      <w:r w:rsidRPr="00C347C2">
        <w:rPr>
          <w:rFonts w:ascii="SimSun" w:hAnsi="SimSun" w:hint="eastAsia"/>
          <w:sz w:val="21"/>
          <w:szCs w:val="21"/>
        </w:rPr>
        <w:t>中。</w:t>
      </w:r>
    </w:p>
    <w:p w:rsidR="002F3221" w:rsidRPr="00C347C2" w:rsidRDefault="002F3221" w:rsidP="00C347C2">
      <w:pPr>
        <w:adjustRightInd w:val="0"/>
        <w:spacing w:afterLines="50" w:after="120" w:line="340" w:lineRule="atLeast"/>
        <w:ind w:firstLine="27"/>
        <w:jc w:val="both"/>
        <w:rPr>
          <w:rFonts w:ascii="SimSun" w:hAnsi="SimSun"/>
          <w:sz w:val="21"/>
          <w:szCs w:val="21"/>
        </w:rPr>
      </w:pPr>
      <w:r w:rsidRPr="00C347C2">
        <w:rPr>
          <w:rFonts w:ascii="SimSun" w:hAnsi="SimSun"/>
          <w:sz w:val="21"/>
          <w:szCs w:val="21"/>
        </w:rPr>
        <w:fldChar w:fldCharType="begin"/>
      </w:r>
      <w:r w:rsidRPr="00C347C2">
        <w:rPr>
          <w:rFonts w:ascii="SimSun" w:hAnsi="SimSun"/>
          <w:sz w:val="21"/>
          <w:szCs w:val="21"/>
        </w:rPr>
        <w:instrText xml:space="preserve"> AUTONUM  </w:instrText>
      </w:r>
      <w:r w:rsidRPr="00C347C2">
        <w:rPr>
          <w:rFonts w:ascii="SimSun" w:hAnsi="SimSun"/>
          <w:sz w:val="21"/>
          <w:szCs w:val="21"/>
        </w:rPr>
        <w:fldChar w:fldCharType="end"/>
      </w:r>
      <w:r w:rsidR="00C347C2">
        <w:rPr>
          <w:rFonts w:ascii="SimSun" w:hAnsi="SimSun"/>
          <w:sz w:val="21"/>
          <w:szCs w:val="21"/>
        </w:rPr>
        <w:t>.</w:t>
      </w:r>
      <w:r w:rsidR="00C347C2">
        <w:rPr>
          <w:rFonts w:ascii="SimSun" w:hAnsi="SimSun"/>
          <w:sz w:val="21"/>
          <w:szCs w:val="21"/>
        </w:rPr>
        <w:tab/>
      </w:r>
      <w:r w:rsidRPr="00C347C2">
        <w:rPr>
          <w:rFonts w:ascii="SimSun" w:hAnsi="SimSun" w:hint="eastAsia"/>
          <w:sz w:val="21"/>
          <w:szCs w:val="21"/>
        </w:rPr>
        <w:t>在2013年2月25日至28日举行的SCP第十九届会议的讨论期间，一些代表团表示，文件</w:t>
      </w:r>
      <w:r w:rsidRPr="00C347C2">
        <w:rPr>
          <w:rFonts w:ascii="SimSun" w:hAnsi="SimSun"/>
          <w:sz w:val="21"/>
          <w:szCs w:val="21"/>
        </w:rPr>
        <w:t>SCP/18/8</w:t>
      </w:r>
      <w:r w:rsidRPr="00C347C2">
        <w:rPr>
          <w:rFonts w:ascii="SimSun" w:hAnsi="SimSun" w:hint="eastAsia"/>
          <w:sz w:val="21"/>
          <w:szCs w:val="21"/>
        </w:rPr>
        <w:t>中所载的实例和经验并未对专利阻碍技术转让的程度加以探索，也没有反映技术转让所面临的各种障碍</w:t>
      </w:r>
      <w:r w:rsidRPr="00C347C2">
        <w:rPr>
          <w:rStyle w:val="ae"/>
          <w:rFonts w:ascii="SimSun" w:hAnsi="SimSun"/>
          <w:sz w:val="21"/>
          <w:szCs w:val="21"/>
        </w:rPr>
        <w:footnoteReference w:id="11"/>
      </w:r>
      <w:r w:rsidR="009D03B2">
        <w:rPr>
          <w:rFonts w:ascii="SimSun" w:hAnsi="SimSun" w:hint="eastAsia"/>
          <w:sz w:val="21"/>
          <w:szCs w:val="21"/>
        </w:rPr>
        <w:t>。</w:t>
      </w:r>
      <w:r w:rsidRPr="00C347C2">
        <w:rPr>
          <w:rFonts w:ascii="SimSun" w:hAnsi="SimSun" w:hint="eastAsia"/>
          <w:sz w:val="21"/>
          <w:szCs w:val="21"/>
        </w:rPr>
        <w:t>此外，一个代表团还指出，对于政策分析而言，“失败案例与成功案例同样重要”</w:t>
      </w:r>
      <w:r w:rsidRPr="00C347C2">
        <w:rPr>
          <w:rStyle w:val="ae"/>
          <w:rFonts w:ascii="SimSun" w:hAnsi="SimSun"/>
          <w:sz w:val="21"/>
          <w:szCs w:val="21"/>
        </w:rPr>
        <w:footnoteReference w:id="12"/>
      </w:r>
      <w:r w:rsidRPr="00C347C2">
        <w:rPr>
          <w:rFonts w:ascii="SimSun" w:hAnsi="SimSun" w:hint="eastAsia"/>
          <w:sz w:val="21"/>
          <w:szCs w:val="21"/>
        </w:rPr>
        <w:t>。为了收集技术转让专利相关的激励机制和障碍方面的更多实例和经验，向SCP成员国和观察员发出了一份通知，以便编写本文件。尽管所收到的意见针对所讨论问题的复杂性提供了有价值的观点，但只有很少一部分提交的资料包含了具体的实例，特别是针对专利有关的障碍。一家商业组织在其提交的资料中指出，许多技术转让经验在商业上是很敏感的。这可能是难以给出“失败案例”的一个原因，但是也可能存在其他原因。</w:t>
      </w:r>
    </w:p>
    <w:p w:rsidR="002F3221" w:rsidRPr="00C347C2" w:rsidRDefault="002F3221" w:rsidP="00C347C2">
      <w:pPr>
        <w:adjustRightInd w:val="0"/>
        <w:spacing w:afterLines="50" w:after="120" w:line="340" w:lineRule="atLeast"/>
        <w:ind w:firstLine="27"/>
        <w:jc w:val="both"/>
        <w:rPr>
          <w:rFonts w:ascii="SimSun" w:hAnsi="SimSun"/>
          <w:sz w:val="21"/>
          <w:szCs w:val="21"/>
        </w:rPr>
      </w:pPr>
      <w:r w:rsidRPr="00C347C2">
        <w:rPr>
          <w:rFonts w:ascii="SimSun" w:hAnsi="SimSun"/>
          <w:sz w:val="21"/>
          <w:szCs w:val="21"/>
        </w:rPr>
        <w:fldChar w:fldCharType="begin"/>
      </w:r>
      <w:r w:rsidRPr="00C347C2">
        <w:rPr>
          <w:rFonts w:ascii="SimSun" w:hAnsi="SimSun"/>
          <w:sz w:val="21"/>
          <w:szCs w:val="21"/>
        </w:rPr>
        <w:instrText xml:space="preserve"> AUTONUM  </w:instrText>
      </w:r>
      <w:r w:rsidRPr="00C347C2">
        <w:rPr>
          <w:rFonts w:ascii="SimSun" w:hAnsi="SimSun"/>
          <w:sz w:val="21"/>
          <w:szCs w:val="21"/>
        </w:rPr>
        <w:fldChar w:fldCharType="end"/>
      </w:r>
      <w:r w:rsidR="00C347C2">
        <w:rPr>
          <w:rFonts w:ascii="SimSun" w:hAnsi="SimSun"/>
          <w:sz w:val="21"/>
          <w:szCs w:val="21"/>
        </w:rPr>
        <w:t>.</w:t>
      </w:r>
      <w:r w:rsidR="00C347C2">
        <w:rPr>
          <w:rFonts w:ascii="SimSun" w:hAnsi="SimSun"/>
          <w:sz w:val="21"/>
          <w:szCs w:val="21"/>
        </w:rPr>
        <w:tab/>
      </w:r>
      <w:r w:rsidRPr="00C347C2">
        <w:rPr>
          <w:rFonts w:ascii="SimSun" w:hAnsi="SimSun" w:hint="eastAsia"/>
          <w:sz w:val="21"/>
          <w:szCs w:val="21"/>
        </w:rPr>
        <w:t>如果本委员会会继续探索技术转让专利相关的激励机制和障碍方面的实例和经验，一种方法是在SCP会议期间进行经验分享，而不是(</w:t>
      </w:r>
      <w:proofErr w:type="gramStart"/>
      <w:r w:rsidRPr="00C347C2">
        <w:rPr>
          <w:rFonts w:ascii="SimSun" w:hAnsi="SimSun" w:hint="eastAsia"/>
          <w:sz w:val="21"/>
          <w:szCs w:val="21"/>
        </w:rPr>
        <w:t>或除了</w:t>
      </w:r>
      <w:proofErr w:type="gramEnd"/>
      <w:r w:rsidRPr="00C347C2">
        <w:rPr>
          <w:rFonts w:ascii="SimSun" w:hAnsi="SimSun" w:hint="eastAsia"/>
          <w:sz w:val="21"/>
          <w:szCs w:val="21"/>
        </w:rPr>
        <w:t>)由SCP成员国和观察员提交书面资料。也可邀请具备技术转让方面实际经验的外部发言人，从而SCP成员国和观察员之间就能共享现实世界中的各种挑战。</w:t>
      </w:r>
    </w:p>
    <w:p w:rsidR="002F3221" w:rsidRPr="00C347C2" w:rsidRDefault="002F3221" w:rsidP="00C347C2">
      <w:pPr>
        <w:adjustRightInd w:val="0"/>
        <w:spacing w:afterLines="50" w:after="120" w:line="340" w:lineRule="atLeast"/>
        <w:ind w:firstLine="27"/>
        <w:jc w:val="both"/>
        <w:rPr>
          <w:rFonts w:ascii="SimSun" w:hAnsi="SimSun"/>
          <w:sz w:val="21"/>
          <w:szCs w:val="21"/>
        </w:rPr>
      </w:pPr>
      <w:r w:rsidRPr="00C347C2">
        <w:rPr>
          <w:rFonts w:ascii="SimSun" w:hAnsi="SimSun"/>
          <w:sz w:val="21"/>
          <w:szCs w:val="21"/>
        </w:rPr>
        <w:fldChar w:fldCharType="begin"/>
      </w:r>
      <w:r w:rsidRPr="00C347C2">
        <w:rPr>
          <w:rFonts w:ascii="SimSun" w:hAnsi="SimSun"/>
          <w:sz w:val="21"/>
          <w:szCs w:val="21"/>
        </w:rPr>
        <w:instrText xml:space="preserve"> AUTONUM  </w:instrText>
      </w:r>
      <w:r w:rsidRPr="00C347C2">
        <w:rPr>
          <w:rFonts w:ascii="SimSun" w:hAnsi="SimSun"/>
          <w:sz w:val="21"/>
          <w:szCs w:val="21"/>
        </w:rPr>
        <w:fldChar w:fldCharType="end"/>
      </w:r>
      <w:r w:rsidR="00C347C2">
        <w:rPr>
          <w:rFonts w:ascii="SimSun" w:hAnsi="SimSun"/>
          <w:sz w:val="21"/>
          <w:szCs w:val="21"/>
        </w:rPr>
        <w:t>.</w:t>
      </w:r>
      <w:r w:rsidR="00C347C2">
        <w:rPr>
          <w:rFonts w:ascii="SimSun" w:hAnsi="SimSun"/>
          <w:sz w:val="21"/>
          <w:szCs w:val="21"/>
        </w:rPr>
        <w:tab/>
      </w:r>
      <w:r w:rsidRPr="00C347C2">
        <w:rPr>
          <w:rFonts w:ascii="SimSun" w:hAnsi="SimSun" w:hint="eastAsia"/>
          <w:sz w:val="21"/>
          <w:szCs w:val="21"/>
        </w:rPr>
        <w:t>SCP上届会议上所发表的一些发言中表明，一些代表团想到了专利相关的一些障碍。巴西代表团代表发展议程集团(DAG)提到了“许可合同中可能存在的反竞争作法”</w:t>
      </w:r>
      <w:r w:rsidRPr="00C347C2">
        <w:rPr>
          <w:rStyle w:val="ae"/>
          <w:rFonts w:ascii="SimSun" w:hAnsi="SimSun"/>
          <w:sz w:val="21"/>
          <w:szCs w:val="21"/>
        </w:rPr>
        <w:footnoteReference w:id="13"/>
      </w:r>
      <w:r w:rsidRPr="00C347C2">
        <w:rPr>
          <w:rFonts w:ascii="SimSun" w:hAnsi="SimSun" w:hint="eastAsia"/>
          <w:sz w:val="21"/>
          <w:szCs w:val="21"/>
        </w:rPr>
        <w:t>，印度代表团提到“技术转让许可协议中的障碍”</w:t>
      </w:r>
      <w:r w:rsidRPr="00C347C2">
        <w:rPr>
          <w:rStyle w:val="ae"/>
          <w:rFonts w:ascii="SimSun" w:hAnsi="SimSun"/>
          <w:sz w:val="21"/>
          <w:szCs w:val="21"/>
        </w:rPr>
        <w:footnoteReference w:id="14"/>
      </w:r>
      <w:r w:rsidRPr="00C347C2">
        <w:rPr>
          <w:rFonts w:ascii="SimSun" w:hAnsi="SimSun" w:hint="eastAsia"/>
          <w:sz w:val="21"/>
          <w:szCs w:val="21"/>
        </w:rPr>
        <w:t>。而为回应这些发言，美利坚合众国代表团强调了自愿技术转让的重要性。后者可以被理解为，自愿许可协议是一种重要而基本的技术转让手段。因此，为自愿许可协议提供便利似乎至少对这些发言的代表团而言，成为其共同利益所在。如果本委员会决定在此领域展开探索，那么收集自愿许可协议方面国家/地区法规、指导意见、作法和立法的信息，包括反竞争专利许可作法的信息，都会是有用的。法庭裁决也可以帮助SCP学习和分析各种规则和法规在具体案例中的落实。</w:t>
      </w:r>
    </w:p>
    <w:p w:rsidR="002F3221" w:rsidRPr="00C347C2" w:rsidRDefault="002F3221" w:rsidP="00C347C2">
      <w:pPr>
        <w:adjustRightInd w:val="0"/>
        <w:spacing w:afterLines="50" w:after="120" w:line="340" w:lineRule="atLeast"/>
        <w:ind w:firstLine="27"/>
        <w:jc w:val="both"/>
        <w:rPr>
          <w:rFonts w:ascii="SimSun" w:hAnsi="SimSun"/>
          <w:sz w:val="21"/>
          <w:szCs w:val="21"/>
        </w:rPr>
      </w:pPr>
      <w:r w:rsidRPr="00C347C2">
        <w:rPr>
          <w:rFonts w:ascii="SimSun" w:hAnsi="SimSun"/>
          <w:sz w:val="21"/>
          <w:szCs w:val="21"/>
        </w:rPr>
        <w:fldChar w:fldCharType="begin"/>
      </w:r>
      <w:r w:rsidRPr="00C347C2">
        <w:rPr>
          <w:rFonts w:ascii="SimSun" w:hAnsi="SimSun"/>
          <w:sz w:val="21"/>
          <w:szCs w:val="21"/>
        </w:rPr>
        <w:instrText xml:space="preserve"> AUTONUM  </w:instrText>
      </w:r>
      <w:r w:rsidRPr="00C347C2">
        <w:rPr>
          <w:rFonts w:ascii="SimSun" w:hAnsi="SimSun"/>
          <w:sz w:val="21"/>
          <w:szCs w:val="21"/>
        </w:rPr>
        <w:fldChar w:fldCharType="end"/>
      </w:r>
      <w:r w:rsidR="00C347C2">
        <w:rPr>
          <w:rFonts w:ascii="SimSun" w:hAnsi="SimSun"/>
          <w:sz w:val="21"/>
          <w:szCs w:val="21"/>
        </w:rPr>
        <w:t>.</w:t>
      </w:r>
      <w:r w:rsidR="00C347C2">
        <w:rPr>
          <w:rFonts w:ascii="SimSun" w:hAnsi="SimSun"/>
          <w:sz w:val="21"/>
          <w:szCs w:val="21"/>
        </w:rPr>
        <w:tab/>
      </w:r>
      <w:r w:rsidRPr="00C347C2">
        <w:rPr>
          <w:rFonts w:ascii="SimSun" w:hAnsi="SimSun" w:hint="eastAsia"/>
          <w:sz w:val="21"/>
          <w:szCs w:val="21"/>
        </w:rPr>
        <w:t>SCP中所开展的讨论表明，成员国同意技术转让是一个受到众多因素影响的复杂问题，包括国家企业界和接收方的吸收能力</w:t>
      </w:r>
      <w:r w:rsidRPr="00C347C2">
        <w:rPr>
          <w:rStyle w:val="ae"/>
          <w:rFonts w:ascii="SimSun" w:hAnsi="SimSun"/>
          <w:sz w:val="21"/>
          <w:szCs w:val="21"/>
        </w:rPr>
        <w:footnoteReference w:id="15"/>
      </w:r>
      <w:r w:rsidR="009D03B2">
        <w:rPr>
          <w:rFonts w:ascii="SimSun" w:hAnsi="SimSun" w:hint="eastAsia"/>
          <w:sz w:val="21"/>
          <w:szCs w:val="21"/>
        </w:rPr>
        <w:t>。</w:t>
      </w:r>
      <w:r w:rsidRPr="00C347C2">
        <w:rPr>
          <w:rFonts w:ascii="SimSun" w:hAnsi="SimSun" w:hint="eastAsia"/>
          <w:sz w:val="21"/>
          <w:szCs w:val="21"/>
        </w:rPr>
        <w:t>赞比亚提交的资料似乎表明，发明人、企业、知识产权专业人员等吸收能力与使用专利制度之间的相关性。这些需求都应有效地反映在WIPO相关部门参与的本组织能力建设计划中。尽管成员国赞同技术转让涉及专利制度内部和外部的多种因素，在SCP上届会议上，其对于SCP是否应该涉及非专利相关因素这一问题的观点依旧存在分歧</w:t>
      </w:r>
      <w:r w:rsidRPr="00C347C2">
        <w:rPr>
          <w:rStyle w:val="ae"/>
          <w:rFonts w:ascii="SimSun" w:hAnsi="SimSun"/>
          <w:sz w:val="21"/>
          <w:szCs w:val="21"/>
        </w:rPr>
        <w:footnoteReference w:id="16"/>
      </w:r>
      <w:r w:rsidR="009D03B2">
        <w:rPr>
          <w:rFonts w:ascii="SimSun" w:hAnsi="SimSun" w:hint="eastAsia"/>
          <w:sz w:val="21"/>
          <w:szCs w:val="21"/>
        </w:rPr>
        <w:t>。</w:t>
      </w:r>
    </w:p>
    <w:p w:rsidR="002F3221" w:rsidRPr="00C347C2" w:rsidRDefault="002F3221" w:rsidP="00C347C2">
      <w:pPr>
        <w:adjustRightInd w:val="0"/>
        <w:spacing w:afterLines="50" w:after="120" w:line="340" w:lineRule="atLeast"/>
        <w:ind w:firstLine="27"/>
        <w:jc w:val="both"/>
        <w:rPr>
          <w:rFonts w:ascii="SimSun" w:hAnsi="SimSun"/>
          <w:sz w:val="21"/>
          <w:szCs w:val="21"/>
        </w:rPr>
      </w:pPr>
      <w:r w:rsidRPr="00C347C2">
        <w:rPr>
          <w:rFonts w:ascii="SimSun" w:hAnsi="SimSun"/>
          <w:sz w:val="21"/>
          <w:szCs w:val="21"/>
        </w:rPr>
        <w:lastRenderedPageBreak/>
        <w:fldChar w:fldCharType="begin"/>
      </w:r>
      <w:r w:rsidRPr="00C347C2">
        <w:rPr>
          <w:rFonts w:ascii="SimSun" w:hAnsi="SimSun"/>
          <w:sz w:val="21"/>
          <w:szCs w:val="21"/>
        </w:rPr>
        <w:instrText xml:space="preserve"> AUTONUM  </w:instrText>
      </w:r>
      <w:r w:rsidRPr="00C347C2">
        <w:rPr>
          <w:rFonts w:ascii="SimSun" w:hAnsi="SimSun"/>
          <w:sz w:val="21"/>
          <w:szCs w:val="21"/>
        </w:rPr>
        <w:fldChar w:fldCharType="end"/>
      </w:r>
      <w:r w:rsidR="00C347C2">
        <w:rPr>
          <w:rFonts w:ascii="SimSun" w:hAnsi="SimSun"/>
          <w:sz w:val="21"/>
          <w:szCs w:val="21"/>
        </w:rPr>
        <w:t>.</w:t>
      </w:r>
      <w:r w:rsidR="00C347C2">
        <w:rPr>
          <w:rFonts w:ascii="SimSun" w:hAnsi="SimSun"/>
          <w:sz w:val="21"/>
          <w:szCs w:val="21"/>
        </w:rPr>
        <w:tab/>
      </w:r>
      <w:r w:rsidRPr="00C347C2">
        <w:rPr>
          <w:rFonts w:ascii="SimSun" w:hAnsi="SimSun" w:hint="eastAsia"/>
          <w:sz w:val="21"/>
          <w:szCs w:val="21"/>
        </w:rPr>
        <w:t>由于不断有代表团担心与CDIP项目之间可能存在重复</w:t>
      </w:r>
      <w:r w:rsidRPr="00C347C2">
        <w:rPr>
          <w:rStyle w:val="ae"/>
          <w:rFonts w:ascii="SimSun" w:hAnsi="SimSun"/>
          <w:sz w:val="21"/>
          <w:szCs w:val="21"/>
        </w:rPr>
        <w:footnoteReference w:id="17"/>
      </w:r>
      <w:r w:rsidRPr="00C347C2">
        <w:rPr>
          <w:rFonts w:ascii="SimSun" w:hAnsi="SimSun" w:hint="eastAsia"/>
          <w:sz w:val="21"/>
          <w:szCs w:val="21"/>
        </w:rPr>
        <w:t>，或应报告题为“知识产权与技术转让：共同挑战——共同解决项目”</w:t>
      </w:r>
      <w:r w:rsidR="009D03B2">
        <w:rPr>
          <w:rStyle w:val="ae"/>
          <w:rFonts w:ascii="SimSun" w:hAnsi="SimSun"/>
          <w:sz w:val="21"/>
          <w:szCs w:val="21"/>
        </w:rPr>
        <w:footnoteReference w:id="18"/>
      </w:r>
      <w:r w:rsidRPr="00C347C2">
        <w:rPr>
          <w:rFonts w:ascii="SimSun" w:hAnsi="SimSun" w:hint="eastAsia"/>
          <w:sz w:val="21"/>
          <w:szCs w:val="21"/>
        </w:rPr>
        <w:t>的CDIP项目的现状。所有的区域性技术转让磋商会和分析研究</w:t>
      </w:r>
      <w:r w:rsidRPr="00C347C2">
        <w:rPr>
          <w:rStyle w:val="ae"/>
          <w:rFonts w:ascii="SimSun" w:hAnsi="SimSun"/>
          <w:sz w:val="21"/>
          <w:szCs w:val="21"/>
        </w:rPr>
        <w:footnoteReference w:id="19"/>
      </w:r>
      <w:r w:rsidRPr="00C347C2">
        <w:rPr>
          <w:rFonts w:ascii="SimSun" w:hAnsi="SimSun" w:hint="eastAsia"/>
          <w:sz w:val="21"/>
          <w:szCs w:val="21"/>
        </w:rPr>
        <w:t>将于2013年底前完成。在2014年5月CDIP下届会议之前，预期批准一份概念性文件。随后将于2014年6月举办一次高级别国际专家论坛。资料、模块、教学工具和其他文书的编写、在线论坛的创建、以及WIPO计划的未来活动方面都会考虑该论坛的成果。</w:t>
      </w:r>
    </w:p>
    <w:p w:rsidR="00C347C2" w:rsidRDefault="00C347C2" w:rsidP="00C347C2">
      <w:pPr>
        <w:pStyle w:val="Endofdocument-Annex"/>
        <w:adjustRightInd w:val="0"/>
        <w:spacing w:afterLines="50" w:after="120" w:line="340" w:lineRule="atLeast"/>
        <w:jc w:val="both"/>
        <w:rPr>
          <w:rFonts w:ascii="KaiTi" w:eastAsia="KaiTi" w:hAnsi="KaiTi"/>
          <w:sz w:val="21"/>
          <w:szCs w:val="21"/>
        </w:rPr>
      </w:pPr>
    </w:p>
    <w:p w:rsidR="002F3221" w:rsidRPr="00C347C2" w:rsidRDefault="002F3221" w:rsidP="00C347C2">
      <w:pPr>
        <w:pStyle w:val="Endofdocument-Annex"/>
        <w:adjustRightInd w:val="0"/>
        <w:spacing w:afterLines="50" w:after="120" w:line="340" w:lineRule="atLeast"/>
        <w:jc w:val="both"/>
        <w:rPr>
          <w:rFonts w:ascii="KaiTi" w:eastAsia="KaiTi" w:hAnsi="KaiTi"/>
          <w:sz w:val="21"/>
          <w:szCs w:val="21"/>
        </w:rPr>
      </w:pPr>
      <w:r w:rsidRPr="00C347C2">
        <w:rPr>
          <w:rFonts w:ascii="KaiTi" w:eastAsia="KaiTi" w:hAnsi="KaiTi"/>
          <w:sz w:val="21"/>
          <w:szCs w:val="21"/>
        </w:rPr>
        <w:t>[</w:t>
      </w:r>
      <w:r w:rsidRPr="00C347C2">
        <w:rPr>
          <w:rFonts w:ascii="KaiTi" w:eastAsia="KaiTi" w:hAnsi="KaiTi" w:hint="eastAsia"/>
          <w:sz w:val="21"/>
          <w:szCs w:val="21"/>
        </w:rPr>
        <w:t>文件完</w:t>
      </w:r>
      <w:r w:rsidRPr="00C347C2">
        <w:rPr>
          <w:rFonts w:ascii="KaiTi" w:eastAsia="KaiTi" w:hAnsi="KaiTi"/>
          <w:sz w:val="21"/>
          <w:szCs w:val="21"/>
        </w:rPr>
        <w:t>]</w:t>
      </w:r>
    </w:p>
    <w:sectPr w:rsidR="002F3221" w:rsidRPr="00C347C2">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221" w:rsidRDefault="002F3221">
      <w:r>
        <w:separator/>
      </w:r>
    </w:p>
  </w:endnote>
  <w:endnote w:type="continuationSeparator" w:id="0">
    <w:p w:rsidR="002F3221" w:rsidRDefault="002F3221">
      <w:r>
        <w:separator/>
      </w:r>
    </w:p>
    <w:p w:rsidR="002F3221" w:rsidRDefault="002F3221">
      <w:pPr>
        <w:spacing w:after="60"/>
        <w:rPr>
          <w:sz w:val="17"/>
        </w:rPr>
      </w:pPr>
      <w:r>
        <w:rPr>
          <w:sz w:val="17"/>
        </w:rPr>
        <w:t>[Endnote continued from previous page]</w:t>
      </w:r>
    </w:p>
  </w:endnote>
  <w:endnote w:type="continuationNotice" w:id="1">
    <w:p w:rsidR="002F3221" w:rsidRDefault="002F3221">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221" w:rsidRDefault="002F3221">
      <w:r>
        <w:separator/>
      </w:r>
    </w:p>
  </w:footnote>
  <w:footnote w:type="continuationSeparator" w:id="0">
    <w:p w:rsidR="002F3221" w:rsidRDefault="002F3221">
      <w:r>
        <w:separator/>
      </w:r>
    </w:p>
    <w:p w:rsidR="002F3221" w:rsidRDefault="002F3221">
      <w:pPr>
        <w:spacing w:after="60"/>
        <w:rPr>
          <w:sz w:val="17"/>
          <w:szCs w:val="17"/>
        </w:rPr>
      </w:pPr>
      <w:r>
        <w:rPr>
          <w:sz w:val="17"/>
          <w:szCs w:val="17"/>
        </w:rPr>
        <w:t>[Footnote continued from previous page]</w:t>
      </w:r>
    </w:p>
  </w:footnote>
  <w:footnote w:type="continuationNotice" w:id="1">
    <w:p w:rsidR="002F3221" w:rsidRDefault="002F3221">
      <w:pPr>
        <w:spacing w:before="60"/>
        <w:jc w:val="right"/>
        <w:rPr>
          <w:sz w:val="17"/>
          <w:szCs w:val="17"/>
        </w:rPr>
      </w:pPr>
      <w:r>
        <w:rPr>
          <w:sz w:val="17"/>
          <w:szCs w:val="17"/>
        </w:rPr>
        <w:t>[Footnote continued on next page]</w:t>
      </w:r>
    </w:p>
  </w:footnote>
  <w:footnote w:id="2">
    <w:p w:rsidR="002F3221" w:rsidRPr="00C347C2" w:rsidRDefault="002F3221" w:rsidP="00C347C2">
      <w:pPr>
        <w:pStyle w:val="a9"/>
        <w:tabs>
          <w:tab w:val="left" w:pos="567"/>
          <w:tab w:val="left" w:pos="6375"/>
        </w:tabs>
        <w:spacing w:afterLines="30" w:after="72" w:line="320" w:lineRule="atLeast"/>
        <w:ind w:left="540" w:hanging="540"/>
        <w:jc w:val="both"/>
        <w:rPr>
          <w:rFonts w:ascii="SimSun" w:hAnsi="SimSun"/>
        </w:rPr>
      </w:pPr>
      <w:r>
        <w:rPr>
          <w:rStyle w:val="ae"/>
        </w:rPr>
        <w:footnoteRef/>
      </w:r>
      <w:r>
        <w:t xml:space="preserve"> </w:t>
      </w:r>
      <w:r>
        <w:tab/>
      </w:r>
      <w:r w:rsidRPr="00C347C2">
        <w:rPr>
          <w:rFonts w:ascii="SimSun" w:hAnsi="SimSun" w:hint="eastAsia"/>
        </w:rPr>
        <w:t>立陶宛所提交的资料提到其《专利法》第42条和第45(5)条，这些条款涉及所有权转让和许可协议的备案，并表示国家专利局无法提供任何实例或经验，也无法对立陶宛的技术转让实践</w:t>
      </w:r>
      <w:proofErr w:type="gramStart"/>
      <w:r w:rsidRPr="00C347C2">
        <w:rPr>
          <w:rFonts w:ascii="SimSun" w:hAnsi="SimSun" w:hint="eastAsia"/>
        </w:rPr>
        <w:t>作出</w:t>
      </w:r>
      <w:proofErr w:type="gramEnd"/>
      <w:r w:rsidRPr="00C347C2">
        <w:rPr>
          <w:rFonts w:ascii="SimSun" w:hAnsi="SimSun" w:hint="eastAsia"/>
        </w:rPr>
        <w:t>评价。</w:t>
      </w:r>
    </w:p>
  </w:footnote>
  <w:footnote w:id="3">
    <w:p w:rsidR="002F3221" w:rsidRPr="00C347C2" w:rsidRDefault="002F3221" w:rsidP="00C347C2">
      <w:pPr>
        <w:pStyle w:val="a9"/>
        <w:spacing w:afterLines="30" w:after="72" w:line="320" w:lineRule="atLeast"/>
        <w:jc w:val="both"/>
        <w:rPr>
          <w:rFonts w:ascii="SimSun" w:hAnsi="SimSun"/>
        </w:rPr>
      </w:pPr>
      <w:r w:rsidRPr="00C347C2">
        <w:rPr>
          <w:rStyle w:val="ae"/>
          <w:rFonts w:ascii="SimSun" w:hAnsi="SimSun"/>
        </w:rPr>
        <w:footnoteRef/>
      </w:r>
      <w:r w:rsidRPr="00C347C2">
        <w:rPr>
          <w:rFonts w:ascii="SimSun" w:hAnsi="SimSun"/>
        </w:rPr>
        <w:t xml:space="preserve"> </w:t>
      </w:r>
      <w:r w:rsidRPr="00C347C2">
        <w:rPr>
          <w:rFonts w:ascii="SimSun" w:hAnsi="SimSun"/>
        </w:rPr>
        <w:tab/>
      </w:r>
      <w:r w:rsidRPr="00C347C2">
        <w:rPr>
          <w:rFonts w:ascii="SimSun" w:hAnsi="SimSun" w:hint="eastAsia"/>
        </w:rPr>
        <w:t>此外，其还提供了有关输入到赞比亚的机械设备在税收方面的激励政策。</w:t>
      </w:r>
    </w:p>
  </w:footnote>
  <w:footnote w:id="4">
    <w:p w:rsidR="002F3221" w:rsidRPr="00C347C2" w:rsidRDefault="002F3221" w:rsidP="00C347C2">
      <w:pPr>
        <w:pStyle w:val="a9"/>
        <w:spacing w:afterLines="30" w:after="72" w:line="320" w:lineRule="atLeast"/>
        <w:ind w:left="540" w:hanging="540"/>
        <w:jc w:val="both"/>
        <w:rPr>
          <w:rFonts w:ascii="SimSun" w:hAnsi="SimSun"/>
        </w:rPr>
      </w:pPr>
      <w:r w:rsidRPr="00C347C2">
        <w:rPr>
          <w:rStyle w:val="ae"/>
          <w:rFonts w:ascii="SimSun" w:hAnsi="SimSun"/>
        </w:rPr>
        <w:footnoteRef/>
      </w:r>
      <w:r w:rsidRPr="00C347C2">
        <w:rPr>
          <w:rFonts w:ascii="SimSun" w:hAnsi="SimSun"/>
        </w:rPr>
        <w:t xml:space="preserve"> </w:t>
      </w:r>
      <w:r w:rsidRPr="00C347C2">
        <w:rPr>
          <w:rFonts w:ascii="SimSun" w:hAnsi="SimSun"/>
        </w:rPr>
        <w:tab/>
      </w:r>
      <w:r w:rsidRPr="00C347C2">
        <w:rPr>
          <w:rFonts w:ascii="SimSun" w:hAnsi="SimSun" w:hint="eastAsia"/>
        </w:rPr>
        <w:t>关于政府资助研发活动的更多信息可查阅首席科学家办公室网站：</w:t>
      </w:r>
      <w:r w:rsidR="00C347C2">
        <w:rPr>
          <w:rFonts w:ascii="SimSun" w:hAnsi="SimSun"/>
        </w:rPr>
        <w:fldChar w:fldCharType="begin"/>
      </w:r>
      <w:r w:rsidR="00C347C2">
        <w:rPr>
          <w:rFonts w:ascii="SimSun" w:hAnsi="SimSun"/>
        </w:rPr>
        <w:instrText xml:space="preserve"> HYPERLINK "</w:instrText>
      </w:r>
      <w:r w:rsidR="00C347C2" w:rsidRPr="00C347C2">
        <w:rPr>
          <w:rFonts w:ascii="SimSun" w:hAnsi="SimSun"/>
        </w:rPr>
        <w:instrText>http://www.moital.gov.il/CmsTamat/ Rsrc/MadaanEnglish/MadaanEnglish.html</w:instrText>
      </w:r>
      <w:r w:rsidR="00C347C2">
        <w:rPr>
          <w:rFonts w:ascii="SimSun" w:hAnsi="SimSun"/>
        </w:rPr>
        <w:instrText xml:space="preserve">" </w:instrText>
      </w:r>
      <w:r w:rsidR="001D6702">
        <w:rPr>
          <w:rFonts w:ascii="SimSun" w:hAnsi="SimSun"/>
        </w:rPr>
      </w:r>
      <w:r w:rsidR="00C347C2">
        <w:rPr>
          <w:rFonts w:ascii="SimSun" w:hAnsi="SimSun"/>
        </w:rPr>
        <w:fldChar w:fldCharType="separate"/>
      </w:r>
      <w:r w:rsidR="00C347C2" w:rsidRPr="003179EE">
        <w:rPr>
          <w:rStyle w:val="ad"/>
          <w:rFonts w:ascii="SimSun" w:hAnsi="SimSun"/>
        </w:rPr>
        <w:t>http://www.moital.gov.il/CmsTamat/ Rsrc/MadaanEnglish/MadaanEnglish.html</w:t>
      </w:r>
      <w:r w:rsidR="00C347C2">
        <w:rPr>
          <w:rFonts w:ascii="SimSun" w:hAnsi="SimSun"/>
        </w:rPr>
        <w:fldChar w:fldCharType="end"/>
      </w:r>
      <w:r w:rsidRPr="00C347C2">
        <w:rPr>
          <w:rFonts w:ascii="SimSun" w:hAnsi="SimSun" w:hint="eastAsia"/>
        </w:rPr>
        <w:t>。</w:t>
      </w:r>
    </w:p>
  </w:footnote>
  <w:footnote w:id="5">
    <w:p w:rsidR="002F3221" w:rsidRPr="00C347C2" w:rsidRDefault="002F3221" w:rsidP="00C347C2">
      <w:pPr>
        <w:pStyle w:val="a9"/>
        <w:spacing w:afterLines="30" w:after="72" w:line="320" w:lineRule="atLeast"/>
        <w:ind w:left="540" w:hanging="540"/>
        <w:jc w:val="both"/>
        <w:rPr>
          <w:rFonts w:ascii="SimSun" w:hAnsi="SimSun"/>
        </w:rPr>
      </w:pPr>
      <w:r w:rsidRPr="00C347C2">
        <w:rPr>
          <w:rStyle w:val="ae"/>
          <w:rFonts w:ascii="SimSun" w:hAnsi="SimSun"/>
        </w:rPr>
        <w:footnoteRef/>
      </w:r>
      <w:r w:rsidRPr="00C347C2">
        <w:rPr>
          <w:rFonts w:ascii="SimSun" w:hAnsi="SimSun"/>
        </w:rPr>
        <w:t xml:space="preserve"> </w:t>
      </w:r>
      <w:r w:rsidRPr="00C347C2">
        <w:rPr>
          <w:rFonts w:ascii="SimSun" w:hAnsi="SimSun"/>
        </w:rPr>
        <w:tab/>
      </w:r>
      <w:r w:rsidRPr="00C347C2">
        <w:rPr>
          <w:rFonts w:ascii="SimSun" w:hAnsi="SimSun" w:hint="eastAsia"/>
        </w:rPr>
        <w:t>譬如，耶路撒冷希伯来大学</w:t>
      </w:r>
      <w:r w:rsidRPr="00C347C2">
        <w:rPr>
          <w:rFonts w:ascii="SimSun" w:hAnsi="SimSun"/>
        </w:rPr>
        <w:t>[www.yissum.co.il]</w:t>
      </w:r>
      <w:r w:rsidRPr="00C347C2">
        <w:rPr>
          <w:rFonts w:ascii="SimSun" w:hAnsi="SimSun" w:hint="eastAsia"/>
        </w:rPr>
        <w:t>、</w:t>
      </w:r>
      <w:r w:rsidRPr="00C347C2">
        <w:rPr>
          <w:rFonts w:ascii="SimSun" w:hAnsi="SimSun"/>
        </w:rPr>
        <w:t>Weizmann</w:t>
      </w:r>
      <w:r w:rsidRPr="00C347C2">
        <w:rPr>
          <w:rFonts w:ascii="SimSun" w:hAnsi="SimSun" w:hint="eastAsia"/>
        </w:rPr>
        <w:t>科学院</w:t>
      </w:r>
      <w:r w:rsidRPr="00C347C2">
        <w:rPr>
          <w:rFonts w:ascii="SimSun" w:hAnsi="SimSun"/>
        </w:rPr>
        <w:t>[http://www.yedarnd.com/]</w:t>
      </w:r>
      <w:r w:rsidRPr="00C347C2">
        <w:rPr>
          <w:rFonts w:ascii="SimSun" w:hAnsi="SimSun" w:hint="eastAsia"/>
        </w:rPr>
        <w:t>、特拉维夫大学</w:t>
      </w:r>
      <w:r w:rsidRPr="00C347C2">
        <w:rPr>
          <w:rFonts w:ascii="SimSun" w:hAnsi="SimSun"/>
        </w:rPr>
        <w:t>[http://www.ramot.org/]</w:t>
      </w:r>
      <w:r w:rsidRPr="00C347C2">
        <w:rPr>
          <w:rFonts w:ascii="SimSun" w:hAnsi="SimSun" w:hint="eastAsia"/>
        </w:rPr>
        <w:t>、</w:t>
      </w:r>
      <w:r w:rsidRPr="00C347C2">
        <w:rPr>
          <w:rFonts w:ascii="SimSun" w:hAnsi="SimSun"/>
        </w:rPr>
        <w:t>Ben-Gurion</w:t>
      </w:r>
      <w:r w:rsidRPr="00C347C2">
        <w:rPr>
          <w:rFonts w:ascii="SimSun" w:hAnsi="SimSun" w:hint="eastAsia"/>
        </w:rPr>
        <w:t>大学</w:t>
      </w:r>
      <w:r w:rsidRPr="00C347C2">
        <w:rPr>
          <w:rFonts w:ascii="SimSun" w:hAnsi="SimSun"/>
        </w:rPr>
        <w:t>[http://cmsprod.bgu.ac.il/eng/BGN1]</w:t>
      </w:r>
      <w:r w:rsidRPr="00C347C2">
        <w:rPr>
          <w:rFonts w:ascii="SimSun" w:hAnsi="SimSun" w:hint="eastAsia"/>
        </w:rPr>
        <w:t>以及</w:t>
      </w:r>
      <w:proofErr w:type="spellStart"/>
      <w:r w:rsidRPr="00C347C2">
        <w:rPr>
          <w:rFonts w:ascii="SimSun" w:hAnsi="SimSun"/>
        </w:rPr>
        <w:t>Technion</w:t>
      </w:r>
      <w:proofErr w:type="spellEnd"/>
      <w:r w:rsidRPr="00C347C2">
        <w:rPr>
          <w:rFonts w:ascii="SimSun" w:hAnsi="SimSun" w:hint="eastAsia"/>
        </w:rPr>
        <w:t xml:space="preserve"> </w:t>
      </w:r>
      <w:r w:rsidRPr="00C347C2">
        <w:rPr>
          <w:rFonts w:ascii="SimSun" w:hAnsi="SimSun"/>
        </w:rPr>
        <w:t xml:space="preserve">- </w:t>
      </w:r>
      <w:r w:rsidRPr="00C347C2">
        <w:rPr>
          <w:rFonts w:ascii="SimSun" w:hAnsi="SimSun" w:hint="eastAsia"/>
        </w:rPr>
        <w:t>以色列技术学院</w:t>
      </w:r>
      <w:r w:rsidRPr="00C347C2">
        <w:rPr>
          <w:rFonts w:ascii="SimSun" w:hAnsi="SimSun"/>
        </w:rPr>
        <w:t>[http://t3.technion.ac.il/]</w:t>
      </w:r>
      <w:r w:rsidRPr="00C347C2">
        <w:rPr>
          <w:rFonts w:ascii="SimSun" w:hAnsi="SimSun" w:hint="eastAsia"/>
        </w:rPr>
        <w:t>。</w:t>
      </w:r>
    </w:p>
  </w:footnote>
  <w:footnote w:id="6">
    <w:p w:rsidR="002F3221" w:rsidRPr="00C347C2" w:rsidRDefault="002F3221" w:rsidP="00C347C2">
      <w:pPr>
        <w:pStyle w:val="a9"/>
        <w:spacing w:afterLines="30" w:after="72" w:line="320" w:lineRule="atLeast"/>
        <w:jc w:val="both"/>
        <w:rPr>
          <w:rFonts w:ascii="SimSun" w:hAnsi="SimSun"/>
        </w:rPr>
      </w:pPr>
      <w:r w:rsidRPr="00C347C2">
        <w:rPr>
          <w:rStyle w:val="ae"/>
          <w:rFonts w:ascii="SimSun" w:hAnsi="SimSun"/>
        </w:rPr>
        <w:footnoteRef/>
      </w:r>
      <w:r w:rsidRPr="00C347C2">
        <w:rPr>
          <w:rFonts w:ascii="SimSun" w:hAnsi="SimSun"/>
        </w:rPr>
        <w:t xml:space="preserve"> </w:t>
      </w:r>
      <w:r w:rsidRPr="00C347C2">
        <w:rPr>
          <w:rFonts w:ascii="SimSun" w:hAnsi="SimSun"/>
        </w:rPr>
        <w:tab/>
      </w:r>
      <w:r w:rsidRPr="00C347C2">
        <w:rPr>
          <w:rFonts w:ascii="SimSun" w:hAnsi="SimSun" w:hint="eastAsia"/>
        </w:rPr>
        <w:t>参见</w:t>
      </w:r>
      <w:r w:rsidR="00194032">
        <w:fldChar w:fldCharType="begin"/>
      </w:r>
      <w:r w:rsidR="00194032">
        <w:instrText xml:space="preserve"> HYPERLINK "http://www.autm.net/FAQs.htm" </w:instrText>
      </w:r>
      <w:r w:rsidR="00194032">
        <w:fldChar w:fldCharType="separate"/>
      </w:r>
      <w:r w:rsidRPr="00C347C2">
        <w:rPr>
          <w:rStyle w:val="ad"/>
          <w:rFonts w:ascii="SimSun" w:hAnsi="SimSun"/>
        </w:rPr>
        <w:t>http://www.autm.net/FAQs.htm</w:t>
      </w:r>
      <w:r w:rsidR="00194032">
        <w:rPr>
          <w:rStyle w:val="ad"/>
          <w:rFonts w:ascii="SimSun" w:hAnsi="SimSun"/>
        </w:rPr>
        <w:fldChar w:fldCharType="end"/>
      </w:r>
      <w:r w:rsidRPr="00C347C2">
        <w:rPr>
          <w:rFonts w:ascii="SimSun" w:hAnsi="SimSun" w:hint="eastAsia"/>
        </w:rPr>
        <w:t>。</w:t>
      </w:r>
    </w:p>
  </w:footnote>
  <w:footnote w:id="7">
    <w:p w:rsidR="002F3221" w:rsidRPr="00C347C2" w:rsidRDefault="002F3221" w:rsidP="00C347C2">
      <w:pPr>
        <w:pStyle w:val="a9"/>
        <w:spacing w:afterLines="30" w:after="72" w:line="320" w:lineRule="atLeast"/>
        <w:jc w:val="both"/>
        <w:rPr>
          <w:rFonts w:ascii="SimSun" w:hAnsi="SimSun"/>
        </w:rPr>
      </w:pPr>
      <w:r w:rsidRPr="00C347C2">
        <w:rPr>
          <w:rStyle w:val="ae"/>
          <w:rFonts w:ascii="SimSun" w:hAnsi="SimSun"/>
        </w:rPr>
        <w:footnoteRef/>
      </w:r>
      <w:r w:rsidRPr="00C347C2">
        <w:rPr>
          <w:rFonts w:ascii="SimSun" w:hAnsi="SimSun"/>
        </w:rPr>
        <w:t xml:space="preserve"> </w:t>
      </w:r>
      <w:r w:rsidRPr="00C347C2">
        <w:rPr>
          <w:rFonts w:ascii="SimSun" w:hAnsi="SimSun"/>
        </w:rPr>
        <w:tab/>
      </w:r>
      <w:r w:rsidRPr="00C347C2">
        <w:rPr>
          <w:rFonts w:ascii="SimSun" w:hAnsi="SimSun" w:hint="eastAsia"/>
        </w:rPr>
        <w:t>参见</w:t>
      </w:r>
      <w:hyperlink r:id="rId1" w:history="1">
        <w:r w:rsidRPr="00C347C2">
          <w:rPr>
            <w:rStyle w:val="ad"/>
            <w:rFonts w:ascii="SimSun" w:hAnsi="SimSun"/>
          </w:rPr>
          <w:t>http://www.uspto.gov/patents/init_events/patents_for_humanity.jsp</w:t>
        </w:r>
      </w:hyperlink>
      <w:r w:rsidRPr="00C347C2">
        <w:rPr>
          <w:rFonts w:ascii="SimSun" w:hAnsi="SimSun" w:hint="eastAsia"/>
        </w:rPr>
        <w:t>。</w:t>
      </w:r>
    </w:p>
  </w:footnote>
  <w:footnote w:id="8">
    <w:p w:rsidR="002F3221" w:rsidRPr="00C347C2" w:rsidRDefault="002F3221" w:rsidP="00C347C2">
      <w:pPr>
        <w:pStyle w:val="a9"/>
        <w:spacing w:afterLines="30" w:after="72" w:line="320" w:lineRule="atLeast"/>
        <w:ind w:left="540" w:hanging="540"/>
        <w:jc w:val="both"/>
        <w:rPr>
          <w:rFonts w:ascii="SimSun" w:hAnsi="SimSun"/>
        </w:rPr>
      </w:pPr>
      <w:r w:rsidRPr="00C347C2">
        <w:rPr>
          <w:rStyle w:val="ae"/>
          <w:rFonts w:ascii="SimSun" w:hAnsi="SimSun"/>
        </w:rPr>
        <w:footnoteRef/>
      </w:r>
      <w:r w:rsidRPr="00C347C2">
        <w:rPr>
          <w:rFonts w:ascii="SimSun" w:hAnsi="SimSun"/>
        </w:rPr>
        <w:t xml:space="preserve"> </w:t>
      </w:r>
      <w:r w:rsidRPr="00C347C2">
        <w:rPr>
          <w:rFonts w:ascii="SimSun" w:hAnsi="SimSun"/>
        </w:rPr>
        <w:tab/>
      </w:r>
      <w:hyperlink r:id="rId2" w:history="1">
        <w:r w:rsidRPr="00C347C2">
          <w:rPr>
            <w:rStyle w:val="ad"/>
            <w:rFonts w:ascii="SimSun" w:hAnsi="SimSun"/>
          </w:rPr>
          <w:t>https://www.gov.uk/government/policies/helping-developing-countries-economies-to-grow/supporting-pages/helping-developing-countries-to-remove-barriers-to-trade-and-investment</w:t>
        </w:r>
      </w:hyperlink>
      <w:r w:rsidRPr="00C347C2">
        <w:rPr>
          <w:rFonts w:ascii="SimSun" w:hAnsi="SimSun" w:hint="eastAsia"/>
        </w:rPr>
        <w:t>。</w:t>
      </w:r>
    </w:p>
  </w:footnote>
  <w:footnote w:id="9">
    <w:p w:rsidR="002F3221" w:rsidRPr="00C347C2" w:rsidRDefault="002F3221" w:rsidP="00C347C2">
      <w:pPr>
        <w:pStyle w:val="a9"/>
        <w:spacing w:afterLines="30" w:after="72" w:line="320" w:lineRule="atLeast"/>
        <w:ind w:left="540" w:hanging="540"/>
        <w:jc w:val="both"/>
        <w:rPr>
          <w:rFonts w:ascii="SimSun" w:hAnsi="SimSun"/>
        </w:rPr>
      </w:pPr>
      <w:r w:rsidRPr="00C347C2">
        <w:rPr>
          <w:rStyle w:val="ae"/>
          <w:rFonts w:ascii="SimSun" w:hAnsi="SimSun"/>
        </w:rPr>
        <w:footnoteRef/>
      </w:r>
      <w:r w:rsidRPr="00C347C2">
        <w:rPr>
          <w:rFonts w:ascii="SimSun" w:hAnsi="SimSun"/>
        </w:rPr>
        <w:t xml:space="preserve"> </w:t>
      </w:r>
      <w:r w:rsidRPr="00C347C2">
        <w:rPr>
          <w:rFonts w:ascii="SimSun" w:hAnsi="SimSun"/>
        </w:rPr>
        <w:tab/>
      </w:r>
      <w:hyperlink r:id="rId3" w:history="1">
        <w:r w:rsidRPr="00C347C2">
          <w:rPr>
            <w:rStyle w:val="ad"/>
            <w:rFonts w:ascii="SimSun" w:hAnsi="SimSun"/>
          </w:rPr>
          <w:t>https://www.gov.uk/government/speeches/g8-impact-investment-event</w:t>
        </w:r>
      </w:hyperlink>
      <w:r w:rsidRPr="00C347C2">
        <w:rPr>
          <w:rFonts w:ascii="SimSun" w:hAnsi="SimSun" w:hint="eastAsia"/>
        </w:rPr>
        <w:t>。</w:t>
      </w:r>
    </w:p>
  </w:footnote>
  <w:footnote w:id="10">
    <w:p w:rsidR="002F3221" w:rsidRPr="00C347C2" w:rsidRDefault="002F3221" w:rsidP="00C347C2">
      <w:pPr>
        <w:pStyle w:val="a9"/>
        <w:spacing w:afterLines="30" w:after="72" w:line="320" w:lineRule="atLeast"/>
        <w:jc w:val="both"/>
        <w:rPr>
          <w:rFonts w:ascii="SimSun" w:hAnsi="SimSun"/>
        </w:rPr>
      </w:pPr>
      <w:r w:rsidRPr="00C347C2">
        <w:rPr>
          <w:rStyle w:val="ae"/>
          <w:rFonts w:ascii="SimSun" w:hAnsi="SimSun"/>
        </w:rPr>
        <w:footnoteRef/>
      </w:r>
      <w:r w:rsidRPr="00C347C2">
        <w:rPr>
          <w:rFonts w:ascii="SimSun" w:hAnsi="SimSun"/>
        </w:rPr>
        <w:t xml:space="preserve"> </w:t>
      </w:r>
      <w:r w:rsidRPr="00C347C2">
        <w:rPr>
          <w:rFonts w:ascii="SimSun" w:hAnsi="SimSun"/>
        </w:rPr>
        <w:tab/>
        <w:t>WTO</w:t>
      </w:r>
      <w:r w:rsidRPr="00C347C2">
        <w:rPr>
          <w:rFonts w:ascii="SimSun" w:hAnsi="SimSun" w:hint="eastAsia"/>
        </w:rPr>
        <w:t>文件</w:t>
      </w:r>
      <w:r w:rsidRPr="00C347C2">
        <w:rPr>
          <w:rFonts w:ascii="SimSun" w:hAnsi="SimSun"/>
        </w:rPr>
        <w:t>IP/C/W/497/Add.2</w:t>
      </w:r>
      <w:r w:rsidRPr="00C347C2">
        <w:rPr>
          <w:rFonts w:ascii="SimSun" w:hAnsi="SimSun" w:hint="eastAsia"/>
        </w:rPr>
        <w:t>和</w:t>
      </w:r>
      <w:r w:rsidRPr="00C347C2">
        <w:rPr>
          <w:rFonts w:ascii="SimSun" w:hAnsi="SimSun"/>
        </w:rPr>
        <w:t>IP/C/W/580/ADD.2</w:t>
      </w:r>
      <w:r w:rsidRPr="00C347C2">
        <w:rPr>
          <w:rFonts w:ascii="SimSun" w:hAnsi="SimSun" w:hint="eastAsia"/>
        </w:rPr>
        <w:t>、</w:t>
      </w:r>
      <w:r w:rsidRPr="00C347C2">
        <w:rPr>
          <w:rFonts w:ascii="SimSun" w:hAnsi="SimSun"/>
        </w:rPr>
        <w:t>Add.4</w:t>
      </w:r>
      <w:r w:rsidRPr="00C347C2">
        <w:rPr>
          <w:rFonts w:ascii="SimSun" w:hAnsi="SimSun" w:hint="eastAsia"/>
        </w:rPr>
        <w:t>和</w:t>
      </w:r>
      <w:r w:rsidRPr="00C347C2">
        <w:rPr>
          <w:rFonts w:ascii="SimSun" w:hAnsi="SimSun"/>
        </w:rPr>
        <w:t>Add.6</w:t>
      </w:r>
      <w:r w:rsidRPr="00C347C2">
        <w:rPr>
          <w:rFonts w:ascii="SimSun" w:hAnsi="SimSun" w:hint="eastAsia"/>
        </w:rPr>
        <w:t>。</w:t>
      </w:r>
    </w:p>
  </w:footnote>
  <w:footnote w:id="11">
    <w:p w:rsidR="002F3221" w:rsidRPr="00C347C2" w:rsidRDefault="002F3221" w:rsidP="00C347C2">
      <w:pPr>
        <w:pStyle w:val="a9"/>
        <w:spacing w:afterLines="30" w:after="72" w:line="320" w:lineRule="atLeast"/>
        <w:jc w:val="both"/>
        <w:rPr>
          <w:rFonts w:ascii="SimSun" w:hAnsi="SimSun"/>
        </w:rPr>
      </w:pPr>
      <w:r w:rsidRPr="00C347C2">
        <w:rPr>
          <w:rStyle w:val="ae"/>
          <w:rFonts w:ascii="SimSun" w:hAnsi="SimSun"/>
        </w:rPr>
        <w:footnoteRef/>
      </w:r>
      <w:r w:rsidRPr="00C347C2">
        <w:rPr>
          <w:rFonts w:ascii="SimSun" w:hAnsi="SimSun"/>
        </w:rPr>
        <w:t xml:space="preserve"> </w:t>
      </w:r>
      <w:r w:rsidRPr="00C347C2">
        <w:rPr>
          <w:rFonts w:ascii="SimSun" w:hAnsi="SimSun"/>
        </w:rPr>
        <w:tab/>
      </w:r>
      <w:r w:rsidRPr="00C347C2">
        <w:rPr>
          <w:rFonts w:ascii="SimSun" w:hAnsi="SimSun" w:hint="eastAsia"/>
        </w:rPr>
        <w:t>参见文件</w:t>
      </w:r>
      <w:r w:rsidRPr="00C347C2">
        <w:rPr>
          <w:rFonts w:ascii="SimSun" w:hAnsi="SimSun"/>
        </w:rPr>
        <w:t>SCP/19/8 Prov.2</w:t>
      </w:r>
      <w:r w:rsidRPr="00C347C2">
        <w:rPr>
          <w:rFonts w:ascii="SimSun" w:hAnsi="SimSun" w:hint="eastAsia"/>
        </w:rPr>
        <w:t>第126、127和129段。</w:t>
      </w:r>
    </w:p>
  </w:footnote>
  <w:footnote w:id="12">
    <w:p w:rsidR="002F3221" w:rsidRPr="00C347C2" w:rsidRDefault="002F3221" w:rsidP="00C347C2">
      <w:pPr>
        <w:pStyle w:val="a9"/>
        <w:spacing w:afterLines="30" w:after="72" w:line="320" w:lineRule="atLeast"/>
        <w:jc w:val="both"/>
        <w:rPr>
          <w:rFonts w:ascii="SimSun" w:hAnsi="SimSun"/>
        </w:rPr>
      </w:pPr>
      <w:r w:rsidRPr="00C347C2">
        <w:rPr>
          <w:rStyle w:val="ae"/>
          <w:rFonts w:ascii="SimSun" w:hAnsi="SimSun"/>
        </w:rPr>
        <w:footnoteRef/>
      </w:r>
      <w:r w:rsidRPr="00C347C2">
        <w:rPr>
          <w:rFonts w:ascii="SimSun" w:hAnsi="SimSun"/>
        </w:rPr>
        <w:t xml:space="preserve"> </w:t>
      </w:r>
      <w:r w:rsidRPr="00C347C2">
        <w:rPr>
          <w:rFonts w:ascii="SimSun" w:hAnsi="SimSun"/>
        </w:rPr>
        <w:tab/>
      </w:r>
      <w:r w:rsidRPr="00C347C2">
        <w:rPr>
          <w:rFonts w:ascii="SimSun" w:hAnsi="SimSun" w:hint="eastAsia"/>
        </w:rPr>
        <w:t>参见文件</w:t>
      </w:r>
      <w:r w:rsidRPr="00C347C2">
        <w:rPr>
          <w:rFonts w:ascii="SimSun" w:hAnsi="SimSun"/>
        </w:rPr>
        <w:t>SCP/19/8 Prov.2</w:t>
      </w:r>
      <w:r w:rsidRPr="00C347C2">
        <w:rPr>
          <w:rFonts w:ascii="SimSun" w:hAnsi="SimSun" w:hint="eastAsia"/>
        </w:rPr>
        <w:t>第127段。</w:t>
      </w:r>
    </w:p>
  </w:footnote>
  <w:footnote w:id="13">
    <w:p w:rsidR="002F3221" w:rsidRPr="00C347C2" w:rsidRDefault="002F3221" w:rsidP="00C347C2">
      <w:pPr>
        <w:pStyle w:val="a9"/>
        <w:spacing w:afterLines="30" w:after="72" w:line="320" w:lineRule="atLeast"/>
        <w:jc w:val="both"/>
        <w:rPr>
          <w:rFonts w:ascii="SimSun" w:hAnsi="SimSun"/>
        </w:rPr>
      </w:pPr>
      <w:r w:rsidRPr="00C347C2">
        <w:rPr>
          <w:rStyle w:val="ae"/>
          <w:rFonts w:ascii="SimSun" w:hAnsi="SimSun"/>
        </w:rPr>
        <w:footnoteRef/>
      </w:r>
      <w:r w:rsidRPr="00C347C2">
        <w:rPr>
          <w:rFonts w:ascii="SimSun" w:hAnsi="SimSun"/>
        </w:rPr>
        <w:t xml:space="preserve"> </w:t>
      </w:r>
      <w:r w:rsidRPr="00C347C2">
        <w:rPr>
          <w:rFonts w:ascii="SimSun" w:hAnsi="SimSun"/>
        </w:rPr>
        <w:tab/>
      </w:r>
      <w:r w:rsidRPr="00C347C2">
        <w:rPr>
          <w:rFonts w:ascii="SimSun" w:hAnsi="SimSun" w:hint="eastAsia"/>
        </w:rPr>
        <w:t>参见文件</w:t>
      </w:r>
      <w:r w:rsidRPr="00C347C2">
        <w:rPr>
          <w:rFonts w:ascii="SimSun" w:hAnsi="SimSun"/>
        </w:rPr>
        <w:t>SCP/19/8 Prov.2</w:t>
      </w:r>
      <w:r w:rsidRPr="00C347C2">
        <w:rPr>
          <w:rFonts w:ascii="SimSun" w:hAnsi="SimSun" w:hint="eastAsia"/>
        </w:rPr>
        <w:t>第127段。</w:t>
      </w:r>
    </w:p>
  </w:footnote>
  <w:footnote w:id="14">
    <w:p w:rsidR="002F3221" w:rsidRPr="00C347C2" w:rsidRDefault="002F3221" w:rsidP="00C347C2">
      <w:pPr>
        <w:pStyle w:val="a9"/>
        <w:spacing w:afterLines="30" w:after="72" w:line="320" w:lineRule="atLeast"/>
        <w:ind w:left="540" w:hanging="540"/>
        <w:jc w:val="both"/>
        <w:rPr>
          <w:rFonts w:ascii="SimSun" w:hAnsi="SimSun"/>
        </w:rPr>
      </w:pPr>
      <w:r w:rsidRPr="00C347C2">
        <w:rPr>
          <w:rStyle w:val="ae"/>
          <w:rFonts w:ascii="SimSun" w:hAnsi="SimSun"/>
        </w:rPr>
        <w:footnoteRef/>
      </w:r>
      <w:r w:rsidRPr="00C347C2">
        <w:rPr>
          <w:rFonts w:ascii="SimSun" w:hAnsi="SimSun"/>
        </w:rPr>
        <w:t xml:space="preserve"> </w:t>
      </w:r>
      <w:r w:rsidRPr="00C347C2">
        <w:rPr>
          <w:rFonts w:ascii="SimSun" w:hAnsi="SimSun"/>
        </w:rPr>
        <w:tab/>
      </w:r>
      <w:r w:rsidRPr="00C347C2">
        <w:rPr>
          <w:rFonts w:ascii="SimSun" w:hAnsi="SimSun" w:hint="eastAsia"/>
        </w:rPr>
        <w:t>参见文件</w:t>
      </w:r>
      <w:r w:rsidRPr="00C347C2">
        <w:rPr>
          <w:rFonts w:ascii="SimSun" w:hAnsi="SimSun"/>
        </w:rPr>
        <w:t>SCP/19/8 Prov.2</w:t>
      </w:r>
      <w:r w:rsidRPr="00C347C2">
        <w:rPr>
          <w:rFonts w:ascii="SimSun" w:hAnsi="SimSun" w:hint="eastAsia"/>
        </w:rPr>
        <w:t>第129段。</w:t>
      </w:r>
    </w:p>
  </w:footnote>
  <w:footnote w:id="15">
    <w:p w:rsidR="002F3221" w:rsidRPr="00C347C2" w:rsidRDefault="002F3221" w:rsidP="00C347C2">
      <w:pPr>
        <w:pStyle w:val="a9"/>
        <w:spacing w:afterLines="30" w:after="72" w:line="320" w:lineRule="atLeast"/>
        <w:ind w:left="540" w:hanging="540"/>
        <w:jc w:val="both"/>
        <w:rPr>
          <w:rFonts w:ascii="SimSun" w:hAnsi="SimSun"/>
        </w:rPr>
      </w:pPr>
      <w:r w:rsidRPr="00C347C2">
        <w:rPr>
          <w:rStyle w:val="ae"/>
          <w:rFonts w:ascii="SimSun" w:hAnsi="SimSun"/>
        </w:rPr>
        <w:footnoteRef/>
      </w:r>
      <w:r w:rsidRPr="00C347C2">
        <w:rPr>
          <w:rFonts w:ascii="SimSun" w:hAnsi="SimSun"/>
        </w:rPr>
        <w:t xml:space="preserve"> </w:t>
      </w:r>
      <w:r w:rsidRPr="00C347C2">
        <w:rPr>
          <w:rFonts w:ascii="SimSun" w:hAnsi="SimSun"/>
        </w:rPr>
        <w:tab/>
      </w:r>
      <w:r w:rsidRPr="00C347C2">
        <w:rPr>
          <w:rFonts w:ascii="SimSun" w:hAnsi="SimSun" w:hint="eastAsia"/>
        </w:rPr>
        <w:t>2013年11月28日在日内瓦举行WIPO GREEN期间的圆桌讨论中，很多发言人都表示，技术持有人和接收人的需求、响应于当地需求来调整技术以及接收人的吸收能力，这些都是有效开展技术转让的重要因素。</w:t>
      </w:r>
    </w:p>
  </w:footnote>
  <w:footnote w:id="16">
    <w:p w:rsidR="002F3221" w:rsidRPr="00C347C2" w:rsidRDefault="002F3221" w:rsidP="00C347C2">
      <w:pPr>
        <w:pStyle w:val="a9"/>
        <w:spacing w:afterLines="30" w:after="72" w:line="320" w:lineRule="atLeast"/>
        <w:ind w:left="540" w:hanging="540"/>
        <w:jc w:val="both"/>
        <w:rPr>
          <w:rFonts w:ascii="SimSun" w:hAnsi="SimSun"/>
        </w:rPr>
      </w:pPr>
      <w:r w:rsidRPr="00C347C2">
        <w:rPr>
          <w:rStyle w:val="ae"/>
          <w:rFonts w:ascii="SimSun" w:hAnsi="SimSun"/>
        </w:rPr>
        <w:footnoteRef/>
      </w:r>
      <w:r w:rsidRPr="00C347C2">
        <w:rPr>
          <w:rFonts w:ascii="SimSun" w:hAnsi="SimSun"/>
        </w:rPr>
        <w:t xml:space="preserve"> </w:t>
      </w:r>
      <w:r w:rsidRPr="00C347C2">
        <w:rPr>
          <w:rFonts w:ascii="SimSun" w:hAnsi="SimSun"/>
        </w:rPr>
        <w:tab/>
      </w:r>
      <w:r w:rsidRPr="00C347C2">
        <w:rPr>
          <w:rFonts w:ascii="SimSun" w:hAnsi="SimSun" w:hint="eastAsia"/>
        </w:rPr>
        <w:t>参见文件</w:t>
      </w:r>
      <w:r w:rsidRPr="00C347C2">
        <w:rPr>
          <w:rFonts w:ascii="SimSun" w:hAnsi="SimSun"/>
        </w:rPr>
        <w:t>SCP/19/8 Prov.2</w:t>
      </w:r>
      <w:r w:rsidRPr="00C347C2">
        <w:rPr>
          <w:rFonts w:ascii="SimSun" w:hAnsi="SimSun" w:hint="eastAsia"/>
        </w:rPr>
        <w:t>第</w:t>
      </w:r>
      <w:r w:rsidRPr="00C347C2">
        <w:rPr>
          <w:rFonts w:ascii="SimSun" w:hAnsi="SimSun"/>
        </w:rPr>
        <w:t>126</w:t>
      </w:r>
      <w:r w:rsidRPr="00C347C2">
        <w:rPr>
          <w:rFonts w:ascii="SimSun" w:hAnsi="SimSun" w:hint="eastAsia"/>
        </w:rPr>
        <w:t>、</w:t>
      </w:r>
      <w:r w:rsidRPr="00C347C2">
        <w:rPr>
          <w:rFonts w:ascii="SimSun" w:hAnsi="SimSun"/>
        </w:rPr>
        <w:t>127</w:t>
      </w:r>
      <w:r w:rsidRPr="00C347C2">
        <w:rPr>
          <w:rFonts w:ascii="SimSun" w:hAnsi="SimSun" w:hint="eastAsia"/>
        </w:rPr>
        <w:t>、</w:t>
      </w:r>
      <w:r w:rsidRPr="00C347C2">
        <w:rPr>
          <w:rFonts w:ascii="SimSun" w:hAnsi="SimSun"/>
        </w:rPr>
        <w:t>130</w:t>
      </w:r>
      <w:r w:rsidRPr="00C347C2">
        <w:rPr>
          <w:rFonts w:ascii="SimSun" w:hAnsi="SimSun" w:hint="eastAsia"/>
        </w:rPr>
        <w:t>和</w:t>
      </w:r>
      <w:r w:rsidRPr="00C347C2">
        <w:rPr>
          <w:rFonts w:ascii="SimSun" w:hAnsi="SimSun"/>
        </w:rPr>
        <w:t>132</w:t>
      </w:r>
      <w:r w:rsidRPr="00C347C2">
        <w:rPr>
          <w:rFonts w:ascii="SimSun" w:hAnsi="SimSun" w:hint="eastAsia"/>
        </w:rPr>
        <w:t>段。</w:t>
      </w:r>
    </w:p>
  </w:footnote>
  <w:footnote w:id="17">
    <w:p w:rsidR="002F3221" w:rsidRPr="00C347C2" w:rsidRDefault="002F3221" w:rsidP="00C347C2">
      <w:pPr>
        <w:pStyle w:val="a9"/>
        <w:spacing w:afterLines="30" w:after="72" w:line="320" w:lineRule="atLeast"/>
        <w:ind w:left="540" w:hanging="540"/>
        <w:jc w:val="both"/>
        <w:rPr>
          <w:rFonts w:ascii="SimSun" w:hAnsi="SimSun"/>
        </w:rPr>
      </w:pPr>
      <w:r w:rsidRPr="00C347C2">
        <w:rPr>
          <w:rStyle w:val="ae"/>
          <w:rFonts w:ascii="SimSun" w:hAnsi="SimSun"/>
        </w:rPr>
        <w:footnoteRef/>
      </w:r>
      <w:r w:rsidRPr="00C347C2">
        <w:rPr>
          <w:rFonts w:ascii="SimSun" w:hAnsi="SimSun"/>
        </w:rPr>
        <w:t xml:space="preserve"> </w:t>
      </w:r>
      <w:r w:rsidRPr="00C347C2">
        <w:rPr>
          <w:rFonts w:ascii="SimSun" w:hAnsi="SimSun"/>
        </w:rPr>
        <w:tab/>
      </w:r>
      <w:r w:rsidRPr="00C347C2">
        <w:rPr>
          <w:rFonts w:ascii="SimSun" w:hAnsi="SimSun" w:hint="eastAsia"/>
        </w:rPr>
        <w:t>对可能与技术转让直接相关的已完成的CDIP项目的说明参见文件</w:t>
      </w:r>
      <w:r w:rsidR="009D03B2">
        <w:rPr>
          <w:rFonts w:ascii="SimSun" w:hAnsi="SimSun" w:hint="eastAsia"/>
        </w:rPr>
        <w:t>SCP/18/7</w:t>
      </w:r>
      <w:r w:rsidRPr="00C347C2">
        <w:rPr>
          <w:rFonts w:ascii="SimSun" w:hAnsi="SimSun" w:hint="eastAsia"/>
        </w:rPr>
        <w:t>。</w:t>
      </w:r>
    </w:p>
  </w:footnote>
  <w:footnote w:id="18">
    <w:p w:rsidR="009D03B2" w:rsidRPr="009D03B2" w:rsidRDefault="009D03B2" w:rsidP="009D03B2">
      <w:pPr>
        <w:pStyle w:val="a9"/>
        <w:spacing w:afterLines="30" w:after="72" w:line="320" w:lineRule="atLeast"/>
        <w:ind w:left="540" w:hanging="540"/>
        <w:jc w:val="both"/>
        <w:rPr>
          <w:rFonts w:ascii="SimSun" w:hAnsi="SimSun"/>
        </w:rPr>
      </w:pPr>
      <w:r w:rsidRPr="009D03B2">
        <w:rPr>
          <w:rFonts w:ascii="SimSun" w:hAnsi="SimSun"/>
          <w:vertAlign w:val="superscript"/>
        </w:rPr>
        <w:footnoteRef/>
      </w:r>
      <w:r w:rsidRPr="009D03B2">
        <w:rPr>
          <w:rFonts w:ascii="SimSun" w:hAnsi="SimSun"/>
          <w:vertAlign w:val="superscript"/>
        </w:rPr>
        <w:t xml:space="preserve"> </w:t>
      </w:r>
      <w:r>
        <w:rPr>
          <w:rFonts w:ascii="SimSun" w:hAnsi="SimSun" w:hint="eastAsia"/>
          <w:vertAlign w:val="superscript"/>
        </w:rPr>
        <w:tab/>
      </w:r>
      <w:r>
        <w:rPr>
          <w:rFonts w:ascii="SimSun" w:hAnsi="SimSun" w:hint="eastAsia"/>
        </w:rPr>
        <w:t>项目文件见文件</w:t>
      </w:r>
      <w:r w:rsidRPr="009D03B2">
        <w:rPr>
          <w:rFonts w:ascii="SimSun" w:hAnsi="SimSun"/>
        </w:rPr>
        <w:t>CDIP/9/INF/4</w:t>
      </w:r>
      <w:r>
        <w:rPr>
          <w:rFonts w:ascii="SimSun" w:hAnsi="SimSun" w:hint="eastAsia"/>
        </w:rPr>
        <w:t>。项目最新进展报告见文件</w:t>
      </w:r>
      <w:r w:rsidRPr="009D03B2">
        <w:rPr>
          <w:rFonts w:ascii="SimSun" w:hAnsi="SimSun"/>
        </w:rPr>
        <w:t>CDIP/12/2</w:t>
      </w:r>
      <w:r>
        <w:rPr>
          <w:rFonts w:ascii="SimSun" w:hAnsi="SimSun" w:hint="eastAsia"/>
        </w:rPr>
        <w:t>附件六。</w:t>
      </w:r>
    </w:p>
  </w:footnote>
  <w:footnote w:id="19">
    <w:p w:rsidR="002F3221" w:rsidRPr="00C347C2" w:rsidRDefault="002F3221" w:rsidP="00C347C2">
      <w:pPr>
        <w:pStyle w:val="a9"/>
        <w:spacing w:afterLines="30" w:after="72" w:line="320" w:lineRule="atLeast"/>
        <w:ind w:left="540" w:hanging="540"/>
        <w:jc w:val="both"/>
        <w:rPr>
          <w:rFonts w:ascii="SimSun" w:hAnsi="SimSun"/>
        </w:rPr>
      </w:pPr>
      <w:r w:rsidRPr="00C347C2">
        <w:rPr>
          <w:rStyle w:val="ae"/>
          <w:rFonts w:ascii="SimSun" w:hAnsi="SimSun"/>
        </w:rPr>
        <w:footnoteRef/>
      </w:r>
      <w:r w:rsidRPr="00C347C2">
        <w:rPr>
          <w:rFonts w:ascii="SimSun" w:hAnsi="SimSun"/>
        </w:rPr>
        <w:t xml:space="preserve"> </w:t>
      </w:r>
      <w:r w:rsidRPr="00C347C2">
        <w:rPr>
          <w:rFonts w:ascii="SimSun" w:hAnsi="SimSun"/>
        </w:rPr>
        <w:tab/>
      </w:r>
      <w:r w:rsidRPr="00C347C2">
        <w:rPr>
          <w:rFonts w:ascii="SimSun" w:hAnsi="SimSun" w:hint="eastAsia"/>
        </w:rPr>
        <w:t>即将于2014年5月举行的发展与知识产权委员会(CDIP)下届会议之前将发布以下六份研究报告：(</w:t>
      </w:r>
      <w:proofErr w:type="spellStart"/>
      <w:r w:rsidRPr="00C347C2">
        <w:rPr>
          <w:rFonts w:ascii="SimSun" w:hAnsi="SimSun" w:hint="eastAsia"/>
        </w:rPr>
        <w:t>i</w:t>
      </w:r>
      <w:proofErr w:type="spellEnd"/>
      <w:r w:rsidRPr="00C347C2">
        <w:rPr>
          <w:rFonts w:ascii="SimSun" w:hAnsi="SimSun" w:hint="eastAsia"/>
        </w:rPr>
        <w:t>)</w:t>
      </w:r>
      <w:r w:rsidR="00C347C2">
        <w:rPr>
          <w:rFonts w:ascii="SimSun" w:hAnsi="SimSun"/>
        </w:rPr>
        <w:t xml:space="preserve"> </w:t>
      </w:r>
      <w:r w:rsidRPr="00C347C2">
        <w:rPr>
          <w:rFonts w:ascii="SimSun" w:hAnsi="SimSun" w:hint="eastAsia"/>
        </w:rPr>
        <w:t>关于知识产权和国际技术转让的经济学研究；(ii)</w:t>
      </w:r>
      <w:r w:rsidR="00C347C2">
        <w:rPr>
          <w:rFonts w:ascii="SimSun" w:hAnsi="SimSun"/>
        </w:rPr>
        <w:t xml:space="preserve"> </w:t>
      </w:r>
      <w:r w:rsidRPr="00C347C2">
        <w:rPr>
          <w:rFonts w:ascii="SimSun" w:hAnsi="SimSun" w:hint="eastAsia"/>
        </w:rPr>
        <w:t>关于发达国家公共和私营部门现有知识产权相关政策和倡议的研究；(iii)</w:t>
      </w:r>
      <w:r w:rsidR="00C347C2">
        <w:rPr>
          <w:rFonts w:ascii="SimSun" w:hAnsi="SimSun"/>
        </w:rPr>
        <w:t xml:space="preserve"> </w:t>
      </w:r>
      <w:r w:rsidRPr="00C347C2">
        <w:rPr>
          <w:rFonts w:ascii="SimSun" w:hAnsi="SimSun" w:hint="eastAsia"/>
        </w:rPr>
        <w:t>发达国家和发展中国家研发机构间合作与交流的案例研究；(iv)关于有利于企业的激励政策研究；(v)</w:t>
      </w:r>
      <w:r w:rsidR="00C347C2">
        <w:rPr>
          <w:rFonts w:ascii="SimSun" w:hAnsi="SimSun"/>
        </w:rPr>
        <w:t xml:space="preserve"> </w:t>
      </w:r>
      <w:r w:rsidRPr="00C347C2">
        <w:rPr>
          <w:rFonts w:ascii="SimSun" w:hAnsi="SimSun" w:hint="eastAsia"/>
        </w:rPr>
        <w:t>与发展中国家和最不发达国家所关切的现有及新兴问题相关的技术转让分析；以及(vi)现有专利制度之外研发工作和创新支持替换方案的研究。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221" w:rsidRPr="00C347C2" w:rsidRDefault="002F3221">
    <w:pPr>
      <w:jc w:val="right"/>
      <w:rPr>
        <w:rFonts w:ascii="SimSun" w:hAnsi="SimSun"/>
        <w:sz w:val="21"/>
        <w:szCs w:val="21"/>
      </w:rPr>
    </w:pPr>
    <w:bookmarkStart w:id="4" w:name="Code2"/>
    <w:bookmarkEnd w:id="4"/>
    <w:r w:rsidRPr="00C347C2">
      <w:rPr>
        <w:rFonts w:ascii="SimSun" w:hAnsi="SimSun"/>
        <w:sz w:val="21"/>
        <w:szCs w:val="21"/>
      </w:rPr>
      <w:t>SCP/20/10</w:t>
    </w:r>
  </w:p>
  <w:p w:rsidR="002F3221" w:rsidRPr="00C347C2" w:rsidRDefault="00C347C2">
    <w:pPr>
      <w:jc w:val="right"/>
      <w:rPr>
        <w:rFonts w:ascii="SimSun" w:hAnsi="SimSun"/>
        <w:sz w:val="21"/>
        <w:szCs w:val="21"/>
      </w:rPr>
    </w:pPr>
    <w:r w:rsidRPr="00C347C2">
      <w:rPr>
        <w:rFonts w:ascii="SimSun" w:hAnsi="SimSun" w:hint="eastAsia"/>
        <w:sz w:val="21"/>
        <w:szCs w:val="21"/>
      </w:rPr>
      <w:t>第</w:t>
    </w:r>
    <w:r w:rsidR="002F3221" w:rsidRPr="00C347C2">
      <w:rPr>
        <w:rFonts w:ascii="SimSun" w:hAnsi="SimSun"/>
        <w:sz w:val="21"/>
        <w:szCs w:val="21"/>
      </w:rPr>
      <w:t xml:space="preserve"> </w:t>
    </w:r>
    <w:r w:rsidR="002F3221" w:rsidRPr="00C347C2">
      <w:rPr>
        <w:rFonts w:ascii="SimSun" w:hAnsi="SimSun"/>
        <w:sz w:val="21"/>
        <w:szCs w:val="21"/>
      </w:rPr>
      <w:fldChar w:fldCharType="begin"/>
    </w:r>
    <w:r w:rsidR="002F3221" w:rsidRPr="00C347C2">
      <w:rPr>
        <w:rFonts w:ascii="SimSun" w:hAnsi="SimSun"/>
        <w:sz w:val="21"/>
        <w:szCs w:val="21"/>
      </w:rPr>
      <w:instrText xml:space="preserve"> PAGE  \* MERGEFORMAT </w:instrText>
    </w:r>
    <w:r w:rsidR="002F3221" w:rsidRPr="00C347C2">
      <w:rPr>
        <w:rFonts w:ascii="SimSun" w:hAnsi="SimSun"/>
        <w:sz w:val="21"/>
        <w:szCs w:val="21"/>
      </w:rPr>
      <w:fldChar w:fldCharType="separate"/>
    </w:r>
    <w:r w:rsidR="001D6702">
      <w:rPr>
        <w:rFonts w:ascii="SimSun" w:hAnsi="SimSun"/>
        <w:noProof/>
        <w:sz w:val="21"/>
        <w:szCs w:val="21"/>
      </w:rPr>
      <w:t>7</w:t>
    </w:r>
    <w:r w:rsidR="002F3221" w:rsidRPr="00C347C2">
      <w:rPr>
        <w:rFonts w:ascii="SimSun" w:hAnsi="SimSun"/>
        <w:sz w:val="21"/>
        <w:szCs w:val="21"/>
      </w:rPr>
      <w:fldChar w:fldCharType="end"/>
    </w:r>
    <w:r w:rsidRPr="00C347C2">
      <w:rPr>
        <w:rFonts w:ascii="SimSun" w:hAnsi="SimSun" w:hint="eastAsia"/>
        <w:sz w:val="21"/>
        <w:szCs w:val="21"/>
      </w:rPr>
      <w:t xml:space="preserve"> 页</w:t>
    </w:r>
  </w:p>
  <w:p w:rsidR="00C347C2" w:rsidRDefault="00C347C2">
    <w:pPr>
      <w:jc w:val="right"/>
    </w:pPr>
  </w:p>
  <w:p w:rsidR="002F3221" w:rsidRDefault="002F3221">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A0F197F"/>
    <w:multiLevelType w:val="hybridMultilevel"/>
    <w:tmpl w:val="3DF06D8C"/>
    <w:lvl w:ilvl="0" w:tplc="4AF8669E">
      <w:start w:val="1"/>
      <w:numFmt w:val="lowerRoman"/>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7"/>
  <w:drawingGridHorizontalSpacing w:val="110"/>
  <w:displayHorizontalDrawingGridEvery w:val="0"/>
  <w:displayVerticalDrawingGridEvery w:val="0"/>
  <w:noPunctuationKerning/>
  <w:characterSpacingControl w:val="doNotCompress"/>
  <w:hdrShapeDefaults>
    <o:shapedefaults v:ext="edit" spidmax="921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031"/>
    <w:rsid w:val="00194032"/>
    <w:rsid w:val="001D6702"/>
    <w:rsid w:val="002F3221"/>
    <w:rsid w:val="009D03B2"/>
    <w:rsid w:val="00A2140F"/>
    <w:rsid w:val="00C347C2"/>
    <w:rsid w:val="00C90B94"/>
    <w:rsid w:val="00CE0B7E"/>
    <w:rsid w:val="00E76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rFonts w:ascii="Arial" w:hAnsi="Arial" w:cs="Arial"/>
      <w:sz w:val="22"/>
    </w:rPr>
  </w:style>
  <w:style w:type="paragraph" w:styleId="1">
    <w:name w:val="heading 1"/>
    <w:basedOn w:val="a0"/>
    <w:next w:val="a0"/>
    <w:qFormat/>
    <w:pPr>
      <w:keepNext/>
      <w:spacing w:before="240" w:after="60"/>
      <w:outlineLvl w:val="0"/>
    </w:pPr>
    <w:rPr>
      <w:b/>
      <w:bCs/>
      <w:caps/>
      <w:kern w:val="32"/>
      <w:szCs w:val="32"/>
    </w:rPr>
  </w:style>
  <w:style w:type="paragraph" w:styleId="2">
    <w:name w:val="heading 2"/>
    <w:basedOn w:val="a0"/>
    <w:next w:val="a0"/>
    <w:qFormat/>
    <w:pPr>
      <w:keepNext/>
      <w:spacing w:before="240" w:after="60"/>
      <w:outlineLvl w:val="1"/>
    </w:pPr>
    <w:rPr>
      <w:bCs/>
      <w:iCs/>
      <w:caps/>
      <w:szCs w:val="28"/>
    </w:rPr>
  </w:style>
  <w:style w:type="paragraph" w:styleId="3">
    <w:name w:val="heading 3"/>
    <w:basedOn w:val="a0"/>
    <w:next w:val="a0"/>
    <w:qFormat/>
    <w:pPr>
      <w:keepNext/>
      <w:spacing w:before="240" w:after="60"/>
      <w:outlineLvl w:val="2"/>
    </w:pPr>
    <w:rPr>
      <w:bCs/>
      <w:szCs w:val="26"/>
      <w:u w:val="single"/>
    </w:rPr>
  </w:style>
  <w:style w:type="paragraph" w:styleId="4">
    <w:name w:val="heading 4"/>
    <w:basedOn w:val="a0"/>
    <w:next w:val="a0"/>
    <w:qFormat/>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pPr>
      <w:ind w:left="5534"/>
    </w:pPr>
  </w:style>
  <w:style w:type="paragraph" w:styleId="a4">
    <w:name w:val="Body Text"/>
    <w:basedOn w:val="a0"/>
    <w:semiHidden/>
    <w:pPr>
      <w:spacing w:after="220"/>
    </w:pPr>
  </w:style>
  <w:style w:type="paragraph" w:styleId="a5">
    <w:name w:val="caption"/>
    <w:basedOn w:val="a0"/>
    <w:next w:val="a0"/>
    <w:qFormat/>
    <w:rPr>
      <w:b/>
      <w:bCs/>
      <w:sz w:val="18"/>
    </w:rPr>
  </w:style>
  <w:style w:type="paragraph" w:styleId="a6">
    <w:name w:val="annotation text"/>
    <w:basedOn w:val="a0"/>
    <w:semiHidden/>
    <w:rPr>
      <w:sz w:val="18"/>
    </w:rPr>
  </w:style>
  <w:style w:type="paragraph" w:styleId="a7">
    <w:name w:val="endnote text"/>
    <w:basedOn w:val="a0"/>
    <w:semiHidden/>
    <w:rPr>
      <w:sz w:val="18"/>
    </w:rPr>
  </w:style>
  <w:style w:type="paragraph" w:styleId="a8">
    <w:name w:val="footer"/>
    <w:basedOn w:val="a0"/>
    <w:semiHidden/>
    <w:pPr>
      <w:tabs>
        <w:tab w:val="center" w:pos="4320"/>
        <w:tab w:val="right" w:pos="8640"/>
      </w:tabs>
    </w:pPr>
  </w:style>
  <w:style w:type="paragraph" w:customStyle="1" w:styleId="10">
    <w:name w:val="批注框文本1"/>
    <w:basedOn w:val="a0"/>
    <w:semiHidden/>
    <w:rPr>
      <w:rFonts w:ascii="Tahoma" w:hAnsi="Tahoma" w:cs="Tahoma"/>
      <w:sz w:val="16"/>
      <w:szCs w:val="16"/>
    </w:rPr>
  </w:style>
  <w:style w:type="paragraph" w:styleId="a9">
    <w:name w:val="footnote text"/>
    <w:basedOn w:val="a0"/>
    <w:semiHidden/>
    <w:rPr>
      <w:sz w:val="18"/>
    </w:rPr>
  </w:style>
  <w:style w:type="paragraph" w:styleId="aa">
    <w:name w:val="header"/>
    <w:basedOn w:val="a0"/>
    <w:semiHidden/>
    <w:pPr>
      <w:tabs>
        <w:tab w:val="center" w:pos="4536"/>
        <w:tab w:val="right" w:pos="9072"/>
      </w:tabs>
    </w:pPr>
  </w:style>
  <w:style w:type="paragraph" w:styleId="a">
    <w:name w:val="List Number"/>
    <w:basedOn w:val="a0"/>
    <w:semiHidden/>
    <w:pPr>
      <w:numPr>
        <w:numId w:val="4"/>
      </w:numPr>
    </w:pPr>
  </w:style>
  <w:style w:type="paragraph" w:customStyle="1" w:styleId="ONUME">
    <w:name w:val="ONUM E"/>
    <w:basedOn w:val="a4"/>
    <w:pPr>
      <w:numPr>
        <w:numId w:val="5"/>
      </w:numPr>
    </w:pPr>
  </w:style>
  <w:style w:type="paragraph" w:customStyle="1" w:styleId="ONUMFS">
    <w:name w:val="ONUM FS"/>
    <w:basedOn w:val="a4"/>
    <w:pPr>
      <w:numPr>
        <w:numId w:val="6"/>
      </w:numPr>
    </w:pPr>
  </w:style>
  <w:style w:type="paragraph" w:styleId="ab">
    <w:name w:val="Salutation"/>
    <w:basedOn w:val="a0"/>
    <w:next w:val="a0"/>
    <w:semiHidden/>
  </w:style>
  <w:style w:type="paragraph" w:styleId="ac">
    <w:name w:val="Signature"/>
    <w:basedOn w:val="a0"/>
    <w:semiHidden/>
    <w:pPr>
      <w:ind w:left="5250"/>
    </w:pPr>
  </w:style>
  <w:style w:type="character" w:styleId="ad">
    <w:name w:val="Hyperlink"/>
    <w:semiHidden/>
    <w:rPr>
      <w:color w:val="0000FF"/>
      <w:u w:val="single"/>
    </w:rPr>
  </w:style>
  <w:style w:type="character" w:styleId="ae">
    <w:name w:val="footnote reference"/>
    <w:semiHidden/>
    <w:rPr>
      <w:vertAlign w:val="superscript"/>
    </w:rPr>
  </w:style>
  <w:style w:type="paragraph" w:customStyle="1" w:styleId="Meetingtitle">
    <w:name w:val="Meeting title"/>
    <w:basedOn w:val="a0"/>
    <w:next w:val="a0"/>
    <w:rsid w:val="00A2140F"/>
    <w:pPr>
      <w:spacing w:line="336" w:lineRule="exact"/>
      <w:ind w:left="1021"/>
    </w:pPr>
    <w:rPr>
      <w:rFonts w:cs="Times New Roman"/>
      <w:b/>
      <w:sz w:val="28"/>
      <w:lang w:eastAsia="en-US"/>
    </w:rPr>
  </w:style>
  <w:style w:type="paragraph" w:customStyle="1" w:styleId="Meetingplacedate">
    <w:name w:val="Meeting place &amp; date"/>
    <w:basedOn w:val="a0"/>
    <w:next w:val="a0"/>
    <w:rsid w:val="00A2140F"/>
    <w:pPr>
      <w:spacing w:line="336" w:lineRule="exact"/>
      <w:ind w:left="1021"/>
    </w:pPr>
    <w:rPr>
      <w:rFonts w:cs="Times New Roman"/>
      <w:b/>
      <w:sz w:val="24"/>
      <w:lang w:eastAsia="en-US"/>
    </w:rPr>
  </w:style>
  <w:style w:type="paragraph" w:styleId="af">
    <w:name w:val="List Paragraph"/>
    <w:basedOn w:val="a0"/>
    <w:uiPriority w:val="34"/>
    <w:qFormat/>
    <w:rsid w:val="00C347C2"/>
    <w:pPr>
      <w:ind w:firstLineChars="200" w:firstLine="420"/>
    </w:pPr>
  </w:style>
  <w:style w:type="paragraph" w:styleId="af0">
    <w:name w:val="Balloon Text"/>
    <w:basedOn w:val="a0"/>
    <w:link w:val="Char"/>
    <w:uiPriority w:val="99"/>
    <w:semiHidden/>
    <w:unhideWhenUsed/>
    <w:rsid w:val="00194032"/>
    <w:rPr>
      <w:sz w:val="18"/>
      <w:szCs w:val="18"/>
    </w:rPr>
  </w:style>
  <w:style w:type="character" w:customStyle="1" w:styleId="Char">
    <w:name w:val="批注框文本 Char"/>
    <w:basedOn w:val="a1"/>
    <w:link w:val="af0"/>
    <w:uiPriority w:val="99"/>
    <w:semiHidden/>
    <w:rsid w:val="00194032"/>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rFonts w:ascii="Arial" w:hAnsi="Arial" w:cs="Arial"/>
      <w:sz w:val="22"/>
    </w:rPr>
  </w:style>
  <w:style w:type="paragraph" w:styleId="1">
    <w:name w:val="heading 1"/>
    <w:basedOn w:val="a0"/>
    <w:next w:val="a0"/>
    <w:qFormat/>
    <w:pPr>
      <w:keepNext/>
      <w:spacing w:before="240" w:after="60"/>
      <w:outlineLvl w:val="0"/>
    </w:pPr>
    <w:rPr>
      <w:b/>
      <w:bCs/>
      <w:caps/>
      <w:kern w:val="32"/>
      <w:szCs w:val="32"/>
    </w:rPr>
  </w:style>
  <w:style w:type="paragraph" w:styleId="2">
    <w:name w:val="heading 2"/>
    <w:basedOn w:val="a0"/>
    <w:next w:val="a0"/>
    <w:qFormat/>
    <w:pPr>
      <w:keepNext/>
      <w:spacing w:before="240" w:after="60"/>
      <w:outlineLvl w:val="1"/>
    </w:pPr>
    <w:rPr>
      <w:bCs/>
      <w:iCs/>
      <w:caps/>
      <w:szCs w:val="28"/>
    </w:rPr>
  </w:style>
  <w:style w:type="paragraph" w:styleId="3">
    <w:name w:val="heading 3"/>
    <w:basedOn w:val="a0"/>
    <w:next w:val="a0"/>
    <w:qFormat/>
    <w:pPr>
      <w:keepNext/>
      <w:spacing w:before="240" w:after="60"/>
      <w:outlineLvl w:val="2"/>
    </w:pPr>
    <w:rPr>
      <w:bCs/>
      <w:szCs w:val="26"/>
      <w:u w:val="single"/>
    </w:rPr>
  </w:style>
  <w:style w:type="paragraph" w:styleId="4">
    <w:name w:val="heading 4"/>
    <w:basedOn w:val="a0"/>
    <w:next w:val="a0"/>
    <w:qFormat/>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pPr>
      <w:ind w:left="5534"/>
    </w:pPr>
  </w:style>
  <w:style w:type="paragraph" w:styleId="a4">
    <w:name w:val="Body Text"/>
    <w:basedOn w:val="a0"/>
    <w:semiHidden/>
    <w:pPr>
      <w:spacing w:after="220"/>
    </w:pPr>
  </w:style>
  <w:style w:type="paragraph" w:styleId="a5">
    <w:name w:val="caption"/>
    <w:basedOn w:val="a0"/>
    <w:next w:val="a0"/>
    <w:qFormat/>
    <w:rPr>
      <w:b/>
      <w:bCs/>
      <w:sz w:val="18"/>
    </w:rPr>
  </w:style>
  <w:style w:type="paragraph" w:styleId="a6">
    <w:name w:val="annotation text"/>
    <w:basedOn w:val="a0"/>
    <w:semiHidden/>
    <w:rPr>
      <w:sz w:val="18"/>
    </w:rPr>
  </w:style>
  <w:style w:type="paragraph" w:styleId="a7">
    <w:name w:val="endnote text"/>
    <w:basedOn w:val="a0"/>
    <w:semiHidden/>
    <w:rPr>
      <w:sz w:val="18"/>
    </w:rPr>
  </w:style>
  <w:style w:type="paragraph" w:styleId="a8">
    <w:name w:val="footer"/>
    <w:basedOn w:val="a0"/>
    <w:semiHidden/>
    <w:pPr>
      <w:tabs>
        <w:tab w:val="center" w:pos="4320"/>
        <w:tab w:val="right" w:pos="8640"/>
      </w:tabs>
    </w:pPr>
  </w:style>
  <w:style w:type="paragraph" w:customStyle="1" w:styleId="10">
    <w:name w:val="批注框文本1"/>
    <w:basedOn w:val="a0"/>
    <w:semiHidden/>
    <w:rPr>
      <w:rFonts w:ascii="Tahoma" w:hAnsi="Tahoma" w:cs="Tahoma"/>
      <w:sz w:val="16"/>
      <w:szCs w:val="16"/>
    </w:rPr>
  </w:style>
  <w:style w:type="paragraph" w:styleId="a9">
    <w:name w:val="footnote text"/>
    <w:basedOn w:val="a0"/>
    <w:semiHidden/>
    <w:rPr>
      <w:sz w:val="18"/>
    </w:rPr>
  </w:style>
  <w:style w:type="paragraph" w:styleId="aa">
    <w:name w:val="header"/>
    <w:basedOn w:val="a0"/>
    <w:semiHidden/>
    <w:pPr>
      <w:tabs>
        <w:tab w:val="center" w:pos="4536"/>
        <w:tab w:val="right" w:pos="9072"/>
      </w:tabs>
    </w:pPr>
  </w:style>
  <w:style w:type="paragraph" w:styleId="a">
    <w:name w:val="List Number"/>
    <w:basedOn w:val="a0"/>
    <w:semiHidden/>
    <w:pPr>
      <w:numPr>
        <w:numId w:val="4"/>
      </w:numPr>
    </w:pPr>
  </w:style>
  <w:style w:type="paragraph" w:customStyle="1" w:styleId="ONUME">
    <w:name w:val="ONUM E"/>
    <w:basedOn w:val="a4"/>
    <w:pPr>
      <w:numPr>
        <w:numId w:val="5"/>
      </w:numPr>
    </w:pPr>
  </w:style>
  <w:style w:type="paragraph" w:customStyle="1" w:styleId="ONUMFS">
    <w:name w:val="ONUM FS"/>
    <w:basedOn w:val="a4"/>
    <w:pPr>
      <w:numPr>
        <w:numId w:val="6"/>
      </w:numPr>
    </w:pPr>
  </w:style>
  <w:style w:type="paragraph" w:styleId="ab">
    <w:name w:val="Salutation"/>
    <w:basedOn w:val="a0"/>
    <w:next w:val="a0"/>
    <w:semiHidden/>
  </w:style>
  <w:style w:type="paragraph" w:styleId="ac">
    <w:name w:val="Signature"/>
    <w:basedOn w:val="a0"/>
    <w:semiHidden/>
    <w:pPr>
      <w:ind w:left="5250"/>
    </w:pPr>
  </w:style>
  <w:style w:type="character" w:styleId="ad">
    <w:name w:val="Hyperlink"/>
    <w:semiHidden/>
    <w:rPr>
      <w:color w:val="0000FF"/>
      <w:u w:val="single"/>
    </w:rPr>
  </w:style>
  <w:style w:type="character" w:styleId="ae">
    <w:name w:val="footnote reference"/>
    <w:semiHidden/>
    <w:rPr>
      <w:vertAlign w:val="superscript"/>
    </w:rPr>
  </w:style>
  <w:style w:type="paragraph" w:customStyle="1" w:styleId="Meetingtitle">
    <w:name w:val="Meeting title"/>
    <w:basedOn w:val="a0"/>
    <w:next w:val="a0"/>
    <w:rsid w:val="00A2140F"/>
    <w:pPr>
      <w:spacing w:line="336" w:lineRule="exact"/>
      <w:ind w:left="1021"/>
    </w:pPr>
    <w:rPr>
      <w:rFonts w:cs="Times New Roman"/>
      <w:b/>
      <w:sz w:val="28"/>
      <w:lang w:eastAsia="en-US"/>
    </w:rPr>
  </w:style>
  <w:style w:type="paragraph" w:customStyle="1" w:styleId="Meetingplacedate">
    <w:name w:val="Meeting place &amp; date"/>
    <w:basedOn w:val="a0"/>
    <w:next w:val="a0"/>
    <w:rsid w:val="00A2140F"/>
    <w:pPr>
      <w:spacing w:line="336" w:lineRule="exact"/>
      <w:ind w:left="1021"/>
    </w:pPr>
    <w:rPr>
      <w:rFonts w:cs="Times New Roman"/>
      <w:b/>
      <w:sz w:val="24"/>
      <w:lang w:eastAsia="en-US"/>
    </w:rPr>
  </w:style>
  <w:style w:type="paragraph" w:styleId="af">
    <w:name w:val="List Paragraph"/>
    <w:basedOn w:val="a0"/>
    <w:uiPriority w:val="34"/>
    <w:qFormat/>
    <w:rsid w:val="00C347C2"/>
    <w:pPr>
      <w:ind w:firstLineChars="200" w:firstLine="420"/>
    </w:pPr>
  </w:style>
  <w:style w:type="paragraph" w:styleId="af0">
    <w:name w:val="Balloon Text"/>
    <w:basedOn w:val="a0"/>
    <w:link w:val="Char"/>
    <w:uiPriority w:val="99"/>
    <w:semiHidden/>
    <w:unhideWhenUsed/>
    <w:rsid w:val="00194032"/>
    <w:rPr>
      <w:sz w:val="18"/>
      <w:szCs w:val="18"/>
    </w:rPr>
  </w:style>
  <w:style w:type="character" w:customStyle="1" w:styleId="Char">
    <w:name w:val="批注框文本 Char"/>
    <w:basedOn w:val="a1"/>
    <w:link w:val="af0"/>
    <w:uiPriority w:val="99"/>
    <w:semiHidden/>
    <w:rsid w:val="00194032"/>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speeches/g8-impact-investment-event" TargetMode="External"/><Relationship Id="rId2" Type="http://schemas.openxmlformats.org/officeDocument/2006/relationships/hyperlink" Target="https://www.gov.uk/government/policies/helping-developing-countries-economies-to-grow/supporting-pages/helping-developing-countries-to-remove-barriers-to-trade-and-investment" TargetMode="External"/><Relationship Id="rId1" Type="http://schemas.openxmlformats.org/officeDocument/2006/relationships/hyperlink" Target="http://www.uspto.gov/patents/init_events/patents_for_humanity.js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B467D-6BE3-423F-8BB1-E520E88FD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1011</Words>
  <Characters>5765</Characters>
  <Application>Microsoft Office Word</Application>
  <DocSecurity>0</DocSecurity>
  <Lines>48</Lines>
  <Paragraphs>13</Paragraphs>
  <ScaleCrop>false</ScaleCrop>
  <Company/>
  <LinksUpToDate>false</LinksUpToDate>
  <CharactersWithSpaces>6763</CharactersWithSpaces>
  <SharedDoc>false</SharedDoc>
  <HLinks>
    <vt:vector size="30" baseType="variant">
      <vt:variant>
        <vt:i4>4915264</vt:i4>
      </vt:variant>
      <vt:variant>
        <vt:i4>12</vt:i4>
      </vt:variant>
      <vt:variant>
        <vt:i4>0</vt:i4>
      </vt:variant>
      <vt:variant>
        <vt:i4>5</vt:i4>
      </vt:variant>
      <vt:variant>
        <vt:lpwstr>https://www.gov.uk/government/speeches/g8-impact-investment-event</vt:lpwstr>
      </vt:variant>
      <vt:variant>
        <vt:lpwstr/>
      </vt:variant>
      <vt:variant>
        <vt:i4>2949245</vt:i4>
      </vt:variant>
      <vt:variant>
        <vt:i4>9</vt:i4>
      </vt:variant>
      <vt:variant>
        <vt:i4>0</vt:i4>
      </vt:variant>
      <vt:variant>
        <vt:i4>5</vt:i4>
      </vt:variant>
      <vt:variant>
        <vt:lpwstr>https://www.gov.uk/government/policies/helping-developing-countries-economies-to-grow/supporting-pages/helping-developing-countries-to-remove-barriers-to-trade-and-investment</vt:lpwstr>
      </vt:variant>
      <vt:variant>
        <vt:lpwstr/>
      </vt:variant>
      <vt:variant>
        <vt:i4>3276886</vt:i4>
      </vt:variant>
      <vt:variant>
        <vt:i4>6</vt:i4>
      </vt:variant>
      <vt:variant>
        <vt:i4>0</vt:i4>
      </vt:variant>
      <vt:variant>
        <vt:i4>5</vt:i4>
      </vt:variant>
      <vt:variant>
        <vt:lpwstr>http://www.uspto.gov/patents/init_events/patents_for_humanity.jsp</vt:lpwstr>
      </vt:variant>
      <vt:variant>
        <vt:lpwstr/>
      </vt:variant>
      <vt:variant>
        <vt:i4>5046303</vt:i4>
      </vt:variant>
      <vt:variant>
        <vt:i4>3</vt:i4>
      </vt:variant>
      <vt:variant>
        <vt:i4>0</vt:i4>
      </vt:variant>
      <vt:variant>
        <vt:i4>5</vt:i4>
      </vt:variant>
      <vt:variant>
        <vt:lpwstr>http://www.autm.net/FAQs.htm</vt:lpwstr>
      </vt:variant>
      <vt:variant>
        <vt:lpwstr/>
      </vt:variant>
      <vt:variant>
        <vt:i4>6750250</vt:i4>
      </vt:variant>
      <vt:variant>
        <vt:i4>0</vt:i4>
      </vt:variant>
      <vt:variant>
        <vt:i4>0</vt:i4>
      </vt:variant>
      <vt:variant>
        <vt:i4>5</vt:i4>
      </vt:variant>
      <vt:variant>
        <vt:lpwstr>http://www.moital.gov.il/CmsTamat/Rsrc/MadaanEnglish/MadaanEnglish.html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2014-01-07T10:37:00Z</dcterms:created>
  <dcterms:modified xsi:type="dcterms:W3CDTF">2014-01-07T11:52:00Z</dcterms:modified>
</cp:coreProperties>
</file>