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25B55EF7"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501DC4">
        <w:rPr>
          <w:rFonts w:ascii="Arial Black" w:hAnsi="Arial Black"/>
          <w:b/>
          <w:caps/>
          <w:sz w:val="15"/>
        </w:rPr>
        <w:t>6</w:t>
      </w:r>
    </w:p>
    <w:bookmarkEnd w:id="0"/>
    <w:p w14:paraId="5075208A" w14:textId="79ACD34F"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r w:rsidR="008C0AC9">
        <w:rPr>
          <w:rFonts w:eastAsia="SimHei"/>
          <w:b/>
          <w:sz w:val="15"/>
          <w:szCs w:val="15"/>
        </w:rPr>
        <w:t>/</w:t>
      </w:r>
      <w:r w:rsidR="008C0AC9">
        <w:rPr>
          <w:rFonts w:eastAsia="SimHei" w:hint="eastAsia"/>
          <w:b/>
          <w:sz w:val="15"/>
          <w:szCs w:val="15"/>
        </w:rPr>
        <w:t>西班牙</w:t>
      </w:r>
      <w:r w:rsidR="003278A4">
        <w:rPr>
          <w:rFonts w:eastAsia="SimHei" w:hint="eastAsia"/>
          <w:b/>
          <w:sz w:val="15"/>
          <w:szCs w:val="15"/>
        </w:rPr>
        <w:t>文</w:t>
      </w:r>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012A98F"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F310FB" w:rsidRPr="00F310FB">
        <w:rPr>
          <w:rFonts w:ascii="KaiTi" w:eastAsia="KaiTi" w:hAnsi="KaiTi" w:cs="Times New Roman" w:hint="eastAsia"/>
          <w:sz w:val="24"/>
          <w:szCs w:val="22"/>
        </w:rPr>
        <w:t>智利国家工业产权局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3952E505"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w:t>
      </w:r>
      <w:r w:rsidR="00C2437D">
        <w:rPr>
          <w:rFonts w:ascii="SimSun" w:hAnsi="SimSun" w:hint="eastAsia"/>
        </w:rPr>
        <w:t>19</w:t>
      </w:r>
      <w:r w:rsidRPr="00E47C64">
        <w:rPr>
          <w:rFonts w:ascii="SimSun" w:hAnsi="SimSun" w:hint="eastAsia"/>
        </w:rPr>
        <w:t>日，</w:t>
      </w:r>
      <w:bookmarkStart w:id="5" w:name="_Hlk219104234"/>
      <w:r w:rsidR="00C2437D" w:rsidRPr="00C2437D">
        <w:rPr>
          <w:rFonts w:ascii="SimSun" w:hAnsi="SimSun" w:hint="eastAsia"/>
        </w:rPr>
        <w:t>智利国家工业产权局</w:t>
      </w:r>
      <w:r w:rsidR="00C2437D">
        <w:rPr>
          <w:rFonts w:ascii="SimSun" w:hAnsi="SimSun" w:hint="eastAsia"/>
        </w:rPr>
        <w:t>（INAPI）</w:t>
      </w:r>
      <w:bookmarkEnd w:id="5"/>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257AC70D" w:rsidR="00E47C64" w:rsidRPr="00E47C64" w:rsidRDefault="00B20C86" w:rsidP="00BE1156">
      <w:pPr>
        <w:spacing w:afterLines="100" w:after="240" w:line="340" w:lineRule="atLeast"/>
        <w:ind w:left="567"/>
        <w:rPr>
          <w:rFonts w:ascii="SimSun" w:hAnsi="SimSun"/>
        </w:rPr>
      </w:pPr>
      <w:r w:rsidRPr="00B20C86">
        <w:rPr>
          <w:rFonts w:ascii="SimSun" w:hAnsi="SimSun" w:hint="eastAsia"/>
        </w:rPr>
        <w:t>智利国家工业产权局（INAPI）</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386B54F0" w14:textId="53328A16" w:rsidR="00635FFC" w:rsidRPr="003A0E24" w:rsidRDefault="003A0E24" w:rsidP="00635FFC">
      <w:pPr>
        <w:spacing w:afterLines="100" w:after="240" w:line="340" w:lineRule="atLeast"/>
        <w:ind w:left="567"/>
        <w:rPr>
          <w:rFonts w:ascii="SimSun" w:hAnsi="SimSun"/>
        </w:rPr>
      </w:pPr>
      <w:bookmarkStart w:id="6" w:name="_Hlk217048867"/>
      <w:r w:rsidRPr="00B20C86">
        <w:rPr>
          <w:rFonts w:ascii="SimSun" w:hAnsi="SimSun"/>
        </w:rPr>
        <w:t>Henry Crew</w:t>
      </w:r>
      <w:r>
        <w:rPr>
          <w:rFonts w:ascii="SimSun" w:hAnsi="SimSun" w:hint="eastAsia"/>
        </w:rPr>
        <w:t>，</w:t>
      </w:r>
      <w:r w:rsidR="009D2CF9" w:rsidRPr="009D2CF9">
        <w:rPr>
          <w:rFonts w:ascii="SimSun" w:hAnsi="SimSun" w:hint="eastAsia"/>
        </w:rPr>
        <w:t>智利国家工业产权局</w:t>
      </w:r>
      <w:r w:rsidR="00B20C86" w:rsidRPr="00B20C86">
        <w:rPr>
          <w:rFonts w:ascii="SimSun" w:hAnsi="SimSun" w:hint="eastAsia"/>
        </w:rPr>
        <w:t>PCT部门主管，</w:t>
      </w:r>
      <w:r w:rsidR="009D2CF9">
        <w:fldChar w:fldCharType="begin"/>
      </w:r>
      <w:r w:rsidR="009D2CF9">
        <w:instrText>HYPERLINK "mailto:hcrew@inapi.cl"</w:instrText>
      </w:r>
      <w:r w:rsidR="009D2CF9">
        <w:fldChar w:fldCharType="separate"/>
      </w:r>
      <w:r w:rsidR="009D2CF9" w:rsidRPr="00F53B06">
        <w:rPr>
          <w:rStyle w:val="Hyperlink"/>
          <w:rFonts w:ascii="SimSun" w:hAnsi="SimSun" w:hint="eastAsia"/>
        </w:rPr>
        <w:t>hcrew@inapi.cl</w:t>
      </w:r>
      <w:r w:rsidR="009D2CF9">
        <w:fldChar w:fldCharType="end"/>
      </w:r>
    </w:p>
    <w:bookmarkEnd w:id="6"/>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633C3DD3"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2025年11月</w:t>
      </w:r>
      <w:r w:rsidR="009D2CF9">
        <w:rPr>
          <w:rFonts w:ascii="SimSun" w:hAnsi="SimSun" w:hint="eastAsia"/>
        </w:rPr>
        <w:t>19</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136CB889"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9D2CF9">
        <w:fldChar w:fldCharType="begin"/>
      </w:r>
      <w:r w:rsidR="009D2CF9">
        <w:instrText>HYPERLINK "https://www.wipo.int/en/web/pct-system/quality/authorities" \l "CL"</w:instrText>
      </w:r>
      <w:r w:rsidR="009D2CF9">
        <w:fldChar w:fldCharType="separate"/>
      </w:r>
      <w:r w:rsidR="009D2CF9" w:rsidRPr="00373544">
        <w:rPr>
          <w:rStyle w:val="Hyperlink"/>
          <w:rFonts w:ascii="SimSun" w:hAnsi="SimSun"/>
        </w:rPr>
        <w:t>https://www.wipo.int/en/web/pct-system/quality/authorities#CL</w:t>
      </w:r>
      <w:r w:rsidR="009D2CF9">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11847EFE" w:rsid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W w:w="7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310"/>
        <w:gridCol w:w="2595"/>
      </w:tblGrid>
      <w:tr w:rsidR="006B6D7C" w14:paraId="1ABE9BF2" w14:textId="77777777" w:rsidTr="00051817">
        <w:trPr>
          <w:cantSplit/>
          <w:tblHeader/>
        </w:trPr>
        <w:tc>
          <w:tcPr>
            <w:tcW w:w="3015" w:type="dxa"/>
            <w:tcBorders>
              <w:top w:val="single" w:sz="4" w:space="0" w:color="000000"/>
              <w:left w:val="single" w:sz="4" w:space="0" w:color="000000"/>
              <w:bottom w:val="single" w:sz="4" w:space="0" w:color="000000"/>
              <w:right w:val="single" w:sz="4" w:space="0" w:color="000000"/>
            </w:tcBorders>
          </w:tcPr>
          <w:p w14:paraId="53F4FCD5" w14:textId="3C8181C9" w:rsidR="006B6D7C" w:rsidRDefault="006B6D7C" w:rsidP="006B6D7C">
            <w:pPr>
              <w:keepNext/>
              <w:keepLines/>
              <w:rPr>
                <w:b/>
              </w:rPr>
            </w:pPr>
            <w:r w:rsidRPr="002B70E7">
              <w:rPr>
                <w:rFonts w:ascii="SimSun" w:hAnsi="SimSun" w:hint="eastAsia"/>
                <w:b/>
                <w:bCs/>
                <w:szCs w:val="22"/>
                <w:lang w:bidi="he-IL"/>
              </w:rPr>
              <w:t>技术领域</w:t>
            </w:r>
          </w:p>
        </w:tc>
        <w:tc>
          <w:tcPr>
            <w:tcW w:w="2310" w:type="dxa"/>
            <w:tcBorders>
              <w:top w:val="single" w:sz="4" w:space="0" w:color="000000"/>
              <w:left w:val="single" w:sz="4" w:space="0" w:color="000000"/>
              <w:bottom w:val="single" w:sz="4" w:space="0" w:color="000000"/>
              <w:right w:val="single" w:sz="4" w:space="0" w:color="000000"/>
            </w:tcBorders>
          </w:tcPr>
          <w:p w14:paraId="78946B4A" w14:textId="36181B05" w:rsidR="006B6D7C" w:rsidRDefault="006B6D7C" w:rsidP="006B6D7C">
            <w:pPr>
              <w:keepNext/>
              <w:keepLines/>
              <w:rPr>
                <w:b/>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595" w:type="dxa"/>
            <w:tcBorders>
              <w:top w:val="single" w:sz="4" w:space="0" w:color="000000"/>
              <w:left w:val="single" w:sz="4" w:space="0" w:color="000000"/>
              <w:bottom w:val="single" w:sz="4" w:space="0" w:color="000000"/>
              <w:right w:val="single" w:sz="4" w:space="0" w:color="000000"/>
            </w:tcBorders>
          </w:tcPr>
          <w:p w14:paraId="70E4F602" w14:textId="5B897F25" w:rsidR="006B6D7C" w:rsidRDefault="006B6D7C" w:rsidP="006B6D7C">
            <w:pPr>
              <w:keepNext/>
              <w:keepLines/>
              <w:rPr>
                <w:b/>
              </w:rPr>
            </w:pPr>
            <w:r w:rsidRPr="002B70E7">
              <w:rPr>
                <w:rFonts w:ascii="SimSun" w:hAnsi="SimSun" w:hint="eastAsia"/>
                <w:b/>
                <w:bCs/>
                <w:lang w:bidi="he-IL"/>
              </w:rPr>
              <w:t>平均审查经验（年）</w:t>
            </w:r>
          </w:p>
        </w:tc>
      </w:tr>
      <w:tr w:rsidR="006B6D7C" w14:paraId="2727AB68"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1D715813" w14:textId="3C7ACC51" w:rsidR="006B6D7C" w:rsidRDefault="006B6D7C" w:rsidP="006B6D7C">
            <w:pPr>
              <w:keepNext/>
              <w:keepLines/>
            </w:pPr>
            <w:r w:rsidRPr="002B70E7">
              <w:rPr>
                <w:rFonts w:ascii="SimSun" w:hAnsi="SimSun" w:hint="eastAsia"/>
              </w:rPr>
              <w:t>机械</w:t>
            </w:r>
          </w:p>
        </w:tc>
        <w:tc>
          <w:tcPr>
            <w:tcW w:w="2310" w:type="dxa"/>
            <w:tcBorders>
              <w:top w:val="single" w:sz="4" w:space="0" w:color="000000"/>
              <w:left w:val="single" w:sz="4" w:space="0" w:color="000000"/>
              <w:bottom w:val="single" w:sz="4" w:space="0" w:color="000000"/>
              <w:right w:val="single" w:sz="4" w:space="0" w:color="000000"/>
            </w:tcBorders>
          </w:tcPr>
          <w:p w14:paraId="204C9D7B" w14:textId="77777777" w:rsidR="006B6D7C" w:rsidRPr="003A0E24" w:rsidRDefault="006B6D7C" w:rsidP="006B6D7C">
            <w:pPr>
              <w:keepNext/>
              <w:keepLines/>
              <w:rPr>
                <w:rFonts w:ascii="SimSun" w:hAnsi="SimSun"/>
                <w:color w:val="000000"/>
              </w:rPr>
            </w:pPr>
            <w:r w:rsidRPr="003A0E24">
              <w:rPr>
                <w:rFonts w:ascii="SimSun" w:hAnsi="SimSun"/>
                <w:color w:val="000000"/>
              </w:rPr>
              <w:t>25</w:t>
            </w:r>
          </w:p>
        </w:tc>
        <w:tc>
          <w:tcPr>
            <w:tcW w:w="2595" w:type="dxa"/>
            <w:tcBorders>
              <w:top w:val="single" w:sz="4" w:space="0" w:color="000000"/>
              <w:left w:val="single" w:sz="4" w:space="0" w:color="000000"/>
              <w:bottom w:val="single" w:sz="4" w:space="0" w:color="000000"/>
              <w:right w:val="single" w:sz="4" w:space="0" w:color="000000"/>
            </w:tcBorders>
          </w:tcPr>
          <w:p w14:paraId="36424396" w14:textId="77777777" w:rsidR="006B6D7C" w:rsidRPr="003A0E24" w:rsidRDefault="006B6D7C" w:rsidP="006B6D7C">
            <w:pPr>
              <w:keepNext/>
              <w:keepLines/>
              <w:rPr>
                <w:rFonts w:ascii="SimSun" w:hAnsi="SimSun"/>
                <w:color w:val="000000"/>
              </w:rPr>
            </w:pPr>
            <w:r w:rsidRPr="003A0E24">
              <w:rPr>
                <w:rFonts w:ascii="SimSun" w:hAnsi="SimSun"/>
                <w:color w:val="000000"/>
              </w:rPr>
              <w:t>10.3</w:t>
            </w:r>
          </w:p>
        </w:tc>
      </w:tr>
      <w:tr w:rsidR="006B6D7C" w14:paraId="21673977"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37E78D6C" w14:textId="009CC471" w:rsidR="006B6D7C" w:rsidRDefault="006B6D7C" w:rsidP="006B6D7C">
            <w:pPr>
              <w:keepNext/>
              <w:keepLines/>
            </w:pPr>
            <w:r w:rsidRPr="002B70E7">
              <w:rPr>
                <w:rFonts w:ascii="SimSun" w:hAnsi="SimSun" w:hint="eastAsia"/>
              </w:rPr>
              <w:t>电气/电子</w:t>
            </w:r>
          </w:p>
        </w:tc>
        <w:tc>
          <w:tcPr>
            <w:tcW w:w="2310" w:type="dxa"/>
            <w:tcBorders>
              <w:top w:val="single" w:sz="4" w:space="0" w:color="000000"/>
              <w:left w:val="single" w:sz="4" w:space="0" w:color="000000"/>
              <w:bottom w:val="single" w:sz="4" w:space="0" w:color="000000"/>
              <w:right w:val="single" w:sz="4" w:space="0" w:color="000000"/>
            </w:tcBorders>
          </w:tcPr>
          <w:p w14:paraId="49293D81" w14:textId="77777777" w:rsidR="006B6D7C" w:rsidRPr="003A0E24" w:rsidRDefault="006B6D7C" w:rsidP="006B6D7C">
            <w:pPr>
              <w:keepNext/>
              <w:keepLines/>
              <w:rPr>
                <w:rFonts w:ascii="SimSun" w:hAnsi="SimSun"/>
                <w:color w:val="000000"/>
              </w:rPr>
            </w:pPr>
            <w:r w:rsidRPr="003A0E24">
              <w:rPr>
                <w:rFonts w:ascii="SimSun" w:hAnsi="SimSun"/>
                <w:color w:val="000000"/>
              </w:rPr>
              <w:t>14</w:t>
            </w:r>
          </w:p>
        </w:tc>
        <w:tc>
          <w:tcPr>
            <w:tcW w:w="2595" w:type="dxa"/>
            <w:tcBorders>
              <w:top w:val="single" w:sz="4" w:space="0" w:color="000000"/>
              <w:left w:val="single" w:sz="4" w:space="0" w:color="000000"/>
              <w:bottom w:val="single" w:sz="4" w:space="0" w:color="000000"/>
              <w:right w:val="single" w:sz="4" w:space="0" w:color="000000"/>
            </w:tcBorders>
          </w:tcPr>
          <w:p w14:paraId="4E294C76" w14:textId="77777777" w:rsidR="006B6D7C" w:rsidRPr="003A0E24" w:rsidRDefault="006B6D7C" w:rsidP="006B6D7C">
            <w:pPr>
              <w:keepNext/>
              <w:keepLines/>
              <w:rPr>
                <w:rFonts w:ascii="SimSun" w:hAnsi="SimSun"/>
                <w:color w:val="000000"/>
              </w:rPr>
            </w:pPr>
            <w:r w:rsidRPr="003A0E24">
              <w:rPr>
                <w:rFonts w:ascii="SimSun" w:hAnsi="SimSun"/>
                <w:color w:val="000000"/>
              </w:rPr>
              <w:t>8.5</w:t>
            </w:r>
          </w:p>
        </w:tc>
      </w:tr>
      <w:tr w:rsidR="006B6D7C" w14:paraId="7A7722C0"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1014419B" w14:textId="5EE841DB" w:rsidR="006B6D7C" w:rsidRDefault="006B6D7C" w:rsidP="00051817">
            <w:pPr>
              <w:keepNext/>
              <w:keepLines/>
            </w:pPr>
            <w:r w:rsidRPr="006B6D7C">
              <w:rPr>
                <w:rFonts w:hint="eastAsia"/>
              </w:rPr>
              <w:t>制药</w:t>
            </w:r>
          </w:p>
        </w:tc>
        <w:tc>
          <w:tcPr>
            <w:tcW w:w="2310" w:type="dxa"/>
            <w:tcBorders>
              <w:top w:val="single" w:sz="4" w:space="0" w:color="000000"/>
              <w:left w:val="single" w:sz="4" w:space="0" w:color="000000"/>
              <w:bottom w:val="single" w:sz="4" w:space="0" w:color="000000"/>
              <w:right w:val="single" w:sz="4" w:space="0" w:color="000000"/>
            </w:tcBorders>
          </w:tcPr>
          <w:p w14:paraId="742593B3" w14:textId="77777777" w:rsidR="006B6D7C" w:rsidRPr="003A0E24" w:rsidRDefault="006B6D7C" w:rsidP="00051817">
            <w:pPr>
              <w:keepNext/>
              <w:keepLines/>
              <w:rPr>
                <w:rFonts w:ascii="SimSun" w:hAnsi="SimSun"/>
                <w:color w:val="000000"/>
              </w:rPr>
            </w:pPr>
            <w:r w:rsidRPr="003A0E24">
              <w:rPr>
                <w:rFonts w:ascii="SimSun" w:hAnsi="SimSun"/>
                <w:color w:val="000000"/>
              </w:rPr>
              <w:t>24</w:t>
            </w:r>
          </w:p>
        </w:tc>
        <w:tc>
          <w:tcPr>
            <w:tcW w:w="2595" w:type="dxa"/>
            <w:tcBorders>
              <w:top w:val="single" w:sz="4" w:space="0" w:color="000000"/>
              <w:left w:val="single" w:sz="4" w:space="0" w:color="000000"/>
              <w:bottom w:val="single" w:sz="4" w:space="0" w:color="000000"/>
              <w:right w:val="single" w:sz="4" w:space="0" w:color="000000"/>
            </w:tcBorders>
          </w:tcPr>
          <w:p w14:paraId="60A0234D" w14:textId="77777777" w:rsidR="006B6D7C" w:rsidRPr="003A0E24" w:rsidRDefault="006B6D7C" w:rsidP="00051817">
            <w:pPr>
              <w:keepNext/>
              <w:keepLines/>
              <w:rPr>
                <w:rFonts w:ascii="SimSun" w:hAnsi="SimSun"/>
                <w:color w:val="000000"/>
              </w:rPr>
            </w:pPr>
            <w:r w:rsidRPr="003A0E24">
              <w:rPr>
                <w:rFonts w:ascii="SimSun" w:hAnsi="SimSun"/>
                <w:color w:val="000000"/>
              </w:rPr>
              <w:t>12.6</w:t>
            </w:r>
          </w:p>
        </w:tc>
      </w:tr>
      <w:tr w:rsidR="006B6D7C" w14:paraId="07F40FA1"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477D2187" w14:textId="57DC5686" w:rsidR="006B6D7C" w:rsidRDefault="006B6D7C" w:rsidP="006B6D7C">
            <w:pPr>
              <w:keepNext/>
              <w:keepLines/>
            </w:pPr>
            <w:r w:rsidRPr="002B70E7">
              <w:rPr>
                <w:rFonts w:ascii="SimSun" w:hAnsi="SimSun" w:hint="eastAsia"/>
              </w:rPr>
              <w:t>化学</w:t>
            </w:r>
          </w:p>
        </w:tc>
        <w:tc>
          <w:tcPr>
            <w:tcW w:w="2310" w:type="dxa"/>
            <w:tcBorders>
              <w:top w:val="single" w:sz="4" w:space="0" w:color="000000"/>
              <w:left w:val="single" w:sz="4" w:space="0" w:color="000000"/>
              <w:bottom w:val="single" w:sz="4" w:space="0" w:color="000000"/>
              <w:right w:val="single" w:sz="4" w:space="0" w:color="000000"/>
            </w:tcBorders>
          </w:tcPr>
          <w:p w14:paraId="267C0299" w14:textId="77777777" w:rsidR="006B6D7C" w:rsidRPr="003A0E24" w:rsidRDefault="006B6D7C" w:rsidP="006B6D7C">
            <w:pPr>
              <w:keepNext/>
              <w:keepLines/>
              <w:rPr>
                <w:rFonts w:ascii="SimSun" w:hAnsi="SimSun"/>
                <w:color w:val="000000"/>
              </w:rPr>
            </w:pPr>
            <w:r w:rsidRPr="003A0E24">
              <w:rPr>
                <w:rFonts w:ascii="SimSun" w:hAnsi="SimSun"/>
              </w:rPr>
              <w:t>19</w:t>
            </w:r>
          </w:p>
        </w:tc>
        <w:tc>
          <w:tcPr>
            <w:tcW w:w="2595" w:type="dxa"/>
            <w:tcBorders>
              <w:top w:val="single" w:sz="4" w:space="0" w:color="000000"/>
              <w:left w:val="single" w:sz="4" w:space="0" w:color="000000"/>
              <w:bottom w:val="single" w:sz="4" w:space="0" w:color="000000"/>
              <w:right w:val="single" w:sz="4" w:space="0" w:color="000000"/>
            </w:tcBorders>
          </w:tcPr>
          <w:p w14:paraId="7E7C7727" w14:textId="77777777" w:rsidR="006B6D7C" w:rsidRPr="003A0E24" w:rsidRDefault="006B6D7C" w:rsidP="006B6D7C">
            <w:pPr>
              <w:keepNext/>
              <w:keepLines/>
              <w:rPr>
                <w:rFonts w:ascii="SimSun" w:hAnsi="SimSun"/>
                <w:color w:val="000000"/>
              </w:rPr>
            </w:pPr>
            <w:r w:rsidRPr="003A0E24">
              <w:rPr>
                <w:rFonts w:ascii="SimSun" w:hAnsi="SimSun"/>
                <w:color w:val="000000"/>
              </w:rPr>
              <w:t>10.6</w:t>
            </w:r>
          </w:p>
        </w:tc>
      </w:tr>
      <w:tr w:rsidR="006B6D7C" w14:paraId="0DA59803"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39083BBA" w14:textId="2C1C4E27" w:rsidR="006B6D7C" w:rsidRDefault="006B6D7C" w:rsidP="006B6D7C">
            <w:pPr>
              <w:keepNext/>
              <w:keepLines/>
            </w:pPr>
            <w:r w:rsidRPr="002B70E7">
              <w:rPr>
                <w:rFonts w:ascii="SimSun" w:hAnsi="SimSun" w:hint="eastAsia"/>
              </w:rPr>
              <w:t>生物技术</w:t>
            </w:r>
          </w:p>
        </w:tc>
        <w:tc>
          <w:tcPr>
            <w:tcW w:w="2310" w:type="dxa"/>
            <w:tcBorders>
              <w:top w:val="single" w:sz="4" w:space="0" w:color="000000"/>
              <w:left w:val="single" w:sz="4" w:space="0" w:color="000000"/>
              <w:bottom w:val="single" w:sz="4" w:space="0" w:color="000000"/>
              <w:right w:val="single" w:sz="4" w:space="0" w:color="000000"/>
            </w:tcBorders>
          </w:tcPr>
          <w:p w14:paraId="0BE816CE" w14:textId="77777777" w:rsidR="006B6D7C" w:rsidRPr="003A0E24" w:rsidRDefault="006B6D7C" w:rsidP="006B6D7C">
            <w:pPr>
              <w:keepNext/>
              <w:keepLines/>
              <w:rPr>
                <w:rFonts w:ascii="SimSun" w:hAnsi="SimSun"/>
                <w:color w:val="000000"/>
              </w:rPr>
            </w:pPr>
            <w:r w:rsidRPr="003A0E24">
              <w:rPr>
                <w:rFonts w:ascii="SimSun" w:hAnsi="SimSun"/>
              </w:rPr>
              <w:t>25</w:t>
            </w:r>
          </w:p>
        </w:tc>
        <w:tc>
          <w:tcPr>
            <w:tcW w:w="2595" w:type="dxa"/>
            <w:tcBorders>
              <w:top w:val="single" w:sz="4" w:space="0" w:color="000000"/>
              <w:left w:val="single" w:sz="4" w:space="0" w:color="000000"/>
              <w:bottom w:val="single" w:sz="4" w:space="0" w:color="000000"/>
              <w:right w:val="single" w:sz="4" w:space="0" w:color="000000"/>
            </w:tcBorders>
          </w:tcPr>
          <w:p w14:paraId="61BF9435" w14:textId="77777777" w:rsidR="006B6D7C" w:rsidRPr="003A0E24" w:rsidRDefault="006B6D7C" w:rsidP="006B6D7C">
            <w:pPr>
              <w:keepNext/>
              <w:keepLines/>
              <w:rPr>
                <w:rFonts w:ascii="SimSun" w:hAnsi="SimSun"/>
                <w:color w:val="000000"/>
              </w:rPr>
            </w:pPr>
            <w:r w:rsidRPr="003A0E24">
              <w:rPr>
                <w:rFonts w:ascii="SimSun" w:hAnsi="SimSun"/>
                <w:color w:val="000000"/>
              </w:rPr>
              <w:t>7.4</w:t>
            </w:r>
          </w:p>
        </w:tc>
      </w:tr>
      <w:tr w:rsidR="006B6D7C" w14:paraId="24D4E634"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24C56E01" w14:textId="6A010982" w:rsidR="006B6D7C" w:rsidRDefault="006B6D7C" w:rsidP="00051817">
            <w:pPr>
              <w:keepLines/>
            </w:pPr>
            <w:r>
              <w:rPr>
                <w:rFonts w:hint="eastAsia"/>
              </w:rPr>
              <w:t>工业品外观设计</w:t>
            </w:r>
          </w:p>
        </w:tc>
        <w:tc>
          <w:tcPr>
            <w:tcW w:w="2310" w:type="dxa"/>
            <w:tcBorders>
              <w:top w:val="single" w:sz="4" w:space="0" w:color="000000"/>
              <w:left w:val="single" w:sz="4" w:space="0" w:color="000000"/>
              <w:bottom w:val="single" w:sz="4" w:space="0" w:color="000000"/>
              <w:right w:val="single" w:sz="4" w:space="0" w:color="000000"/>
            </w:tcBorders>
          </w:tcPr>
          <w:p w14:paraId="4519D7B5" w14:textId="77777777" w:rsidR="006B6D7C" w:rsidRPr="003A0E24" w:rsidRDefault="006B6D7C" w:rsidP="00051817">
            <w:pPr>
              <w:keepLines/>
              <w:rPr>
                <w:rFonts w:ascii="SimSun" w:hAnsi="SimSun"/>
                <w:color w:val="000000"/>
              </w:rPr>
            </w:pPr>
            <w:r w:rsidRPr="003A0E24">
              <w:rPr>
                <w:rFonts w:ascii="SimSun" w:hAnsi="SimSun"/>
                <w:color w:val="000000"/>
              </w:rPr>
              <w:t>5</w:t>
            </w:r>
          </w:p>
        </w:tc>
        <w:tc>
          <w:tcPr>
            <w:tcW w:w="2595" w:type="dxa"/>
            <w:tcBorders>
              <w:top w:val="single" w:sz="4" w:space="0" w:color="000000"/>
              <w:left w:val="single" w:sz="4" w:space="0" w:color="000000"/>
              <w:bottom w:val="single" w:sz="4" w:space="0" w:color="000000"/>
              <w:right w:val="single" w:sz="4" w:space="0" w:color="000000"/>
            </w:tcBorders>
          </w:tcPr>
          <w:p w14:paraId="0B750F34" w14:textId="77777777" w:rsidR="006B6D7C" w:rsidRPr="003A0E24" w:rsidRDefault="006B6D7C" w:rsidP="00051817">
            <w:pPr>
              <w:keepLines/>
              <w:rPr>
                <w:rFonts w:ascii="SimSun" w:hAnsi="SimSun"/>
                <w:color w:val="000000"/>
              </w:rPr>
            </w:pPr>
            <w:r w:rsidRPr="003A0E24">
              <w:rPr>
                <w:rFonts w:ascii="SimSun" w:hAnsi="SimSun"/>
                <w:color w:val="000000"/>
              </w:rPr>
              <w:t>17.7</w:t>
            </w:r>
          </w:p>
        </w:tc>
      </w:tr>
      <w:tr w:rsidR="006B6D7C" w14:paraId="2E6CD476" w14:textId="77777777" w:rsidTr="00051817">
        <w:trPr>
          <w:cantSplit/>
        </w:trPr>
        <w:tc>
          <w:tcPr>
            <w:tcW w:w="3015" w:type="dxa"/>
            <w:tcBorders>
              <w:top w:val="single" w:sz="4" w:space="0" w:color="000000"/>
              <w:left w:val="single" w:sz="4" w:space="0" w:color="000000"/>
              <w:bottom w:val="single" w:sz="4" w:space="0" w:color="000000"/>
              <w:right w:val="single" w:sz="4" w:space="0" w:color="000000"/>
            </w:tcBorders>
          </w:tcPr>
          <w:p w14:paraId="16902818" w14:textId="4420AA0D" w:rsidR="006B6D7C" w:rsidRDefault="006B6D7C" w:rsidP="00051817">
            <w:pPr>
              <w:rPr>
                <w:i/>
              </w:rPr>
            </w:pPr>
            <w:r w:rsidRPr="00E47C64">
              <w:rPr>
                <w:rFonts w:ascii="KaiTi" w:eastAsia="KaiTi" w:hAnsi="KaiTi" w:hint="eastAsia"/>
                <w:iCs/>
                <w:szCs w:val="22"/>
                <w:lang w:bidi="he-IL"/>
              </w:rPr>
              <w:t>合计</w:t>
            </w:r>
          </w:p>
        </w:tc>
        <w:tc>
          <w:tcPr>
            <w:tcW w:w="2310" w:type="dxa"/>
            <w:tcBorders>
              <w:top w:val="single" w:sz="4" w:space="0" w:color="000000"/>
              <w:left w:val="single" w:sz="4" w:space="0" w:color="000000"/>
              <w:bottom w:val="single" w:sz="4" w:space="0" w:color="000000"/>
              <w:right w:val="single" w:sz="4" w:space="0" w:color="000000"/>
            </w:tcBorders>
          </w:tcPr>
          <w:p w14:paraId="335ED3F9" w14:textId="77777777" w:rsidR="006B6D7C" w:rsidRPr="006B6D7C" w:rsidRDefault="006B6D7C" w:rsidP="00051817">
            <w:pPr>
              <w:rPr>
                <w:rFonts w:ascii="KaiTi" w:eastAsia="KaiTi" w:hAnsi="KaiTi"/>
                <w:iCs/>
                <w:color w:val="000000"/>
              </w:rPr>
            </w:pPr>
            <w:r w:rsidRPr="006B6D7C">
              <w:rPr>
                <w:rFonts w:ascii="KaiTi" w:eastAsia="KaiTi" w:hAnsi="KaiTi"/>
                <w:iCs/>
                <w:color w:val="000000"/>
              </w:rPr>
              <w:t>112</w:t>
            </w:r>
          </w:p>
        </w:tc>
        <w:tc>
          <w:tcPr>
            <w:tcW w:w="2595" w:type="dxa"/>
            <w:tcBorders>
              <w:top w:val="single" w:sz="4" w:space="0" w:color="000000"/>
              <w:left w:val="single" w:sz="4" w:space="0" w:color="000000"/>
              <w:bottom w:val="single" w:sz="4" w:space="0" w:color="000000"/>
              <w:right w:val="single" w:sz="4" w:space="0" w:color="000000"/>
            </w:tcBorders>
          </w:tcPr>
          <w:p w14:paraId="57F6B439" w14:textId="77777777" w:rsidR="006B6D7C" w:rsidRPr="006B6D7C" w:rsidRDefault="006B6D7C" w:rsidP="00051817">
            <w:pPr>
              <w:rPr>
                <w:rFonts w:ascii="KaiTi" w:eastAsia="KaiTi" w:hAnsi="KaiTi"/>
                <w:iCs/>
                <w:color w:val="000000"/>
              </w:rPr>
            </w:pPr>
            <w:r w:rsidRPr="006B6D7C">
              <w:rPr>
                <w:rFonts w:ascii="KaiTi" w:eastAsia="KaiTi" w:hAnsi="KaiTi"/>
                <w:iCs/>
                <w:color w:val="000000"/>
              </w:rPr>
              <w:t>10.</w:t>
            </w:r>
            <w:r w:rsidRPr="006B6D7C">
              <w:rPr>
                <w:rFonts w:ascii="KaiTi" w:eastAsia="KaiTi" w:hAnsi="KaiTi"/>
                <w:iCs/>
              </w:rPr>
              <w:t>4</w:t>
            </w:r>
          </w:p>
        </w:tc>
      </w:tr>
    </w:tbl>
    <w:p w14:paraId="3D7BDDB3" w14:textId="77777777" w:rsidR="006B6D7C" w:rsidRPr="00E47C64" w:rsidRDefault="006B6D7C" w:rsidP="00882E14">
      <w:pPr>
        <w:spacing w:afterLines="100" w:after="240" w:line="340" w:lineRule="atLeast"/>
        <w:jc w:val="both"/>
        <w:rPr>
          <w:rFonts w:ascii="KaiTi" w:eastAsia="KaiTi" w:hAnsi="KaiTi"/>
          <w:b/>
          <w:bCs/>
          <w:szCs w:val="22"/>
        </w:rPr>
      </w:pPr>
    </w:p>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3296E718" w14:textId="27281662" w:rsidR="00D32237" w:rsidRPr="00D32237" w:rsidRDefault="00D32237" w:rsidP="003A0E24">
      <w:pPr>
        <w:spacing w:afterLines="100" w:after="240" w:line="340" w:lineRule="atLeast"/>
        <w:jc w:val="both"/>
        <w:rPr>
          <w:rFonts w:ascii="SimSun" w:hAnsi="SimSun"/>
          <w:bCs/>
        </w:rPr>
      </w:pPr>
      <w:r w:rsidRPr="00D32237">
        <w:rPr>
          <w:rFonts w:ascii="SimSun" w:hAnsi="SimSun" w:hint="eastAsia"/>
          <w:bCs/>
        </w:rPr>
        <w:t>本</w:t>
      </w:r>
      <w:r w:rsidR="00302B46">
        <w:rPr>
          <w:rFonts w:ascii="SimSun" w:hAnsi="SimSun" w:hint="eastAsia"/>
          <w:bCs/>
        </w:rPr>
        <w:t>主管</w:t>
      </w:r>
      <w:r w:rsidRPr="00D32237">
        <w:rPr>
          <w:rFonts w:ascii="SimSun" w:hAnsi="SimSun" w:hint="eastAsia"/>
          <w:bCs/>
        </w:rPr>
        <w:t>局拥有经过培训且具备</w:t>
      </w:r>
      <w:r>
        <w:rPr>
          <w:rFonts w:ascii="SimSun" w:hAnsi="SimSun" w:hint="eastAsia"/>
          <w:bCs/>
        </w:rPr>
        <w:t>资格</w:t>
      </w:r>
      <w:r w:rsidRPr="00D32237">
        <w:rPr>
          <w:rFonts w:ascii="SimSun" w:hAnsi="SimSun" w:hint="eastAsia"/>
          <w:bCs/>
        </w:rPr>
        <w:t>的</w:t>
      </w:r>
      <w:r>
        <w:rPr>
          <w:rFonts w:ascii="SimSun" w:hAnsi="SimSun" w:hint="eastAsia"/>
          <w:bCs/>
        </w:rPr>
        <w:t>工作人员和</w:t>
      </w:r>
      <w:r w:rsidRPr="00D32237">
        <w:rPr>
          <w:rFonts w:ascii="SimSun" w:hAnsi="SimSun" w:hint="eastAsia"/>
          <w:bCs/>
        </w:rPr>
        <w:t>外部专家</w:t>
      </w:r>
      <w:r>
        <w:rPr>
          <w:rFonts w:ascii="SimSun" w:hAnsi="SimSun" w:hint="eastAsia"/>
          <w:bCs/>
        </w:rPr>
        <w:t>开展</w:t>
      </w:r>
      <w:r w:rsidRPr="00D32237">
        <w:rPr>
          <w:rFonts w:ascii="SimSun" w:hAnsi="SimSun" w:hint="eastAsia"/>
          <w:bCs/>
        </w:rPr>
        <w:t>检索和审查申请。外部专家主要处理国家申请。内部</w:t>
      </w:r>
      <w:r w:rsidR="00302B46">
        <w:rPr>
          <w:rFonts w:ascii="SimSun" w:hAnsi="SimSun" w:hint="eastAsia"/>
          <w:bCs/>
        </w:rPr>
        <w:t>专家</w:t>
      </w:r>
      <w:r w:rsidRPr="00D32237">
        <w:rPr>
          <w:rFonts w:ascii="SimSun" w:hAnsi="SimSun" w:hint="eastAsia"/>
          <w:bCs/>
        </w:rPr>
        <w:t>则侧重于</w:t>
      </w:r>
      <w:r w:rsidR="00302B46" w:rsidRPr="00D32237">
        <w:rPr>
          <w:rFonts w:ascii="SimSun" w:hAnsi="SimSun"/>
          <w:bCs/>
        </w:rPr>
        <w:t>PCT</w:t>
      </w:r>
      <w:r w:rsidR="00302B46" w:rsidRPr="00D32237">
        <w:rPr>
          <w:rFonts w:ascii="SimSun" w:hAnsi="SimSun" w:hint="eastAsia"/>
          <w:bCs/>
        </w:rPr>
        <w:t>申请</w:t>
      </w:r>
      <w:r w:rsidR="00302B46">
        <w:rPr>
          <w:rFonts w:ascii="SimSun" w:hAnsi="SimSun" w:hint="eastAsia"/>
          <w:bCs/>
        </w:rPr>
        <w:t>的</w:t>
      </w:r>
      <w:r w:rsidRPr="00D32237">
        <w:rPr>
          <w:rFonts w:ascii="SimSun" w:hAnsi="SimSun" w:hint="eastAsia"/>
          <w:bCs/>
        </w:rPr>
        <w:t>国际阶段，但在考虑</w:t>
      </w:r>
      <w:r>
        <w:rPr>
          <w:rFonts w:ascii="SimSun" w:hAnsi="SimSun" w:hint="eastAsia"/>
          <w:bCs/>
        </w:rPr>
        <w:t>是</w:t>
      </w:r>
      <w:r w:rsidRPr="00D32237">
        <w:rPr>
          <w:rFonts w:ascii="SimSun" w:hAnsi="SimSun" w:hint="eastAsia"/>
          <w:bCs/>
        </w:rPr>
        <w:t>建议授予</w:t>
      </w:r>
      <w:r>
        <w:rPr>
          <w:rFonts w:ascii="SimSun" w:hAnsi="SimSun" w:hint="eastAsia"/>
          <w:bCs/>
        </w:rPr>
        <w:t>还是</w:t>
      </w:r>
      <w:r w:rsidRPr="00D32237">
        <w:rPr>
          <w:rFonts w:ascii="SimSun" w:hAnsi="SimSun" w:hint="eastAsia"/>
          <w:bCs/>
        </w:rPr>
        <w:t>驳回时，也会审查国家申请。</w:t>
      </w:r>
    </w:p>
    <w:p w14:paraId="570BD6CA" w14:textId="491AF53B" w:rsidR="00D32237" w:rsidRPr="00D32237" w:rsidRDefault="00D32237" w:rsidP="003A0E24">
      <w:pPr>
        <w:spacing w:afterLines="100" w:after="240" w:line="340" w:lineRule="atLeast"/>
        <w:jc w:val="both"/>
        <w:rPr>
          <w:rFonts w:ascii="SimSun" w:hAnsi="SimSun"/>
          <w:bCs/>
        </w:rPr>
      </w:pPr>
      <w:r w:rsidRPr="00D32237">
        <w:rPr>
          <w:rFonts w:ascii="SimSun" w:hAnsi="SimSun"/>
          <w:bCs/>
        </w:rPr>
        <w:t>INAPI</w:t>
      </w:r>
      <w:r w:rsidRPr="00D32237">
        <w:rPr>
          <w:rFonts w:ascii="SimSun" w:hAnsi="SimSun" w:hint="eastAsia"/>
          <w:bCs/>
        </w:rPr>
        <w:t>拥有</w:t>
      </w:r>
      <w:r w:rsidRPr="00D32237">
        <w:rPr>
          <w:rFonts w:ascii="SimSun" w:hAnsi="SimSun"/>
          <w:bCs/>
        </w:rPr>
        <w:t>107</w:t>
      </w:r>
      <w:r w:rsidRPr="00D32237">
        <w:rPr>
          <w:rFonts w:ascii="SimSun" w:hAnsi="SimSun" w:hint="eastAsia"/>
          <w:bCs/>
        </w:rPr>
        <w:t>名高素质专家，对上表所列</w:t>
      </w:r>
      <w:r w:rsidR="00302B46">
        <w:rPr>
          <w:rFonts w:ascii="SimSun" w:hAnsi="SimSun" w:hint="eastAsia"/>
          <w:bCs/>
        </w:rPr>
        <w:t>的</w:t>
      </w:r>
      <w:r w:rsidRPr="00D32237">
        <w:rPr>
          <w:rFonts w:ascii="SimSun" w:hAnsi="SimSun" w:hint="eastAsia"/>
          <w:bCs/>
        </w:rPr>
        <w:t>机械、电子、制药、化学</w:t>
      </w:r>
      <w:r>
        <w:rPr>
          <w:rFonts w:ascii="SimSun" w:hAnsi="SimSun" w:hint="eastAsia"/>
          <w:bCs/>
        </w:rPr>
        <w:t>和</w:t>
      </w:r>
      <w:r w:rsidRPr="00D32237">
        <w:rPr>
          <w:rFonts w:ascii="SimSun" w:hAnsi="SimSun" w:hint="eastAsia"/>
          <w:bCs/>
        </w:rPr>
        <w:t>生物技术</w:t>
      </w:r>
      <w:r>
        <w:rPr>
          <w:rFonts w:ascii="SimSun" w:hAnsi="SimSun" w:hint="eastAsia"/>
          <w:bCs/>
        </w:rPr>
        <w:t>相关所有</w:t>
      </w:r>
      <w:r w:rsidRPr="00D32237">
        <w:rPr>
          <w:rFonts w:ascii="SimSun" w:hAnsi="SimSun" w:hint="eastAsia"/>
          <w:bCs/>
        </w:rPr>
        <w:t>技术领域</w:t>
      </w:r>
      <w:r>
        <w:rPr>
          <w:rFonts w:ascii="SimSun" w:hAnsi="SimSun" w:hint="eastAsia"/>
          <w:bCs/>
        </w:rPr>
        <w:t>开展</w:t>
      </w:r>
      <w:r w:rsidRPr="00D32237">
        <w:rPr>
          <w:rFonts w:ascii="SimSun" w:hAnsi="SimSun" w:hint="eastAsia"/>
          <w:bCs/>
        </w:rPr>
        <w:t>检索</w:t>
      </w:r>
      <w:r>
        <w:rPr>
          <w:rFonts w:ascii="SimSun" w:hAnsi="SimSun" w:hint="eastAsia"/>
          <w:bCs/>
        </w:rPr>
        <w:t>和</w:t>
      </w:r>
      <w:r w:rsidRPr="00D32237">
        <w:rPr>
          <w:rFonts w:ascii="SimSun" w:hAnsi="SimSun" w:hint="eastAsia"/>
          <w:bCs/>
        </w:rPr>
        <w:t>审查。</w:t>
      </w:r>
      <w:r>
        <w:rPr>
          <w:rFonts w:ascii="SimSun" w:hAnsi="SimSun" w:hint="eastAsia"/>
          <w:bCs/>
        </w:rPr>
        <w:t>我们主管局</w:t>
      </w:r>
      <w:r w:rsidRPr="00D32237">
        <w:rPr>
          <w:rFonts w:ascii="SimSun" w:hAnsi="SimSun" w:hint="eastAsia"/>
          <w:bCs/>
        </w:rPr>
        <w:t>另有五名工业品外观设计</w:t>
      </w:r>
      <w:r>
        <w:rPr>
          <w:rFonts w:ascii="SimSun" w:hAnsi="SimSun" w:hint="eastAsia"/>
          <w:bCs/>
        </w:rPr>
        <w:t>实审</w:t>
      </w:r>
      <w:r w:rsidRPr="00D32237">
        <w:rPr>
          <w:rFonts w:ascii="SimSun" w:hAnsi="SimSun" w:hint="eastAsia"/>
          <w:bCs/>
        </w:rPr>
        <w:t>审查员。其中</w:t>
      </w:r>
      <w:r w:rsidR="00672FE4">
        <w:rPr>
          <w:rFonts w:ascii="SimSun" w:hAnsi="SimSun" w:hint="eastAsia"/>
          <w:bCs/>
        </w:rPr>
        <w:t>超过</w:t>
      </w:r>
      <w:r w:rsidRPr="00D32237">
        <w:rPr>
          <w:rFonts w:ascii="SimSun" w:hAnsi="SimSun" w:hint="eastAsia"/>
          <w:bCs/>
        </w:rPr>
        <w:t>半数</w:t>
      </w:r>
      <w:r w:rsidR="00672FE4">
        <w:rPr>
          <w:rFonts w:ascii="SimSun" w:hAnsi="SimSun" w:hint="eastAsia"/>
          <w:bCs/>
        </w:rPr>
        <w:t>完成过</w:t>
      </w:r>
      <w:r w:rsidRPr="00D32237">
        <w:rPr>
          <w:rFonts w:ascii="SimSun" w:hAnsi="SimSun" w:hint="eastAsia"/>
          <w:bCs/>
        </w:rPr>
        <w:t>硕士或博士</w:t>
      </w:r>
      <w:r w:rsidR="00672FE4">
        <w:rPr>
          <w:rFonts w:ascii="SimSun" w:hAnsi="SimSun" w:hint="eastAsia"/>
          <w:bCs/>
        </w:rPr>
        <w:t>的</w:t>
      </w:r>
      <w:r w:rsidRPr="00D32237">
        <w:rPr>
          <w:rFonts w:ascii="SimSun" w:hAnsi="SimSun" w:hint="eastAsia"/>
          <w:bCs/>
        </w:rPr>
        <w:t>研究生</w:t>
      </w:r>
      <w:r w:rsidR="00672FE4">
        <w:rPr>
          <w:rFonts w:ascii="SimSun" w:hAnsi="SimSun" w:hint="eastAsia"/>
          <w:bCs/>
        </w:rPr>
        <w:t>学业</w:t>
      </w:r>
      <w:r w:rsidRPr="00D32237">
        <w:rPr>
          <w:rFonts w:ascii="SimSun" w:hAnsi="SimSun" w:hint="eastAsia"/>
          <w:bCs/>
        </w:rPr>
        <w:t>。</w:t>
      </w:r>
    </w:p>
    <w:p w14:paraId="2193EF02" w14:textId="34307166" w:rsidR="00D32237" w:rsidRPr="00D32237" w:rsidRDefault="00D32237" w:rsidP="00D32237">
      <w:pPr>
        <w:keepNext/>
        <w:spacing w:beforeLines="100" w:before="240" w:afterLines="100" w:after="240" w:line="340" w:lineRule="atLeast"/>
        <w:jc w:val="both"/>
        <w:rPr>
          <w:rFonts w:ascii="SimSun" w:hAnsi="SimSun"/>
          <w:bCs/>
          <w:u w:val="single"/>
        </w:rPr>
      </w:pPr>
      <w:r w:rsidRPr="00D32237">
        <w:rPr>
          <w:rFonts w:ascii="SimSun" w:hAnsi="SimSun" w:hint="eastAsia"/>
          <w:bCs/>
          <w:u w:val="single"/>
        </w:rPr>
        <w:t>培训计划</w:t>
      </w:r>
    </w:p>
    <w:p w14:paraId="44BD28AA" w14:textId="7D048895" w:rsidR="00D32237" w:rsidRPr="00D32237" w:rsidRDefault="00D32237" w:rsidP="003A0E24">
      <w:pPr>
        <w:spacing w:afterLines="100" w:after="240" w:line="340" w:lineRule="atLeast"/>
        <w:jc w:val="both"/>
        <w:rPr>
          <w:rFonts w:ascii="SimSun" w:hAnsi="SimSun"/>
          <w:bCs/>
        </w:rPr>
      </w:pPr>
      <w:r w:rsidRPr="00D32237">
        <w:rPr>
          <w:rFonts w:ascii="SimSun" w:hAnsi="SimSun" w:hint="eastAsia"/>
          <w:bCs/>
        </w:rPr>
        <w:t>新员工</w:t>
      </w:r>
      <w:r w:rsidR="00302B46" w:rsidRPr="00D32237">
        <w:rPr>
          <w:rFonts w:ascii="SimSun" w:hAnsi="SimSun" w:hint="eastAsia"/>
          <w:bCs/>
        </w:rPr>
        <w:t>招聘</w:t>
      </w:r>
      <w:r w:rsidR="00302B46">
        <w:rPr>
          <w:rFonts w:ascii="SimSun" w:hAnsi="SimSun" w:hint="eastAsia"/>
          <w:bCs/>
        </w:rPr>
        <w:t>程序</w:t>
      </w:r>
      <w:r w:rsidR="00672FE4">
        <w:rPr>
          <w:rFonts w:ascii="SimSun" w:hAnsi="SimSun" w:hint="eastAsia"/>
          <w:bCs/>
        </w:rPr>
        <w:t>的第一步</w:t>
      </w:r>
      <w:r w:rsidRPr="00D32237">
        <w:rPr>
          <w:rFonts w:ascii="SimSun" w:hAnsi="SimSun" w:hint="eastAsia"/>
          <w:bCs/>
        </w:rPr>
        <w:t>是确定技术领域</w:t>
      </w:r>
      <w:r w:rsidR="00302B46">
        <w:rPr>
          <w:rFonts w:ascii="SimSun" w:hAnsi="SimSun" w:hint="eastAsia"/>
          <w:bCs/>
        </w:rPr>
        <w:t>的</w:t>
      </w:r>
      <w:r w:rsidRPr="00D32237">
        <w:rPr>
          <w:rFonts w:ascii="SimSun" w:hAnsi="SimSun" w:hint="eastAsia"/>
          <w:bCs/>
        </w:rPr>
        <w:t>需求并制定</w:t>
      </w:r>
      <w:r w:rsidR="00302B46">
        <w:rPr>
          <w:rFonts w:ascii="SimSun" w:hAnsi="SimSun" w:hint="eastAsia"/>
          <w:bCs/>
        </w:rPr>
        <w:t>职位说明</w:t>
      </w:r>
      <w:r w:rsidRPr="00D32237">
        <w:rPr>
          <w:rFonts w:ascii="SimSun" w:hAnsi="SimSun" w:hint="eastAsia"/>
          <w:bCs/>
        </w:rPr>
        <w:t>。随后发布公开招聘公告，明确所需资质。</w:t>
      </w:r>
      <w:r w:rsidR="00672FE4">
        <w:rPr>
          <w:rFonts w:ascii="SimSun" w:hAnsi="SimSun" w:hint="eastAsia"/>
          <w:bCs/>
        </w:rPr>
        <w:t>随后</w:t>
      </w:r>
      <w:r w:rsidRPr="00D32237">
        <w:rPr>
          <w:rFonts w:ascii="SimSun" w:hAnsi="SimSun" w:hint="eastAsia"/>
          <w:bCs/>
        </w:rPr>
        <w:t>筛选候选人</w:t>
      </w:r>
      <w:r w:rsidR="00672FE4">
        <w:rPr>
          <w:rFonts w:ascii="SimSun" w:hAnsi="SimSun" w:hint="eastAsia"/>
          <w:bCs/>
        </w:rPr>
        <w:t>。候选人</w:t>
      </w:r>
      <w:r w:rsidRPr="00D32237">
        <w:rPr>
          <w:rFonts w:ascii="SimSun" w:hAnsi="SimSun" w:hint="eastAsia"/>
          <w:bCs/>
        </w:rPr>
        <w:t>接受全面培训，并经历两</w:t>
      </w:r>
      <w:r w:rsidR="00672FE4">
        <w:rPr>
          <w:rFonts w:ascii="SimSun" w:hAnsi="SimSun" w:hint="eastAsia"/>
          <w:bCs/>
        </w:rPr>
        <w:t>个</w:t>
      </w:r>
      <w:r w:rsidRPr="00D32237">
        <w:rPr>
          <w:rFonts w:ascii="SimSun" w:hAnsi="SimSun" w:hint="eastAsia"/>
          <w:bCs/>
        </w:rPr>
        <w:t>阶段</w:t>
      </w:r>
      <w:r w:rsidR="00672FE4">
        <w:rPr>
          <w:rFonts w:ascii="SimSun" w:hAnsi="SimSun" w:hint="eastAsia"/>
          <w:bCs/>
        </w:rPr>
        <w:t>的</w:t>
      </w:r>
      <w:r w:rsidRPr="00D32237">
        <w:rPr>
          <w:rFonts w:ascii="SimSun" w:hAnsi="SimSun" w:hint="eastAsia"/>
          <w:bCs/>
        </w:rPr>
        <w:t>选拔流程：初始</w:t>
      </w:r>
      <w:r w:rsidR="00302B46">
        <w:rPr>
          <w:rFonts w:ascii="SimSun" w:hAnsi="SimSun" w:hint="eastAsia"/>
          <w:bCs/>
        </w:rPr>
        <w:t>入门</w:t>
      </w:r>
      <w:r w:rsidRPr="00D32237">
        <w:rPr>
          <w:rFonts w:ascii="SimSun" w:hAnsi="SimSun" w:hint="eastAsia"/>
          <w:bCs/>
        </w:rPr>
        <w:t>阶段</w:t>
      </w:r>
      <w:r w:rsidR="00672FE4">
        <w:rPr>
          <w:rFonts w:ascii="SimSun" w:hAnsi="SimSun" w:hint="eastAsia"/>
          <w:bCs/>
        </w:rPr>
        <w:t>，</w:t>
      </w:r>
      <w:r w:rsidR="00302B46">
        <w:rPr>
          <w:rFonts w:ascii="SimSun" w:hAnsi="SimSun" w:hint="eastAsia"/>
          <w:bCs/>
        </w:rPr>
        <w:t>重点</w:t>
      </w:r>
      <w:r w:rsidRPr="00D32237">
        <w:rPr>
          <w:rFonts w:ascii="SimSun" w:hAnsi="SimSun" w:hint="eastAsia"/>
          <w:bCs/>
        </w:rPr>
        <w:t>提供专利</w:t>
      </w:r>
      <w:r w:rsidR="00672FE4">
        <w:rPr>
          <w:rFonts w:ascii="SimSun" w:hAnsi="SimSun" w:hint="eastAsia"/>
          <w:bCs/>
        </w:rPr>
        <w:t>和</w:t>
      </w:r>
      <w:r w:rsidRPr="00D32237">
        <w:rPr>
          <w:rFonts w:ascii="SimSun" w:hAnsi="SimSun" w:hint="eastAsia"/>
          <w:bCs/>
        </w:rPr>
        <w:t>工业产权</w:t>
      </w:r>
      <w:r w:rsidR="00672FE4">
        <w:rPr>
          <w:rFonts w:ascii="SimSun" w:hAnsi="SimSun" w:hint="eastAsia"/>
          <w:bCs/>
        </w:rPr>
        <w:t>事项</w:t>
      </w:r>
      <w:r w:rsidRPr="00D32237">
        <w:rPr>
          <w:rFonts w:ascii="SimSun" w:hAnsi="SimSun" w:hint="eastAsia"/>
          <w:bCs/>
        </w:rPr>
        <w:t>的通用知识</w:t>
      </w:r>
      <w:r w:rsidR="00672FE4">
        <w:rPr>
          <w:rFonts w:ascii="SimSun" w:hAnsi="SimSun" w:hint="eastAsia"/>
          <w:bCs/>
        </w:rPr>
        <w:t>和</w:t>
      </w:r>
      <w:r w:rsidRPr="00D32237">
        <w:rPr>
          <w:rFonts w:ascii="SimSun" w:hAnsi="SimSun" w:hint="eastAsia"/>
          <w:bCs/>
        </w:rPr>
        <w:t>经验；第二阶段</w:t>
      </w:r>
      <w:r w:rsidR="00140607">
        <w:rPr>
          <w:rFonts w:ascii="SimSun" w:hAnsi="SimSun" w:hint="eastAsia"/>
          <w:bCs/>
        </w:rPr>
        <w:t>由</w:t>
      </w:r>
      <w:r w:rsidRPr="00D32237">
        <w:rPr>
          <w:rFonts w:ascii="SimSun" w:hAnsi="SimSun" w:hint="eastAsia"/>
          <w:bCs/>
        </w:rPr>
        <w:t>培训</w:t>
      </w:r>
      <w:r w:rsidR="00140607">
        <w:rPr>
          <w:rFonts w:ascii="SimSun" w:hAnsi="SimSun" w:hint="eastAsia"/>
          <w:bCs/>
        </w:rPr>
        <w:t>本身构成</w:t>
      </w:r>
      <w:r w:rsidRPr="00D32237">
        <w:rPr>
          <w:rFonts w:ascii="SimSun" w:hAnsi="SimSun" w:hint="eastAsia"/>
          <w:bCs/>
        </w:rPr>
        <w:t>。在此期间，候选人在</w:t>
      </w:r>
      <w:r w:rsidRPr="00D32237">
        <w:rPr>
          <w:rFonts w:ascii="SimSun" w:hAnsi="SimSun"/>
          <w:bCs/>
        </w:rPr>
        <w:t>INAPI</w:t>
      </w:r>
      <w:r w:rsidRPr="00D32237">
        <w:rPr>
          <w:rFonts w:ascii="SimSun" w:hAnsi="SimSun" w:hint="eastAsia"/>
          <w:bCs/>
        </w:rPr>
        <w:t>专家</w:t>
      </w:r>
      <w:r w:rsidR="00D73B87">
        <w:rPr>
          <w:rFonts w:ascii="SimSun" w:hAnsi="SimSun" w:hint="eastAsia"/>
          <w:bCs/>
        </w:rPr>
        <w:t>的</w:t>
      </w:r>
      <w:r w:rsidR="00302B46">
        <w:rPr>
          <w:rFonts w:ascii="SimSun" w:hAnsi="SimSun" w:hint="eastAsia"/>
          <w:bCs/>
        </w:rPr>
        <w:t>监督</w:t>
      </w:r>
      <w:r w:rsidRPr="00D32237">
        <w:rPr>
          <w:rFonts w:ascii="SimSun" w:hAnsi="SimSun" w:hint="eastAsia"/>
          <w:bCs/>
        </w:rPr>
        <w:t>下</w:t>
      </w:r>
      <w:r w:rsidR="00D73B87">
        <w:rPr>
          <w:rFonts w:ascii="SimSun" w:hAnsi="SimSun" w:hint="eastAsia"/>
          <w:bCs/>
        </w:rPr>
        <w:t>审查</w:t>
      </w:r>
      <w:r w:rsidR="00302B46">
        <w:rPr>
          <w:rFonts w:ascii="SimSun" w:hAnsi="SimSun" w:hint="eastAsia"/>
          <w:bCs/>
        </w:rPr>
        <w:t>实际</w:t>
      </w:r>
      <w:r w:rsidR="00D73B87">
        <w:rPr>
          <w:rFonts w:ascii="SimSun" w:hAnsi="SimSun" w:hint="eastAsia"/>
          <w:bCs/>
        </w:rPr>
        <w:t>的</w:t>
      </w:r>
      <w:r w:rsidRPr="00D32237">
        <w:rPr>
          <w:rFonts w:ascii="SimSun" w:hAnsi="SimSun" w:hint="eastAsia"/>
          <w:bCs/>
        </w:rPr>
        <w:t>专利申请。整个流程由专利审查部技术领域</w:t>
      </w:r>
      <w:r w:rsidR="00302B46">
        <w:rPr>
          <w:rFonts w:ascii="SimSun" w:hAnsi="SimSun" w:hint="eastAsia"/>
          <w:bCs/>
        </w:rPr>
        <w:t>的</w:t>
      </w:r>
      <w:r w:rsidR="00E15E1F">
        <w:rPr>
          <w:rFonts w:ascii="SimSun" w:hAnsi="SimSun" w:hint="eastAsia"/>
          <w:bCs/>
        </w:rPr>
        <w:t>负责人</w:t>
      </w:r>
      <w:r w:rsidR="00302B46">
        <w:rPr>
          <w:rFonts w:ascii="SimSun" w:hAnsi="SimSun" w:hint="eastAsia"/>
          <w:bCs/>
        </w:rPr>
        <w:t>监管</w:t>
      </w:r>
      <w:r w:rsidRPr="00D32237">
        <w:rPr>
          <w:rFonts w:ascii="SimSun" w:hAnsi="SimSun" w:hint="eastAsia"/>
          <w:bCs/>
        </w:rPr>
        <w:t>，评估候选人</w:t>
      </w:r>
      <w:r w:rsidR="002A3AB0">
        <w:rPr>
          <w:rFonts w:ascii="SimSun" w:hAnsi="SimSun" w:hint="eastAsia"/>
          <w:bCs/>
        </w:rPr>
        <w:t>的</w:t>
      </w:r>
      <w:r w:rsidRPr="00D32237">
        <w:rPr>
          <w:rFonts w:ascii="SimSun" w:hAnsi="SimSun" w:hint="eastAsia"/>
          <w:bCs/>
        </w:rPr>
        <w:t>表现与能力，</w:t>
      </w:r>
      <w:r w:rsidR="002A3AB0">
        <w:rPr>
          <w:rFonts w:ascii="SimSun" w:hAnsi="SimSun" w:hint="eastAsia"/>
          <w:bCs/>
        </w:rPr>
        <w:t>并</w:t>
      </w:r>
      <w:r w:rsidRPr="00D32237">
        <w:rPr>
          <w:rFonts w:ascii="SimSun" w:hAnsi="SimSun" w:hint="eastAsia"/>
          <w:bCs/>
        </w:rPr>
        <w:t>筛选符合</w:t>
      </w:r>
      <w:r w:rsidRPr="00D32237">
        <w:rPr>
          <w:rFonts w:ascii="SimSun" w:hAnsi="SimSun"/>
          <w:bCs/>
        </w:rPr>
        <w:t>INAPI</w:t>
      </w:r>
      <w:r w:rsidR="002A3AB0">
        <w:rPr>
          <w:rFonts w:ascii="SimSun" w:hAnsi="SimSun" w:hint="eastAsia"/>
          <w:bCs/>
        </w:rPr>
        <w:t>要求的</w:t>
      </w:r>
      <w:r w:rsidR="00302B46">
        <w:rPr>
          <w:rFonts w:ascii="SimSun" w:hAnsi="SimSun" w:hint="eastAsia"/>
          <w:bCs/>
        </w:rPr>
        <w:t>人员</w:t>
      </w:r>
      <w:r w:rsidRPr="00D32237">
        <w:rPr>
          <w:rFonts w:ascii="SimSun" w:hAnsi="SimSun" w:hint="eastAsia"/>
          <w:bCs/>
        </w:rPr>
        <w:t>。</w:t>
      </w:r>
    </w:p>
    <w:p w14:paraId="27CDCDF6" w14:textId="0592B42F" w:rsidR="00D32237" w:rsidRPr="00D32237" w:rsidRDefault="00C12918" w:rsidP="003A0E24">
      <w:pPr>
        <w:spacing w:afterLines="100" w:after="240" w:line="340" w:lineRule="atLeast"/>
        <w:jc w:val="both"/>
        <w:rPr>
          <w:rFonts w:ascii="SimSun" w:hAnsi="SimSun"/>
          <w:bCs/>
        </w:rPr>
      </w:pPr>
      <w:r>
        <w:rPr>
          <w:rFonts w:ascii="SimSun" w:hAnsi="SimSun" w:hint="eastAsia"/>
          <w:bCs/>
        </w:rPr>
        <w:t>将对</w:t>
      </w:r>
      <w:r w:rsidR="00D32237" w:rsidRPr="00D32237">
        <w:rPr>
          <w:rFonts w:ascii="SimSun" w:hAnsi="SimSun" w:hint="eastAsia"/>
          <w:bCs/>
        </w:rPr>
        <w:t>通过的</w:t>
      </w:r>
      <w:r w:rsidR="002A3AB0" w:rsidRPr="00C12918">
        <w:rPr>
          <w:rFonts w:ascii="SimSun" w:hAnsi="SimSun" w:hint="eastAsia"/>
          <w:bCs/>
        </w:rPr>
        <w:t>每名</w:t>
      </w:r>
      <w:r w:rsidR="00D32237" w:rsidRPr="00D32237">
        <w:rPr>
          <w:rFonts w:ascii="SimSun" w:hAnsi="SimSun" w:hint="eastAsia"/>
          <w:bCs/>
        </w:rPr>
        <w:t>候选人</w:t>
      </w:r>
      <w:r w:rsidR="002A3AB0">
        <w:rPr>
          <w:rFonts w:ascii="SimSun" w:hAnsi="SimSun" w:hint="eastAsia"/>
          <w:bCs/>
        </w:rPr>
        <w:t>分配</w:t>
      </w:r>
      <w:r w:rsidR="00D32237" w:rsidRPr="00D32237">
        <w:rPr>
          <w:rFonts w:ascii="SimSun" w:hAnsi="SimSun" w:hint="eastAsia"/>
          <w:bCs/>
        </w:rPr>
        <w:t>一名导师，在</w:t>
      </w:r>
      <w:r>
        <w:rPr>
          <w:rFonts w:ascii="SimSun" w:hAnsi="SimSun" w:hint="eastAsia"/>
          <w:bCs/>
        </w:rPr>
        <w:t>其</w:t>
      </w:r>
      <w:r w:rsidR="00D32237" w:rsidRPr="00D32237">
        <w:rPr>
          <w:rFonts w:ascii="SimSun" w:hAnsi="SimSun" w:hint="eastAsia"/>
          <w:bCs/>
        </w:rPr>
        <w:t>撰写首份报告期间</w:t>
      </w:r>
      <w:r w:rsidR="002A3AB0">
        <w:rPr>
          <w:rFonts w:ascii="SimSun" w:hAnsi="SimSun" w:hint="eastAsia"/>
          <w:bCs/>
        </w:rPr>
        <w:t>提供监督和</w:t>
      </w:r>
      <w:r w:rsidR="00D32237" w:rsidRPr="00D32237">
        <w:rPr>
          <w:rFonts w:ascii="SimSun" w:hAnsi="SimSun" w:hint="eastAsia"/>
          <w:bCs/>
        </w:rPr>
        <w:t>指导。</w:t>
      </w:r>
      <w:r w:rsidR="002A3AB0">
        <w:rPr>
          <w:rFonts w:ascii="SimSun" w:hAnsi="SimSun" w:hint="eastAsia"/>
          <w:bCs/>
        </w:rPr>
        <w:t>这一</w:t>
      </w:r>
      <w:r w:rsidR="00653444">
        <w:rPr>
          <w:rFonts w:ascii="SimSun" w:hAnsi="SimSun" w:hint="eastAsia"/>
          <w:bCs/>
        </w:rPr>
        <w:t>指导期</w:t>
      </w:r>
      <w:r w:rsidR="00D32237" w:rsidRPr="00D32237">
        <w:rPr>
          <w:rFonts w:ascii="SimSun" w:hAnsi="SimSun" w:hint="eastAsia"/>
          <w:bCs/>
        </w:rPr>
        <w:t>持续一年，由同一技术领域的多位导师</w:t>
      </w:r>
      <w:r w:rsidR="003278A4">
        <w:rPr>
          <w:rFonts w:ascii="SimSun" w:hAnsi="SimSun" w:hint="eastAsia"/>
          <w:bCs/>
        </w:rPr>
        <w:t>指导</w:t>
      </w:r>
      <w:r w:rsidR="00D32237" w:rsidRPr="00D32237">
        <w:rPr>
          <w:rFonts w:ascii="SimSun" w:hAnsi="SimSun" w:hint="eastAsia"/>
          <w:bCs/>
        </w:rPr>
        <w:t>。新员工每四个月接受一次绩效评估。在一年或更短时间</w:t>
      </w:r>
      <w:r w:rsidR="00653444">
        <w:rPr>
          <w:rFonts w:ascii="SimSun" w:hAnsi="SimSun" w:hint="eastAsia"/>
          <w:bCs/>
        </w:rPr>
        <w:t>内</w:t>
      </w:r>
      <w:r w:rsidR="00D32237" w:rsidRPr="00D32237">
        <w:rPr>
          <w:rFonts w:ascii="SimSun" w:hAnsi="SimSun" w:hint="eastAsia"/>
          <w:bCs/>
        </w:rPr>
        <w:t>展现出</w:t>
      </w:r>
      <w:r w:rsidR="00653444">
        <w:rPr>
          <w:rFonts w:ascii="SimSun" w:hAnsi="SimSun" w:hint="eastAsia"/>
          <w:bCs/>
        </w:rPr>
        <w:t>已具备</w:t>
      </w:r>
      <w:r w:rsidR="00D32237" w:rsidRPr="00D32237">
        <w:rPr>
          <w:rFonts w:ascii="SimSun" w:hAnsi="SimSun" w:hint="eastAsia"/>
          <w:bCs/>
        </w:rPr>
        <w:t>撰写检索</w:t>
      </w:r>
      <w:r w:rsidR="00653444">
        <w:rPr>
          <w:rFonts w:ascii="SimSun" w:hAnsi="SimSun" w:hint="eastAsia"/>
          <w:bCs/>
        </w:rPr>
        <w:t>和</w:t>
      </w:r>
      <w:r w:rsidR="00D32237" w:rsidRPr="00D32237">
        <w:rPr>
          <w:rFonts w:ascii="SimSun" w:hAnsi="SimSun" w:hint="eastAsia"/>
          <w:bCs/>
        </w:rPr>
        <w:t>审查报告</w:t>
      </w:r>
      <w:r w:rsidR="00653444">
        <w:rPr>
          <w:rFonts w:ascii="SimSun" w:hAnsi="SimSun" w:hint="eastAsia"/>
          <w:bCs/>
        </w:rPr>
        <w:t>必要</w:t>
      </w:r>
      <w:r>
        <w:rPr>
          <w:rFonts w:ascii="SimSun" w:hAnsi="SimSun" w:hint="eastAsia"/>
          <w:bCs/>
        </w:rPr>
        <w:t>技术和能力</w:t>
      </w:r>
      <w:r w:rsidR="00D32237" w:rsidRPr="00D32237">
        <w:rPr>
          <w:rFonts w:ascii="SimSun" w:hAnsi="SimSun" w:hint="eastAsia"/>
          <w:bCs/>
        </w:rPr>
        <w:t>的候选人，</w:t>
      </w:r>
      <w:r>
        <w:rPr>
          <w:rFonts w:ascii="SimSun" w:hAnsi="SimSun" w:hint="eastAsia"/>
          <w:bCs/>
        </w:rPr>
        <w:t>可以</w:t>
      </w:r>
      <w:r w:rsidR="00D32237" w:rsidRPr="00D32237">
        <w:rPr>
          <w:rFonts w:ascii="SimSun" w:hAnsi="SimSun" w:hint="eastAsia"/>
          <w:bCs/>
        </w:rPr>
        <w:t>开始独立工作。</w:t>
      </w:r>
      <w:r w:rsidR="00653444">
        <w:rPr>
          <w:rFonts w:ascii="SimSun" w:hAnsi="SimSun" w:hint="eastAsia"/>
          <w:bCs/>
        </w:rPr>
        <w:t>这一流程</w:t>
      </w:r>
      <w:r w:rsidR="00D32237" w:rsidRPr="00D32237">
        <w:rPr>
          <w:rFonts w:ascii="SimSun" w:hAnsi="SimSun" w:hint="eastAsia"/>
          <w:bCs/>
        </w:rPr>
        <w:t>旨在确保所有新专家在</w:t>
      </w:r>
      <w:r w:rsidR="00D32237" w:rsidRPr="00D32237">
        <w:rPr>
          <w:rFonts w:ascii="SimSun" w:hAnsi="SimSun"/>
          <w:bCs/>
        </w:rPr>
        <w:t>18</w:t>
      </w:r>
      <w:r w:rsidR="00D32237" w:rsidRPr="00D32237">
        <w:rPr>
          <w:rFonts w:ascii="SimSun" w:hAnsi="SimSun" w:hint="eastAsia"/>
          <w:bCs/>
        </w:rPr>
        <w:t>个月内，能够依据法律</w:t>
      </w:r>
      <w:r w:rsidR="00653444">
        <w:rPr>
          <w:rFonts w:ascii="SimSun" w:hAnsi="SimSun" w:hint="eastAsia"/>
          <w:bCs/>
        </w:rPr>
        <w:t>、实施细则和</w:t>
      </w:r>
      <w:r w:rsidR="00D32237" w:rsidRPr="00D32237">
        <w:rPr>
          <w:rFonts w:ascii="SimSun" w:hAnsi="SimSun" w:hint="eastAsia"/>
          <w:bCs/>
        </w:rPr>
        <w:t>指导方针，在</w:t>
      </w:r>
      <w:r w:rsidR="003F63F4">
        <w:rPr>
          <w:rFonts w:ascii="SimSun" w:hAnsi="SimSun" w:hint="eastAsia"/>
          <w:bCs/>
        </w:rPr>
        <w:t>没有</w:t>
      </w:r>
      <w:r w:rsidR="00D32237" w:rsidRPr="00D32237">
        <w:rPr>
          <w:rFonts w:ascii="SimSun" w:hAnsi="SimSun" w:hint="eastAsia"/>
          <w:bCs/>
        </w:rPr>
        <w:t>导师监督的情况下开展检索</w:t>
      </w:r>
      <w:r w:rsidR="00653444">
        <w:rPr>
          <w:rFonts w:ascii="SimSun" w:hAnsi="SimSun" w:hint="eastAsia"/>
          <w:bCs/>
        </w:rPr>
        <w:t>和</w:t>
      </w:r>
      <w:r w:rsidR="00D32237" w:rsidRPr="00D32237">
        <w:rPr>
          <w:rFonts w:ascii="SimSun" w:hAnsi="SimSun" w:hint="eastAsia"/>
          <w:bCs/>
        </w:rPr>
        <w:t>审查。</w:t>
      </w:r>
    </w:p>
    <w:p w14:paraId="0F03B724" w14:textId="59201429" w:rsidR="00D32237" w:rsidRDefault="00653444" w:rsidP="003A0E24">
      <w:pPr>
        <w:spacing w:afterLines="100" w:after="240" w:line="340" w:lineRule="atLeast"/>
        <w:jc w:val="both"/>
        <w:rPr>
          <w:rFonts w:ascii="SimSun" w:hAnsi="SimSun"/>
          <w:bCs/>
        </w:rPr>
      </w:pPr>
      <w:r>
        <w:rPr>
          <w:rFonts w:ascii="SimSun" w:hAnsi="SimSun" w:hint="eastAsia"/>
          <w:bCs/>
        </w:rPr>
        <w:t>征聘和</w:t>
      </w:r>
      <w:r w:rsidR="00D32237" w:rsidRPr="00D32237">
        <w:rPr>
          <w:rFonts w:ascii="SimSun" w:hAnsi="SimSun" w:hint="eastAsia"/>
          <w:bCs/>
        </w:rPr>
        <w:t>培训流程</w:t>
      </w:r>
      <w:r>
        <w:rPr>
          <w:rFonts w:ascii="SimSun" w:hAnsi="SimSun" w:hint="eastAsia"/>
          <w:bCs/>
        </w:rPr>
        <w:t>以这样的方式</w:t>
      </w:r>
      <w:r w:rsidR="00D32237" w:rsidRPr="00D32237">
        <w:rPr>
          <w:rFonts w:ascii="SimSun" w:hAnsi="SimSun" w:hint="eastAsia"/>
          <w:bCs/>
        </w:rPr>
        <w:t>设计</w:t>
      </w:r>
      <w:r>
        <w:rPr>
          <w:rFonts w:ascii="SimSun" w:hAnsi="SimSun" w:hint="eastAsia"/>
          <w:bCs/>
        </w:rPr>
        <w:t>旨在不影响主管局</w:t>
      </w:r>
      <w:r w:rsidR="00D32237" w:rsidRPr="00D32237">
        <w:rPr>
          <w:rFonts w:ascii="SimSun" w:hAnsi="SimSun" w:hint="eastAsia"/>
          <w:bCs/>
        </w:rPr>
        <w:t>的</w:t>
      </w:r>
      <w:r>
        <w:rPr>
          <w:rFonts w:ascii="SimSun" w:hAnsi="SimSun" w:hint="eastAsia"/>
          <w:bCs/>
        </w:rPr>
        <w:t>效率</w:t>
      </w:r>
      <w:r w:rsidR="00D32237" w:rsidRPr="00D32237">
        <w:rPr>
          <w:rFonts w:ascii="SimSun" w:hAnsi="SimSun" w:hint="eastAsia"/>
          <w:bCs/>
        </w:rPr>
        <w:t>，</w:t>
      </w:r>
      <w:r w:rsidR="001E0120">
        <w:rPr>
          <w:rFonts w:ascii="SimSun" w:hAnsi="SimSun" w:hint="eastAsia"/>
          <w:bCs/>
        </w:rPr>
        <w:t>这反映在</w:t>
      </w:r>
      <w:r w:rsidR="00D32237" w:rsidRPr="00D32237">
        <w:rPr>
          <w:rFonts w:ascii="SimSun" w:hAnsi="SimSun" w:hint="eastAsia"/>
          <w:bCs/>
        </w:rPr>
        <w:t>近年来</w:t>
      </w:r>
      <w:r>
        <w:rPr>
          <w:rFonts w:ascii="SimSun" w:hAnsi="SimSun" w:hint="eastAsia"/>
          <w:bCs/>
        </w:rPr>
        <w:t>未决</w:t>
      </w:r>
      <w:r w:rsidR="003F63F4">
        <w:rPr>
          <w:rFonts w:ascii="SimSun" w:hAnsi="SimSun" w:hint="eastAsia"/>
          <w:bCs/>
        </w:rPr>
        <w:t>待审</w:t>
      </w:r>
      <w:r w:rsidR="00D32237" w:rsidRPr="00D32237">
        <w:rPr>
          <w:rFonts w:ascii="SimSun" w:hAnsi="SimSun" w:hint="eastAsia"/>
          <w:bCs/>
        </w:rPr>
        <w:t>申请</w:t>
      </w:r>
      <w:r w:rsidR="00482885">
        <w:rPr>
          <w:rFonts w:ascii="SimSun" w:hAnsi="SimSun" w:hint="eastAsia"/>
          <w:bCs/>
        </w:rPr>
        <w:t>的</w:t>
      </w:r>
      <w:r w:rsidR="00482885" w:rsidRPr="00D32237">
        <w:rPr>
          <w:rFonts w:ascii="SimSun" w:hAnsi="SimSun" w:hint="eastAsia"/>
          <w:bCs/>
        </w:rPr>
        <w:t>积压</w:t>
      </w:r>
      <w:r w:rsidR="003F63F4">
        <w:rPr>
          <w:rFonts w:ascii="SimSun" w:hAnsi="SimSun" w:hint="eastAsia"/>
          <w:bCs/>
        </w:rPr>
        <w:t>迅速</w:t>
      </w:r>
      <w:r w:rsidR="00D32237" w:rsidRPr="00D32237">
        <w:rPr>
          <w:rFonts w:ascii="SimSun" w:hAnsi="SimSun" w:hint="eastAsia"/>
          <w:bCs/>
        </w:rPr>
        <w:t>下降</w:t>
      </w:r>
      <w:r w:rsidR="001E0120">
        <w:rPr>
          <w:rFonts w:ascii="SimSun" w:hAnsi="SimSun" w:hint="eastAsia"/>
          <w:bCs/>
        </w:rPr>
        <w:t>上</w:t>
      </w:r>
      <w:r w:rsidR="00D32237" w:rsidRPr="00D32237">
        <w:rPr>
          <w:rFonts w:ascii="SimSun" w:hAnsi="SimSun" w:hint="eastAsia"/>
          <w:bCs/>
        </w:rPr>
        <w:t>。</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2F813C2F"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5BE6B6A2" w:rsidR="00E47C64" w:rsidRPr="00E47C64" w:rsidRDefault="00C544DA"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r w:rsidR="00482885">
        <w:fldChar w:fldCharType="begin"/>
      </w:r>
      <w:r w:rsidR="00482885">
        <w:instrText>HYPERLINK "https://www.wipo.int/documents/d/pct-system/docs-en-official-notices-officialnotices.pdf" \l "page=184"</w:instrText>
      </w:r>
      <w:r w:rsidR="00482885">
        <w:fldChar w:fldCharType="separate"/>
      </w:r>
      <w:r w:rsidR="00482885" w:rsidRPr="00482885">
        <w:rPr>
          <w:rStyle w:val="Hyperlink"/>
          <w:rFonts w:ascii="SimSun" w:hAnsi="SimSun"/>
        </w:rPr>
        <w:t>https://www.wipo.int/documents/d/pct-system/docs-en-official-notices-officialnotices.pdf#page=184</w:t>
      </w:r>
      <w:r w:rsidR="00482885">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lastRenderedPageBreak/>
        <w:t>或者：</w:t>
      </w:r>
    </w:p>
    <w:p w14:paraId="54265A1E" w14:textId="04CD0B68" w:rsidR="00E47C64" w:rsidRPr="00E47C64" w:rsidRDefault="00C544DA"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0E73E3F9" w14:textId="0C146B35" w:rsidR="00E0106C" w:rsidRPr="00E0106C" w:rsidRDefault="00E0106C" w:rsidP="00E0106C">
      <w:pPr>
        <w:spacing w:afterLines="100" w:after="240" w:line="340" w:lineRule="atLeast"/>
        <w:jc w:val="both"/>
        <w:rPr>
          <w:rFonts w:ascii="SimSun" w:hAnsi="SimSun"/>
          <w:bCs/>
        </w:rPr>
      </w:pPr>
      <w:r w:rsidRPr="00EB4F7D">
        <w:rPr>
          <w:rFonts w:ascii="SimSun" w:hAnsi="SimSun"/>
          <w:bCs/>
          <w:lang w:val="fr-CH"/>
        </w:rPr>
        <w:t>INAPI</w:t>
      </w:r>
      <w:r w:rsidRPr="00E0106C">
        <w:rPr>
          <w:rFonts w:ascii="SimSun" w:hAnsi="SimSun" w:hint="eastAsia"/>
          <w:bCs/>
        </w:rPr>
        <w:t>为审查员提供内部</w:t>
      </w:r>
      <w:r w:rsidR="001E0120" w:rsidRPr="001E0120">
        <w:rPr>
          <w:rFonts w:ascii="SimSun" w:hAnsi="SimSun" w:hint="eastAsia"/>
          <w:bCs/>
        </w:rPr>
        <w:t>和</w:t>
      </w:r>
      <w:r w:rsidRPr="00E0106C">
        <w:rPr>
          <w:rFonts w:ascii="SimSun" w:hAnsi="SimSun" w:hint="eastAsia"/>
          <w:bCs/>
        </w:rPr>
        <w:t>外部数据库的访问。</w:t>
      </w:r>
      <w:r w:rsidRPr="001E0120">
        <w:rPr>
          <w:rFonts w:ascii="SimSun" w:hAnsi="SimSun" w:hint="eastAsia"/>
          <w:bCs/>
        </w:rPr>
        <w:t>其中</w:t>
      </w:r>
      <w:r w:rsidRPr="00E0106C">
        <w:rPr>
          <w:rFonts w:ascii="SimSun" w:hAnsi="SimSun" w:hint="eastAsia"/>
          <w:bCs/>
        </w:rPr>
        <w:t>包括免费在线平台，如</w:t>
      </w:r>
      <w:proofErr w:type="spellStart"/>
      <w:r w:rsidRPr="00E0106C">
        <w:rPr>
          <w:rFonts w:ascii="SimSun" w:hAnsi="SimSun"/>
          <w:bCs/>
        </w:rPr>
        <w:t>Espacenet</w:t>
      </w:r>
      <w:proofErr w:type="spellEnd"/>
      <w:r w:rsidRPr="00E0106C">
        <w:rPr>
          <w:rFonts w:ascii="SimSun" w:hAnsi="SimSun" w:hint="eastAsia"/>
          <w:bCs/>
        </w:rPr>
        <w:t>、</w:t>
      </w:r>
      <w:r w:rsidRPr="00E0106C">
        <w:rPr>
          <w:rFonts w:ascii="SimSun" w:hAnsi="SimSun"/>
          <w:bCs/>
        </w:rPr>
        <w:t>Google Patents</w:t>
      </w:r>
      <w:r w:rsidRPr="00E0106C">
        <w:rPr>
          <w:rFonts w:ascii="SimSun" w:hAnsi="SimSun" w:hint="eastAsia"/>
          <w:bCs/>
        </w:rPr>
        <w:t>、</w:t>
      </w:r>
      <w:r w:rsidRPr="00E0106C">
        <w:rPr>
          <w:rFonts w:ascii="SimSun" w:hAnsi="SimSun"/>
          <w:bCs/>
        </w:rPr>
        <w:t>INAPI</w:t>
      </w:r>
      <w:r w:rsidRPr="001E0120">
        <w:rPr>
          <w:rFonts w:ascii="SimSun" w:hAnsi="SimSun" w:hint="eastAsia"/>
          <w:bCs/>
        </w:rPr>
        <w:t>自己的</w:t>
      </w:r>
      <w:r w:rsidRPr="00E0106C">
        <w:rPr>
          <w:rFonts w:ascii="SimSun" w:hAnsi="SimSun" w:hint="eastAsia"/>
          <w:bCs/>
        </w:rPr>
        <w:t>数据库</w:t>
      </w:r>
      <w:r w:rsidRPr="001E0120">
        <w:rPr>
          <w:rFonts w:ascii="SimSun" w:hAnsi="SimSun" w:hint="eastAsia"/>
          <w:bCs/>
        </w:rPr>
        <w:t>和</w:t>
      </w:r>
      <w:proofErr w:type="spellStart"/>
      <w:r w:rsidRPr="00E0106C">
        <w:rPr>
          <w:rFonts w:ascii="SimSun" w:hAnsi="SimSun"/>
          <w:bCs/>
        </w:rPr>
        <w:t>Patentscope</w:t>
      </w:r>
      <w:proofErr w:type="spellEnd"/>
      <w:r w:rsidRPr="00E0106C">
        <w:rPr>
          <w:rFonts w:ascii="SimSun" w:hAnsi="SimSun" w:hint="eastAsia"/>
          <w:bCs/>
        </w:rPr>
        <w:t>。还签订了</w:t>
      </w:r>
      <w:r w:rsidR="0092140E" w:rsidRPr="001E0120">
        <w:rPr>
          <w:rFonts w:ascii="SimSun" w:hAnsi="SimSun" w:hint="eastAsia"/>
          <w:bCs/>
        </w:rPr>
        <w:t>合同</w:t>
      </w:r>
      <w:r w:rsidR="0092140E">
        <w:rPr>
          <w:rFonts w:ascii="SimSun" w:hAnsi="SimSun" w:hint="eastAsia"/>
          <w:bCs/>
        </w:rPr>
        <w:t>使用</w:t>
      </w:r>
      <w:r w:rsidR="00BF2A6C">
        <w:rPr>
          <w:rFonts w:ascii="SimSun" w:hAnsi="SimSun" w:hint="eastAsia"/>
          <w:bCs/>
        </w:rPr>
        <w:t>不同</w:t>
      </w:r>
      <w:r w:rsidR="0092140E">
        <w:rPr>
          <w:rFonts w:ascii="SimSun" w:hAnsi="SimSun" w:hint="eastAsia"/>
          <w:bCs/>
        </w:rPr>
        <w:t>的</w:t>
      </w:r>
      <w:r w:rsidRPr="00E0106C">
        <w:rPr>
          <w:rFonts w:ascii="SimSun" w:hAnsi="SimSun" w:hint="eastAsia"/>
          <w:bCs/>
        </w:rPr>
        <w:t>付费平台，例如</w:t>
      </w:r>
      <w:r w:rsidRPr="00E0106C">
        <w:rPr>
          <w:rFonts w:ascii="SimSun" w:hAnsi="SimSun"/>
          <w:bCs/>
        </w:rPr>
        <w:t>STN</w:t>
      </w:r>
      <w:r w:rsidRPr="00E0106C">
        <w:rPr>
          <w:rFonts w:ascii="SimSun" w:hAnsi="SimSun" w:hint="eastAsia"/>
          <w:bCs/>
        </w:rPr>
        <w:t>（含序列表检索模块）、</w:t>
      </w:r>
      <w:r w:rsidRPr="00E0106C">
        <w:rPr>
          <w:rFonts w:ascii="SimSun" w:hAnsi="SimSun"/>
          <w:bCs/>
        </w:rPr>
        <w:t>Derwent Innovation</w:t>
      </w:r>
      <w:r w:rsidRPr="00E0106C">
        <w:rPr>
          <w:rFonts w:ascii="SimSun" w:hAnsi="SimSun" w:hint="eastAsia"/>
          <w:bCs/>
        </w:rPr>
        <w:t>（原</w:t>
      </w:r>
      <w:r w:rsidRPr="00E0106C">
        <w:rPr>
          <w:rFonts w:ascii="SimSun" w:hAnsi="SimSun"/>
          <w:bCs/>
        </w:rPr>
        <w:t>Thomson Innovation</w:t>
      </w:r>
      <w:r w:rsidRPr="00E0106C">
        <w:rPr>
          <w:rFonts w:ascii="SimSun" w:hAnsi="SimSun" w:hint="eastAsia"/>
          <w:bCs/>
        </w:rPr>
        <w:t>）及</w:t>
      </w:r>
      <w:r w:rsidRPr="00E0106C">
        <w:rPr>
          <w:rFonts w:ascii="SimSun" w:hAnsi="SimSun"/>
          <w:bCs/>
        </w:rPr>
        <w:t>ProQuest Dialog</w:t>
      </w:r>
      <w:r w:rsidRPr="00E0106C">
        <w:rPr>
          <w:rFonts w:ascii="SimSun" w:hAnsi="SimSun" w:hint="eastAsia"/>
          <w:bCs/>
        </w:rPr>
        <w:t>，这些平台</w:t>
      </w:r>
      <w:r w:rsidR="007435C9" w:rsidRPr="001E0120">
        <w:rPr>
          <w:rFonts w:ascii="SimSun" w:hAnsi="SimSun" w:hint="eastAsia"/>
          <w:bCs/>
        </w:rPr>
        <w:t>提供对</w:t>
      </w:r>
      <w:r w:rsidRPr="00E0106C">
        <w:rPr>
          <w:rFonts w:ascii="SimSun" w:hAnsi="SimSun" w:hint="eastAsia"/>
          <w:bCs/>
        </w:rPr>
        <w:t>覆盖所有技术领域的</w:t>
      </w:r>
      <w:r w:rsidRPr="00E0106C">
        <w:rPr>
          <w:rFonts w:ascii="SimSun" w:hAnsi="SimSun"/>
          <w:bCs/>
        </w:rPr>
        <w:t>200</w:t>
      </w:r>
      <w:r w:rsidR="007435C9" w:rsidRPr="001E0120">
        <w:rPr>
          <w:rFonts w:ascii="SimSun" w:hAnsi="SimSun" w:hint="eastAsia"/>
          <w:bCs/>
        </w:rPr>
        <w:t>多</w:t>
      </w:r>
      <w:r w:rsidRPr="00E0106C">
        <w:rPr>
          <w:rFonts w:ascii="SimSun" w:hAnsi="SimSun" w:hint="eastAsia"/>
          <w:bCs/>
        </w:rPr>
        <w:t>个数据库</w:t>
      </w:r>
      <w:r w:rsidR="007435C9" w:rsidRPr="001E0120">
        <w:rPr>
          <w:rFonts w:ascii="SimSun" w:hAnsi="SimSun" w:hint="eastAsia"/>
          <w:bCs/>
        </w:rPr>
        <w:t>的访问</w:t>
      </w:r>
      <w:r w:rsidRPr="00E0106C">
        <w:rPr>
          <w:rFonts w:ascii="SimSun" w:hAnsi="SimSun" w:hint="eastAsia"/>
          <w:bCs/>
        </w:rPr>
        <w:t>。自</w:t>
      </w:r>
      <w:r w:rsidRPr="00E0106C">
        <w:rPr>
          <w:rFonts w:ascii="SimSun" w:hAnsi="SimSun"/>
          <w:bCs/>
        </w:rPr>
        <w:t>2015</w:t>
      </w:r>
      <w:r w:rsidRPr="00E0106C">
        <w:rPr>
          <w:rFonts w:ascii="SimSun" w:hAnsi="SimSun" w:hint="eastAsia"/>
          <w:bCs/>
        </w:rPr>
        <w:t>年起，</w:t>
      </w:r>
      <w:r w:rsidRPr="00E0106C">
        <w:rPr>
          <w:rFonts w:ascii="SimSun" w:hAnsi="SimSun"/>
          <w:bCs/>
        </w:rPr>
        <w:t>EPOQUE Net</w:t>
      </w:r>
      <w:r w:rsidR="007435C9" w:rsidRPr="001E0120">
        <w:rPr>
          <w:rFonts w:ascii="SimSun" w:hAnsi="SimSun" w:hint="eastAsia"/>
          <w:bCs/>
        </w:rPr>
        <w:t>可供</w:t>
      </w:r>
      <w:r w:rsidRPr="00E0106C">
        <w:rPr>
          <w:rFonts w:ascii="SimSun" w:hAnsi="SimSun" w:hint="eastAsia"/>
          <w:bCs/>
        </w:rPr>
        <w:t>全面使用。</w:t>
      </w:r>
      <w:r w:rsidR="007435C9" w:rsidRPr="001E0120">
        <w:rPr>
          <w:rFonts w:ascii="SimSun" w:hAnsi="SimSun"/>
          <w:color w:val="000000" w:themeColor="text1"/>
        </w:rPr>
        <w:t>EPOQUE</w:t>
      </w:r>
      <w:r w:rsidRPr="00E0106C">
        <w:rPr>
          <w:rFonts w:ascii="SimSun" w:hAnsi="SimSun" w:hint="eastAsia"/>
          <w:bCs/>
        </w:rPr>
        <w:t>将于</w:t>
      </w:r>
      <w:r w:rsidRPr="00E0106C">
        <w:rPr>
          <w:rFonts w:ascii="SimSun" w:hAnsi="SimSun"/>
          <w:bCs/>
        </w:rPr>
        <w:t>2025</w:t>
      </w:r>
      <w:r w:rsidRPr="00E0106C">
        <w:rPr>
          <w:rFonts w:ascii="SimSun" w:hAnsi="SimSun" w:hint="eastAsia"/>
          <w:bCs/>
        </w:rPr>
        <w:t>年</w:t>
      </w:r>
      <w:r w:rsidRPr="00E0106C">
        <w:rPr>
          <w:rFonts w:ascii="SimSun" w:hAnsi="SimSun"/>
          <w:bCs/>
        </w:rPr>
        <w:t>12</w:t>
      </w:r>
      <w:r w:rsidRPr="00E0106C">
        <w:rPr>
          <w:rFonts w:ascii="SimSun" w:hAnsi="SimSun" w:hint="eastAsia"/>
          <w:bCs/>
        </w:rPr>
        <w:t>月</w:t>
      </w:r>
      <w:r w:rsidRPr="00E0106C">
        <w:rPr>
          <w:rFonts w:ascii="SimSun" w:hAnsi="SimSun"/>
          <w:bCs/>
        </w:rPr>
        <w:t>31</w:t>
      </w:r>
      <w:r w:rsidRPr="00E0106C">
        <w:rPr>
          <w:rFonts w:ascii="SimSun" w:hAnsi="SimSun" w:hint="eastAsia"/>
          <w:bCs/>
        </w:rPr>
        <w:t>日停止</w:t>
      </w:r>
      <w:r w:rsidR="007435C9" w:rsidRPr="001E0120">
        <w:rPr>
          <w:rFonts w:ascii="SimSun" w:hAnsi="SimSun" w:hint="eastAsia"/>
          <w:bCs/>
        </w:rPr>
        <w:t>提供</w:t>
      </w:r>
      <w:r w:rsidRPr="00E0106C">
        <w:rPr>
          <w:rFonts w:ascii="SimSun" w:hAnsi="SimSun" w:hint="eastAsia"/>
          <w:bCs/>
        </w:rPr>
        <w:t>，</w:t>
      </w:r>
      <w:r w:rsidR="007435C9" w:rsidRPr="001E0120">
        <w:rPr>
          <w:rFonts w:ascii="SimSun" w:hAnsi="SimSun" w:hint="eastAsia"/>
          <w:bCs/>
        </w:rPr>
        <w:t>并</w:t>
      </w:r>
      <w:r w:rsidRPr="00E0106C">
        <w:rPr>
          <w:rFonts w:ascii="SimSun" w:hAnsi="SimSun" w:hint="eastAsia"/>
          <w:bCs/>
        </w:rPr>
        <w:t>由基于</w:t>
      </w:r>
      <w:r w:rsidRPr="00E0106C">
        <w:rPr>
          <w:rFonts w:ascii="SimSun" w:hAnsi="SimSun"/>
          <w:bCs/>
        </w:rPr>
        <w:t>ANSERA</w:t>
      </w:r>
      <w:r w:rsidRPr="00E0106C">
        <w:rPr>
          <w:rFonts w:ascii="SimSun" w:hAnsi="SimSun" w:hint="eastAsia"/>
          <w:bCs/>
        </w:rPr>
        <w:t>的检索</w:t>
      </w:r>
      <w:r w:rsidR="007435C9" w:rsidRPr="00E0106C">
        <w:rPr>
          <w:rFonts w:ascii="SimSun" w:hAnsi="SimSun" w:hint="eastAsia"/>
          <w:bCs/>
        </w:rPr>
        <w:t>（</w:t>
      </w:r>
      <w:proofErr w:type="spellStart"/>
      <w:r w:rsidR="007435C9" w:rsidRPr="00E0106C">
        <w:rPr>
          <w:rFonts w:ascii="SimSun" w:hAnsi="SimSun"/>
          <w:bCs/>
        </w:rPr>
        <w:t>AbS</w:t>
      </w:r>
      <w:proofErr w:type="spellEnd"/>
      <w:r w:rsidR="007435C9" w:rsidRPr="00E0106C">
        <w:rPr>
          <w:rFonts w:ascii="SimSun" w:hAnsi="SimSun" w:hint="eastAsia"/>
          <w:bCs/>
        </w:rPr>
        <w:t>）</w:t>
      </w:r>
      <w:r w:rsidRPr="00E0106C">
        <w:rPr>
          <w:rFonts w:ascii="SimSun" w:hAnsi="SimSun" w:hint="eastAsia"/>
          <w:bCs/>
        </w:rPr>
        <w:t>平台</w:t>
      </w:r>
      <w:r w:rsidR="007435C9" w:rsidRPr="001E0120">
        <w:rPr>
          <w:rFonts w:ascii="SimSun" w:hAnsi="SimSun" w:hint="eastAsia"/>
          <w:bCs/>
        </w:rPr>
        <w:t>代替</w:t>
      </w:r>
      <w:r w:rsidRPr="00E0106C">
        <w:rPr>
          <w:rFonts w:ascii="SimSun" w:hAnsi="SimSun" w:hint="eastAsia"/>
          <w:bCs/>
        </w:rPr>
        <w:t>。为此，</w:t>
      </w:r>
      <w:r w:rsidRPr="00E0106C">
        <w:rPr>
          <w:rFonts w:ascii="SimSun" w:hAnsi="SimSun"/>
          <w:bCs/>
        </w:rPr>
        <w:t>INAPI</w:t>
      </w:r>
      <w:r w:rsidRPr="00E0106C">
        <w:rPr>
          <w:rFonts w:ascii="SimSun" w:hAnsi="SimSun" w:hint="eastAsia"/>
          <w:bCs/>
        </w:rPr>
        <w:t>审查员已接受培训</w:t>
      </w:r>
      <w:r w:rsidR="001E0120">
        <w:rPr>
          <w:rFonts w:ascii="SimSun" w:hAnsi="SimSun" w:hint="eastAsia"/>
          <w:bCs/>
        </w:rPr>
        <w:t>，</w:t>
      </w:r>
      <w:r w:rsidR="007435C9" w:rsidRPr="001E0120">
        <w:rPr>
          <w:rFonts w:ascii="SimSun" w:hAnsi="SimSun" w:hint="eastAsia"/>
          <w:bCs/>
        </w:rPr>
        <w:t>熟悉这一新系统</w:t>
      </w:r>
      <w:r w:rsidRPr="00E0106C">
        <w:rPr>
          <w:rFonts w:ascii="SimSun" w:hAnsi="SimSun" w:hint="eastAsia"/>
          <w:bCs/>
        </w:rPr>
        <w:t>。</w:t>
      </w:r>
      <w:r w:rsidRPr="00E0106C">
        <w:rPr>
          <w:rFonts w:ascii="SimSun" w:hAnsi="SimSun"/>
          <w:bCs/>
        </w:rPr>
        <w:t>INAPI</w:t>
      </w:r>
      <w:r w:rsidR="007435C9" w:rsidRPr="001E0120">
        <w:rPr>
          <w:rFonts w:ascii="SimSun" w:hAnsi="SimSun" w:hint="eastAsia"/>
          <w:bCs/>
        </w:rPr>
        <w:t>还</w:t>
      </w:r>
      <w:r w:rsidRPr="00E0106C">
        <w:rPr>
          <w:rFonts w:ascii="SimSun" w:hAnsi="SimSun" w:hint="eastAsia"/>
          <w:bCs/>
        </w:rPr>
        <w:t>与欧洲专利局举行了会议，探讨并建立最</w:t>
      </w:r>
      <w:r w:rsidR="007435C9" w:rsidRPr="001E0120">
        <w:rPr>
          <w:rFonts w:ascii="SimSun" w:hAnsi="SimSun" w:hint="eastAsia"/>
          <w:bCs/>
        </w:rPr>
        <w:t>合适的</w:t>
      </w:r>
      <w:r w:rsidRPr="00E0106C">
        <w:rPr>
          <w:rFonts w:ascii="SimSun" w:hAnsi="SimSun" w:hint="eastAsia"/>
          <w:bCs/>
        </w:rPr>
        <w:t>机制，确保</w:t>
      </w:r>
      <w:r w:rsidR="007435C9" w:rsidRPr="001E0120">
        <w:rPr>
          <w:rFonts w:ascii="SimSun" w:hAnsi="SimSun" w:hint="eastAsia"/>
          <w:bCs/>
        </w:rPr>
        <w:t>这一</w:t>
      </w:r>
      <w:r w:rsidR="007435C9" w:rsidRPr="00E0106C">
        <w:rPr>
          <w:rFonts w:ascii="SimSun" w:hAnsi="SimSun" w:hint="eastAsia"/>
          <w:bCs/>
        </w:rPr>
        <w:t>新工具</w:t>
      </w:r>
      <w:r w:rsidR="007435C9" w:rsidRPr="001E0120">
        <w:rPr>
          <w:rFonts w:ascii="SimSun" w:hAnsi="SimSun" w:hint="eastAsia"/>
          <w:bCs/>
        </w:rPr>
        <w:t>在</w:t>
      </w:r>
      <w:r w:rsidRPr="00E0106C">
        <w:rPr>
          <w:rFonts w:ascii="SimSun" w:hAnsi="SimSun" w:hint="eastAsia"/>
          <w:bCs/>
        </w:rPr>
        <w:t>未来</w:t>
      </w:r>
      <w:r w:rsidR="007435C9" w:rsidRPr="001E0120">
        <w:rPr>
          <w:rFonts w:ascii="SimSun" w:hAnsi="SimSun" w:hint="eastAsia"/>
          <w:bCs/>
        </w:rPr>
        <w:t>的优化、</w:t>
      </w:r>
      <w:r w:rsidRPr="00E0106C">
        <w:rPr>
          <w:rFonts w:ascii="SimSun" w:hAnsi="SimSun" w:hint="eastAsia"/>
          <w:bCs/>
        </w:rPr>
        <w:t>高效</w:t>
      </w:r>
      <w:r w:rsidR="007435C9" w:rsidRPr="001E0120">
        <w:rPr>
          <w:rFonts w:ascii="SimSun" w:hAnsi="SimSun" w:hint="eastAsia"/>
          <w:bCs/>
        </w:rPr>
        <w:t>使用</w:t>
      </w:r>
      <w:r w:rsidRPr="00E0106C">
        <w:rPr>
          <w:rFonts w:ascii="SimSun" w:hAnsi="SimSun" w:hint="eastAsia"/>
          <w:bCs/>
        </w:rPr>
        <w:t>。此外，根据与</w:t>
      </w:r>
      <w:r w:rsidR="007435C9" w:rsidRPr="001E0120">
        <w:rPr>
          <w:rFonts w:ascii="SimSun" w:hAnsi="SimSun" w:hint="eastAsia"/>
          <w:bCs/>
        </w:rPr>
        <w:t>国家研究与发展局</w:t>
      </w:r>
      <w:r w:rsidRPr="00E0106C">
        <w:rPr>
          <w:rFonts w:ascii="SimSun" w:hAnsi="SimSun" w:hint="eastAsia"/>
          <w:bCs/>
        </w:rPr>
        <w:t>（</w:t>
      </w:r>
      <w:r w:rsidRPr="00E0106C">
        <w:rPr>
          <w:rFonts w:ascii="SimSun" w:hAnsi="SimSun"/>
          <w:bCs/>
        </w:rPr>
        <w:t>ANID</w:t>
      </w:r>
      <w:r w:rsidRPr="00E0106C">
        <w:rPr>
          <w:rFonts w:ascii="SimSun" w:hAnsi="SimSun" w:hint="eastAsia"/>
          <w:bCs/>
        </w:rPr>
        <w:t>）的协议，</w:t>
      </w:r>
      <w:r w:rsidRPr="00E0106C">
        <w:rPr>
          <w:rFonts w:ascii="SimSun" w:hAnsi="SimSun"/>
          <w:bCs/>
        </w:rPr>
        <w:t>INAPI</w:t>
      </w:r>
      <w:r w:rsidRPr="00E0106C">
        <w:rPr>
          <w:rFonts w:ascii="SimSun" w:hAnsi="SimSun" w:hint="eastAsia"/>
          <w:bCs/>
        </w:rPr>
        <w:t>可通过电子科学信息图书馆（</w:t>
      </w:r>
      <w:r w:rsidRPr="00E0106C">
        <w:rPr>
          <w:rFonts w:ascii="SimSun" w:hAnsi="SimSun"/>
          <w:bCs/>
        </w:rPr>
        <w:t>BEIC</w:t>
      </w:r>
      <w:r w:rsidRPr="00E0106C">
        <w:rPr>
          <w:rFonts w:ascii="SimSun" w:hAnsi="SimSun" w:hint="eastAsia"/>
          <w:bCs/>
        </w:rPr>
        <w:t>）</w:t>
      </w:r>
      <w:r w:rsidR="007435C9" w:rsidRPr="001E0120">
        <w:rPr>
          <w:rFonts w:ascii="SimSun" w:hAnsi="SimSun" w:hint="eastAsia"/>
          <w:bCs/>
        </w:rPr>
        <w:t>以电子格式</w:t>
      </w:r>
      <w:r w:rsidRPr="00E0106C">
        <w:rPr>
          <w:rFonts w:ascii="SimSun" w:hAnsi="SimSun" w:hint="eastAsia"/>
          <w:bCs/>
        </w:rPr>
        <w:t>获取近</w:t>
      </w:r>
      <w:r w:rsidRPr="00E0106C">
        <w:rPr>
          <w:rFonts w:ascii="SimSun" w:hAnsi="SimSun"/>
          <w:bCs/>
        </w:rPr>
        <w:t>5</w:t>
      </w:r>
      <w:r w:rsidR="007435C9" w:rsidRPr="001E0120">
        <w:rPr>
          <w:rFonts w:ascii="SimSun" w:hAnsi="SimSun" w:hint="eastAsia"/>
          <w:bCs/>
        </w:rPr>
        <w:t>,</w:t>
      </w:r>
      <w:r w:rsidRPr="00E0106C">
        <w:rPr>
          <w:rFonts w:ascii="SimSun" w:hAnsi="SimSun"/>
          <w:bCs/>
        </w:rPr>
        <w:t>000</w:t>
      </w:r>
      <w:r w:rsidRPr="00E0106C">
        <w:rPr>
          <w:rFonts w:ascii="SimSun" w:hAnsi="SimSun" w:hint="eastAsia"/>
          <w:bCs/>
        </w:rPr>
        <w:t>种科技期刊</w:t>
      </w:r>
      <w:r w:rsidR="001E0120">
        <w:rPr>
          <w:rFonts w:ascii="SimSun" w:hAnsi="SimSun" w:hint="eastAsia"/>
          <w:bCs/>
        </w:rPr>
        <w:t>的</w:t>
      </w:r>
      <w:r w:rsidRPr="00E0106C">
        <w:rPr>
          <w:rFonts w:ascii="SimSun" w:hAnsi="SimSun" w:hint="eastAsia"/>
          <w:bCs/>
        </w:rPr>
        <w:t>全文，覆盖</w:t>
      </w:r>
      <w:r w:rsidRPr="00E0106C">
        <w:rPr>
          <w:rFonts w:ascii="SimSun" w:hAnsi="SimSun"/>
          <w:bCs/>
        </w:rPr>
        <w:t>99</w:t>
      </w:r>
      <w:r w:rsidRPr="00E0106C">
        <w:rPr>
          <w:rFonts w:ascii="SimSun" w:hAnsi="SimSun" w:hint="eastAsia"/>
          <w:bCs/>
        </w:rPr>
        <w:t>个学科，其中包含</w:t>
      </w:r>
      <w:r w:rsidR="001E0120">
        <w:rPr>
          <w:rFonts w:ascii="SimSun" w:hAnsi="SimSun" w:hint="eastAsia"/>
          <w:bCs/>
        </w:rPr>
        <w:t>对</w:t>
      </w:r>
      <w:r w:rsidRPr="00E0106C">
        <w:rPr>
          <w:rFonts w:ascii="SimSun" w:hAnsi="SimSun" w:hint="eastAsia"/>
          <w:bCs/>
        </w:rPr>
        <w:t>牛津大学出版社、爱思唯尔、</w:t>
      </w:r>
      <w:r w:rsidR="007435C9" w:rsidRPr="001E0120">
        <w:rPr>
          <w:rFonts w:ascii="SimSun" w:hAnsi="SimSun" w:hint="eastAsia"/>
          <w:bCs/>
        </w:rPr>
        <w:t>美国化学学会</w:t>
      </w:r>
      <w:r w:rsidRPr="00E0106C">
        <w:rPr>
          <w:rFonts w:ascii="SimSun" w:hAnsi="SimSun" w:hint="eastAsia"/>
          <w:bCs/>
        </w:rPr>
        <w:t>、年度评论、</w:t>
      </w:r>
      <w:r w:rsidR="00E356B0" w:rsidRPr="001E0120">
        <w:rPr>
          <w:rFonts w:ascii="SimSun" w:hAnsi="SimSun" w:hint="eastAsia"/>
          <w:bCs/>
        </w:rPr>
        <w:t>《</w:t>
      </w:r>
      <w:r w:rsidRPr="00E0106C">
        <w:rPr>
          <w:rFonts w:ascii="SimSun" w:hAnsi="SimSun" w:hint="eastAsia"/>
          <w:bCs/>
        </w:rPr>
        <w:t>自然</w:t>
      </w:r>
      <w:r w:rsidR="00E356B0" w:rsidRPr="001E0120">
        <w:rPr>
          <w:rFonts w:ascii="SimSun" w:hAnsi="SimSun" w:hint="eastAsia"/>
          <w:bCs/>
        </w:rPr>
        <w:t>》</w:t>
      </w:r>
      <w:r w:rsidRPr="00E0106C">
        <w:rPr>
          <w:rFonts w:ascii="SimSun" w:hAnsi="SimSun" w:hint="eastAsia"/>
          <w:bCs/>
        </w:rPr>
        <w:t>、</w:t>
      </w:r>
      <w:r w:rsidR="00C7737F" w:rsidRPr="001E0120">
        <w:rPr>
          <w:rFonts w:ascii="SimSun" w:hAnsi="SimSun"/>
          <w:bCs/>
        </w:rPr>
        <w:t>Springer</w:t>
      </w:r>
      <w:r w:rsidRPr="00E0106C">
        <w:rPr>
          <w:rFonts w:ascii="SimSun" w:hAnsi="SimSun" w:hint="eastAsia"/>
          <w:bCs/>
        </w:rPr>
        <w:t>、《科学》杂志及</w:t>
      </w:r>
      <w:r w:rsidR="00C7737F" w:rsidRPr="001E0120">
        <w:rPr>
          <w:rFonts w:ascii="SimSun" w:hAnsi="SimSun"/>
          <w:color w:val="000000" w:themeColor="text1"/>
        </w:rPr>
        <w:t>Wiley</w:t>
      </w:r>
      <w:r w:rsidRPr="00E0106C">
        <w:rPr>
          <w:rFonts w:ascii="SimSun" w:hAnsi="SimSun" w:hint="eastAsia"/>
          <w:bCs/>
        </w:rPr>
        <w:t>等资源</w:t>
      </w:r>
      <w:r w:rsidR="007435C9" w:rsidRPr="001E0120">
        <w:rPr>
          <w:rFonts w:ascii="SimSun" w:hAnsi="SimSun" w:hint="eastAsia"/>
          <w:bCs/>
        </w:rPr>
        <w:t>的获取</w:t>
      </w:r>
      <w:r w:rsidRPr="00E0106C">
        <w:rPr>
          <w:rFonts w:ascii="SimSun" w:hAnsi="SimSun" w:hint="eastAsia"/>
          <w:bCs/>
        </w:rPr>
        <w:t>。该平台</w:t>
      </w:r>
      <w:r w:rsidRPr="00E0106C">
        <w:rPr>
          <w:rFonts w:ascii="SimSun" w:hAnsi="SimSun"/>
          <w:bCs/>
        </w:rPr>
        <w:t>2024</w:t>
      </w:r>
      <w:r w:rsidRPr="00E0106C">
        <w:rPr>
          <w:rFonts w:ascii="SimSun" w:hAnsi="SimSun" w:hint="eastAsia"/>
          <w:bCs/>
        </w:rPr>
        <w:t>年的</w:t>
      </w:r>
      <w:r w:rsidR="001E0120">
        <w:rPr>
          <w:rFonts w:ascii="SimSun" w:hAnsi="SimSun" w:hint="eastAsia"/>
          <w:bCs/>
        </w:rPr>
        <w:t>成本</w:t>
      </w:r>
      <w:r w:rsidRPr="00E0106C">
        <w:rPr>
          <w:rFonts w:ascii="SimSun" w:hAnsi="SimSun" w:hint="eastAsia"/>
          <w:bCs/>
        </w:rPr>
        <w:t>超过</w:t>
      </w:r>
      <w:r w:rsidRPr="00E0106C">
        <w:rPr>
          <w:rFonts w:ascii="SimSun" w:hAnsi="SimSun"/>
          <w:bCs/>
        </w:rPr>
        <w:t>1200</w:t>
      </w:r>
      <w:r w:rsidRPr="00E0106C">
        <w:rPr>
          <w:rFonts w:ascii="SimSun" w:hAnsi="SimSun" w:hint="eastAsia"/>
          <w:bCs/>
        </w:rPr>
        <w:t>万美元。</w:t>
      </w:r>
    </w:p>
    <w:p w14:paraId="6894F0C9" w14:textId="171FF84C" w:rsidR="00E0106C" w:rsidRPr="001E0120" w:rsidRDefault="00E0106C" w:rsidP="00E0106C">
      <w:pPr>
        <w:spacing w:afterLines="100" w:after="240" w:line="340" w:lineRule="atLeast"/>
        <w:jc w:val="both"/>
        <w:rPr>
          <w:rFonts w:ascii="SimSun" w:hAnsi="SimSun"/>
          <w:bCs/>
          <w:lang w:val="fr-CH"/>
        </w:rPr>
      </w:pPr>
      <w:r w:rsidRPr="001E0120">
        <w:rPr>
          <w:rFonts w:ascii="SimSun" w:hAnsi="SimSun"/>
          <w:bCs/>
        </w:rPr>
        <w:t>INAPI</w:t>
      </w:r>
      <w:r w:rsidR="00C7737F" w:rsidRPr="001E0120">
        <w:rPr>
          <w:rFonts w:ascii="SimSun" w:hAnsi="SimSun" w:hint="eastAsia"/>
          <w:bCs/>
        </w:rPr>
        <w:t>不断寻求</w:t>
      </w:r>
      <w:r w:rsidRPr="001E0120">
        <w:rPr>
          <w:rFonts w:ascii="SimSun" w:hAnsi="SimSun" w:hint="eastAsia"/>
          <w:bCs/>
        </w:rPr>
        <w:t>可提升检索能力的</w:t>
      </w:r>
      <w:r w:rsidR="00C7737F" w:rsidRPr="001E0120">
        <w:rPr>
          <w:rFonts w:ascii="SimSun" w:hAnsi="SimSun" w:hint="eastAsia"/>
          <w:bCs/>
        </w:rPr>
        <w:t>其他</w:t>
      </w:r>
      <w:r w:rsidRPr="001E0120">
        <w:rPr>
          <w:rFonts w:ascii="SimSun" w:hAnsi="SimSun" w:hint="eastAsia"/>
          <w:bCs/>
        </w:rPr>
        <w:t>数据库</w:t>
      </w:r>
      <w:r w:rsidR="00C7737F" w:rsidRPr="001E0120">
        <w:rPr>
          <w:rFonts w:ascii="SimSun" w:hAnsi="SimSun" w:hint="eastAsia"/>
          <w:bCs/>
        </w:rPr>
        <w:t>。</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622057AA" w14:textId="16AF8877" w:rsidR="005829E9" w:rsidRPr="00E47C64" w:rsidRDefault="00C7737F" w:rsidP="0059762F">
      <w:pPr>
        <w:spacing w:afterLines="100" w:after="240" w:line="340" w:lineRule="atLeast"/>
        <w:jc w:val="both"/>
        <w:rPr>
          <w:rFonts w:ascii="SimSun" w:hAnsi="SimSun"/>
          <w:bCs/>
        </w:rPr>
      </w:pPr>
      <w:r w:rsidRPr="002254C7">
        <w:rPr>
          <w:rFonts w:ascii="SimSun" w:hAnsi="SimSun"/>
          <w:bCs/>
        </w:rPr>
        <w:t>INAPI</w:t>
      </w:r>
      <w:r w:rsidR="002254C7">
        <w:rPr>
          <w:rFonts w:ascii="SimSun" w:hAnsi="SimSun" w:hint="eastAsia"/>
          <w:bCs/>
        </w:rPr>
        <w:t>拥有</w:t>
      </w:r>
      <w:r w:rsidRPr="00C7737F">
        <w:rPr>
          <w:rFonts w:ascii="SimSun" w:hAnsi="SimSun" w:hint="eastAsia"/>
          <w:bCs/>
        </w:rPr>
        <w:t>符合《</w:t>
      </w:r>
      <w:r w:rsidR="002254C7" w:rsidRPr="002254C7">
        <w:rPr>
          <w:rFonts w:ascii="SimSun" w:hAnsi="SimSun" w:hint="eastAsia"/>
          <w:bCs/>
        </w:rPr>
        <w:t>PCT国际检索和初步审查指南</w:t>
      </w:r>
      <w:r w:rsidRPr="00C7737F">
        <w:rPr>
          <w:rFonts w:ascii="SimSun" w:hAnsi="SimSun" w:hint="eastAsia"/>
          <w:bCs/>
        </w:rPr>
        <w:t>》第</w:t>
      </w:r>
      <w:r w:rsidRPr="00C7737F">
        <w:rPr>
          <w:rFonts w:ascii="SimSun" w:hAnsi="SimSun"/>
          <w:bCs/>
        </w:rPr>
        <w:t>21</w:t>
      </w:r>
      <w:r w:rsidRPr="00C7737F">
        <w:rPr>
          <w:rFonts w:ascii="SimSun" w:hAnsi="SimSun" w:hint="eastAsia"/>
          <w:bCs/>
        </w:rPr>
        <w:t>章要求</w:t>
      </w:r>
      <w:r w:rsidR="002254C7">
        <w:rPr>
          <w:rFonts w:ascii="SimSun" w:hAnsi="SimSun" w:hint="eastAsia"/>
          <w:bCs/>
        </w:rPr>
        <w:t>的</w:t>
      </w:r>
      <w:r w:rsidR="002254C7" w:rsidRPr="002254C7">
        <w:rPr>
          <w:rFonts w:ascii="SimSun" w:hAnsi="SimSun" w:hint="eastAsia"/>
          <w:bCs/>
        </w:rPr>
        <w:t>质</w:t>
      </w:r>
      <w:r w:rsidR="002254C7" w:rsidRPr="00C7737F">
        <w:rPr>
          <w:rFonts w:ascii="SimSun" w:hAnsi="SimSun" w:hint="eastAsia"/>
          <w:bCs/>
        </w:rPr>
        <w:t>量管理</w:t>
      </w:r>
      <w:r w:rsidR="002254C7">
        <w:rPr>
          <w:rFonts w:ascii="SimSun" w:hAnsi="SimSun" w:hint="eastAsia"/>
          <w:bCs/>
        </w:rPr>
        <w:t>系统</w:t>
      </w:r>
      <w:r w:rsidRPr="00C7737F">
        <w:rPr>
          <w:rFonts w:ascii="SimSun" w:hAnsi="SimSun" w:hint="eastAsia"/>
          <w:bCs/>
        </w:rPr>
        <w:t>。该</w:t>
      </w:r>
      <w:r w:rsidR="001E0120">
        <w:rPr>
          <w:rFonts w:ascii="SimSun" w:hAnsi="SimSun" w:hint="eastAsia"/>
          <w:bCs/>
        </w:rPr>
        <w:t>系统</w:t>
      </w:r>
      <w:r w:rsidR="002254C7">
        <w:rPr>
          <w:rFonts w:ascii="SimSun" w:hAnsi="SimSun" w:hint="eastAsia"/>
          <w:bCs/>
        </w:rPr>
        <w:t>开发</w:t>
      </w:r>
      <w:r w:rsidRPr="00C7737F">
        <w:rPr>
          <w:rFonts w:ascii="SimSun" w:hAnsi="SimSun" w:hint="eastAsia"/>
          <w:bCs/>
        </w:rPr>
        <w:t>完善</w:t>
      </w:r>
      <w:r w:rsidR="002254C7">
        <w:rPr>
          <w:rFonts w:ascii="SimSun" w:hAnsi="SimSun" w:hint="eastAsia"/>
          <w:bCs/>
        </w:rPr>
        <w:t>并</w:t>
      </w:r>
      <w:r w:rsidRPr="00C7737F">
        <w:rPr>
          <w:rFonts w:ascii="SimSun" w:hAnsi="SimSun" w:hint="eastAsia"/>
          <w:bCs/>
        </w:rPr>
        <w:t>持续改进。</w:t>
      </w:r>
      <w:r w:rsidRPr="00C7737F">
        <w:rPr>
          <w:rFonts w:ascii="SimSun" w:hAnsi="SimSun"/>
          <w:bCs/>
        </w:rPr>
        <w:t>INAPI</w:t>
      </w:r>
      <w:r w:rsidRPr="00C7737F">
        <w:rPr>
          <w:rFonts w:ascii="SimSun" w:hAnsi="SimSun" w:hint="eastAsia"/>
          <w:bCs/>
        </w:rPr>
        <w:t>所有</w:t>
      </w:r>
      <w:r w:rsidRPr="00C7737F">
        <w:rPr>
          <w:rFonts w:ascii="SimSun" w:hAnsi="SimSun"/>
          <w:bCs/>
        </w:rPr>
        <w:t>PCT</w:t>
      </w:r>
      <w:r w:rsidRPr="00C7737F">
        <w:rPr>
          <w:rFonts w:ascii="SimSun" w:hAnsi="SimSun" w:hint="eastAsia"/>
          <w:bCs/>
        </w:rPr>
        <w:t>国际阶段流程</w:t>
      </w:r>
      <w:r w:rsidR="002254C7">
        <w:rPr>
          <w:rFonts w:ascii="SimSun" w:hAnsi="SimSun" w:hint="eastAsia"/>
          <w:bCs/>
        </w:rPr>
        <w:t>，</w:t>
      </w:r>
      <w:r w:rsidRPr="00C7737F">
        <w:rPr>
          <w:rFonts w:ascii="SimSun" w:hAnsi="SimSun" w:hint="eastAsia"/>
          <w:bCs/>
        </w:rPr>
        <w:t>即作为受理局</w:t>
      </w:r>
      <w:r w:rsidR="002254C7">
        <w:rPr>
          <w:rFonts w:ascii="SimSun" w:hAnsi="SimSun" w:hint="eastAsia"/>
          <w:bCs/>
        </w:rPr>
        <w:t>（RO）</w:t>
      </w:r>
      <w:r w:rsidRPr="00C7737F">
        <w:rPr>
          <w:rFonts w:ascii="SimSun" w:hAnsi="SimSun" w:hint="eastAsia"/>
          <w:bCs/>
        </w:rPr>
        <w:t>、国际检索</w:t>
      </w:r>
      <w:r w:rsidR="002254C7">
        <w:rPr>
          <w:rFonts w:ascii="SimSun" w:hAnsi="SimSun" w:hint="eastAsia"/>
          <w:bCs/>
        </w:rPr>
        <w:t>单位和</w:t>
      </w:r>
      <w:r w:rsidRPr="00C7737F">
        <w:rPr>
          <w:rFonts w:ascii="SimSun" w:hAnsi="SimSun" w:hint="eastAsia"/>
          <w:bCs/>
        </w:rPr>
        <w:t>初步审查</w:t>
      </w:r>
      <w:r w:rsidR="002254C7">
        <w:rPr>
          <w:rFonts w:ascii="SimSun" w:hAnsi="SimSun" w:hint="eastAsia"/>
          <w:bCs/>
        </w:rPr>
        <w:t>单位（</w:t>
      </w:r>
      <w:r w:rsidR="002254C7" w:rsidRPr="002254C7">
        <w:rPr>
          <w:rFonts w:ascii="SimSun" w:hAnsi="SimSun"/>
          <w:bCs/>
        </w:rPr>
        <w:t>ISA/IPEA</w:t>
      </w:r>
      <w:r w:rsidR="002254C7">
        <w:rPr>
          <w:rFonts w:ascii="SimSun" w:hAnsi="SimSun" w:hint="eastAsia"/>
          <w:bCs/>
        </w:rPr>
        <w:t>）的职能</w:t>
      </w:r>
      <w:r w:rsidR="008F3BCC">
        <w:rPr>
          <w:rFonts w:ascii="SimSun" w:hAnsi="SimSun" w:hint="eastAsia"/>
          <w:bCs/>
        </w:rPr>
        <w:t>，</w:t>
      </w:r>
      <w:r w:rsidRPr="00C7737F">
        <w:rPr>
          <w:rFonts w:ascii="SimSun" w:hAnsi="SimSun" w:hint="eastAsia"/>
          <w:bCs/>
        </w:rPr>
        <w:t>均</w:t>
      </w:r>
      <w:r w:rsidR="00586F18">
        <w:rPr>
          <w:rFonts w:ascii="SimSun" w:hAnsi="SimSun" w:hint="eastAsia"/>
          <w:bCs/>
        </w:rPr>
        <w:t>获得</w:t>
      </w:r>
      <w:r w:rsidRPr="00C7737F">
        <w:rPr>
          <w:rFonts w:ascii="SimSun" w:hAnsi="SimSun"/>
          <w:bCs/>
        </w:rPr>
        <w:t>ISO 9001:2015</w:t>
      </w:r>
      <w:r w:rsidRPr="00C7737F">
        <w:rPr>
          <w:rFonts w:ascii="SimSun" w:hAnsi="SimSun" w:hint="eastAsia"/>
          <w:bCs/>
        </w:rPr>
        <w:t>认证。这</w:t>
      </w:r>
      <w:r w:rsidR="008F3BCC">
        <w:rPr>
          <w:rFonts w:ascii="SimSun" w:hAnsi="SimSun" w:hint="eastAsia"/>
          <w:bCs/>
        </w:rPr>
        <w:t>保障</w:t>
      </w:r>
      <w:r w:rsidR="00C304BA">
        <w:rPr>
          <w:rFonts w:ascii="SimSun" w:hAnsi="SimSun" w:hint="eastAsia"/>
          <w:bCs/>
        </w:rPr>
        <w:t>了</w:t>
      </w:r>
      <w:r w:rsidRPr="00C7737F">
        <w:rPr>
          <w:rFonts w:ascii="SimSun" w:hAnsi="SimSun" w:hint="eastAsia"/>
          <w:bCs/>
        </w:rPr>
        <w:t>我们</w:t>
      </w:r>
      <w:r w:rsidR="00586F18">
        <w:rPr>
          <w:rFonts w:ascii="SimSun" w:hAnsi="SimSun" w:hint="eastAsia"/>
          <w:bCs/>
        </w:rPr>
        <w:t>对</w:t>
      </w:r>
      <w:r w:rsidR="008F3BCC">
        <w:rPr>
          <w:rFonts w:ascii="SimSun" w:hAnsi="SimSun" w:hint="eastAsia"/>
          <w:bCs/>
        </w:rPr>
        <w:t>依靠</w:t>
      </w:r>
      <w:r w:rsidRPr="00C7737F">
        <w:rPr>
          <w:rFonts w:ascii="SimSun" w:hAnsi="SimSun"/>
          <w:bCs/>
        </w:rPr>
        <w:t>INAPI</w:t>
      </w:r>
      <w:r w:rsidR="008F3BCC">
        <w:rPr>
          <w:rFonts w:ascii="SimSun" w:hAnsi="SimSun" w:hint="eastAsia"/>
          <w:bCs/>
        </w:rPr>
        <w:t>提供</w:t>
      </w:r>
      <w:r w:rsidRPr="00C7737F">
        <w:rPr>
          <w:rFonts w:ascii="SimSun" w:hAnsi="SimSun"/>
          <w:bCs/>
        </w:rPr>
        <w:t>PCT</w:t>
      </w:r>
      <w:r w:rsidRPr="00C7737F">
        <w:rPr>
          <w:rFonts w:ascii="SimSun" w:hAnsi="SimSun" w:hint="eastAsia"/>
          <w:bCs/>
        </w:rPr>
        <w:t>服务的用户</w:t>
      </w:r>
      <w:r w:rsidR="00C304BA">
        <w:rPr>
          <w:rFonts w:ascii="SimSun" w:hAnsi="SimSun" w:hint="eastAsia"/>
          <w:bCs/>
        </w:rPr>
        <w:t>确保</w:t>
      </w:r>
      <w:r w:rsidRPr="00C7737F">
        <w:rPr>
          <w:rFonts w:ascii="SimSun" w:hAnsi="SimSun" w:hint="eastAsia"/>
          <w:bCs/>
        </w:rPr>
        <w:t>高</w:t>
      </w:r>
      <w:r w:rsidR="008F3BCC" w:rsidRPr="00C7737F">
        <w:rPr>
          <w:rFonts w:ascii="SimSun" w:hAnsi="SimSun" w:hint="eastAsia"/>
          <w:bCs/>
        </w:rPr>
        <w:t>质量</w:t>
      </w:r>
      <w:r w:rsidRPr="00C7737F">
        <w:rPr>
          <w:rFonts w:ascii="SimSun" w:hAnsi="SimSun" w:hint="eastAsia"/>
          <w:bCs/>
        </w:rPr>
        <w:t>标准</w:t>
      </w:r>
      <w:r w:rsidR="00586F18">
        <w:rPr>
          <w:rFonts w:ascii="SimSun" w:hAnsi="SimSun" w:hint="eastAsia"/>
          <w:bCs/>
        </w:rPr>
        <w:t>的承诺</w:t>
      </w:r>
      <w:r w:rsidR="0059762F" w:rsidRPr="0059762F">
        <w:rPr>
          <w:rFonts w:ascii="SimSun" w:hAnsi="SimSun" w:hint="eastAsia"/>
          <w:bCs/>
        </w:rPr>
        <w:t>。</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3D40EDA6"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w:t>
      </w:r>
      <w:r w:rsidRPr="008F3BCC">
        <w:rPr>
          <w:rFonts w:ascii="SimSun" w:hAnsi="SimSun" w:hint="eastAsia"/>
          <w:szCs w:val="22"/>
        </w:rPr>
        <w:t>提供服务所用的语种以及业务范围的其他详情，列于《PCT申请人指南》，链接为：</w:t>
      </w:r>
      <w:hyperlink r:id="rId10" w:anchor="ISA" w:history="1">
        <w:r w:rsidR="008F3BCC" w:rsidRPr="008F3BCC">
          <w:rPr>
            <w:rStyle w:val="Hyperlink"/>
            <w:rFonts w:ascii="SimSun" w:hAnsi="SimSun"/>
          </w:rPr>
          <w:t>https://pctlegal.wipo.int/eGuide/view-doc.xhtml?doc-code=CL&amp;amp;doc-lang=en#ISA</w:t>
        </w:r>
      </w:hyperlink>
      <w:r w:rsidR="008F3BCC" w:rsidRPr="008F3BCC">
        <w:rPr>
          <w:rFonts w:ascii="SimSun" w:hAnsi="SimSun" w:hint="eastAsia"/>
          <w:szCs w:val="22"/>
        </w:rPr>
        <w:t>；</w:t>
      </w:r>
      <w:hyperlink r:id="rId11" w:anchor="IPEA" w:history="1">
        <w:r w:rsidR="008F3BCC" w:rsidRPr="008F3BCC">
          <w:rPr>
            <w:rStyle w:val="Hyperlink"/>
            <w:rFonts w:ascii="SimSun" w:hAnsi="SimSun"/>
          </w:rPr>
          <w:t>https://pctlegal.wipo.int/eGuide/view-doc.xhtml?doc-code=CL&amp;amp;doc-lang=en#IPEA</w:t>
        </w:r>
      </w:hyperlink>
      <w:r w:rsidRPr="008F3BCC">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0F3B4C" w14:textId="1217982E" w:rsidR="00A42FE2" w:rsidRPr="00A42FE2" w:rsidRDefault="00A42FE2" w:rsidP="003A0E24">
      <w:pPr>
        <w:spacing w:afterLines="100" w:after="240" w:line="340" w:lineRule="atLeast"/>
        <w:jc w:val="both"/>
        <w:rPr>
          <w:rFonts w:ascii="SimSun" w:hAnsi="SimSun"/>
          <w:szCs w:val="22"/>
        </w:rPr>
      </w:pPr>
      <w:r w:rsidRPr="00A42FE2">
        <w:rPr>
          <w:rFonts w:ascii="SimSun" w:hAnsi="SimSun"/>
          <w:szCs w:val="22"/>
        </w:rPr>
        <w:t>INAPI</w:t>
      </w:r>
      <w:r>
        <w:rPr>
          <w:rFonts w:ascii="SimSun" w:hAnsi="SimSun" w:hint="eastAsia"/>
          <w:szCs w:val="22"/>
        </w:rPr>
        <w:t>预计不</w:t>
      </w:r>
      <w:r w:rsidRPr="00A42FE2">
        <w:rPr>
          <w:rFonts w:ascii="SimSun" w:hAnsi="SimSun" w:hint="eastAsia"/>
          <w:szCs w:val="22"/>
        </w:rPr>
        <w:t>在此方面</w:t>
      </w:r>
      <w:r>
        <w:rPr>
          <w:rFonts w:ascii="SimSun" w:hAnsi="SimSun" w:hint="eastAsia"/>
          <w:szCs w:val="22"/>
        </w:rPr>
        <w:t>做</w:t>
      </w:r>
      <w:r w:rsidRPr="00A42FE2">
        <w:rPr>
          <w:rFonts w:ascii="SimSun" w:hAnsi="SimSun" w:hint="eastAsia"/>
          <w:szCs w:val="22"/>
        </w:rPr>
        <w:t>任何</w:t>
      </w:r>
      <w:r w:rsidR="0070098F">
        <w:rPr>
          <w:rFonts w:ascii="SimSun" w:hAnsi="SimSun" w:hint="eastAsia"/>
          <w:szCs w:val="22"/>
        </w:rPr>
        <w:t>变化</w:t>
      </w:r>
      <w:r w:rsidRPr="00A42FE2">
        <w:rPr>
          <w:rFonts w:ascii="SimSun" w:hAnsi="SimSun" w:hint="eastAsia"/>
          <w:szCs w:val="22"/>
        </w:rPr>
        <w:t>。作为</w:t>
      </w:r>
      <w:r w:rsidRPr="00A42FE2">
        <w:rPr>
          <w:rFonts w:ascii="SimSun" w:hAnsi="SimSun"/>
          <w:szCs w:val="22"/>
        </w:rPr>
        <w:t>PCT</w:t>
      </w:r>
      <w:r w:rsidRPr="00A42FE2">
        <w:rPr>
          <w:rFonts w:ascii="SimSun" w:hAnsi="SimSun" w:hint="eastAsia"/>
          <w:szCs w:val="22"/>
        </w:rPr>
        <w:t>国际</w:t>
      </w:r>
      <w:r>
        <w:rPr>
          <w:rFonts w:ascii="SimSun" w:hAnsi="SimSun" w:hint="eastAsia"/>
          <w:szCs w:val="22"/>
        </w:rPr>
        <w:t>单位</w:t>
      </w:r>
      <w:r w:rsidRPr="00A42FE2">
        <w:rPr>
          <w:rFonts w:ascii="SimSun" w:hAnsi="SimSun" w:hint="eastAsia"/>
          <w:szCs w:val="22"/>
        </w:rPr>
        <w:t>，</w:t>
      </w:r>
      <w:r w:rsidRPr="00A42FE2">
        <w:rPr>
          <w:rFonts w:ascii="SimSun" w:hAnsi="SimSun"/>
          <w:szCs w:val="22"/>
        </w:rPr>
        <w:t>INAPI</w:t>
      </w:r>
      <w:r>
        <w:rPr>
          <w:rFonts w:ascii="SimSun" w:hAnsi="SimSun" w:hint="eastAsia"/>
          <w:szCs w:val="22"/>
        </w:rPr>
        <w:t>以</w:t>
      </w:r>
      <w:r w:rsidRPr="00A42FE2">
        <w:rPr>
          <w:rFonts w:ascii="SimSun" w:hAnsi="SimSun" w:hint="eastAsia"/>
          <w:szCs w:val="22"/>
        </w:rPr>
        <w:t>西班牙语和英语</w:t>
      </w:r>
      <w:r w:rsidR="0070098F" w:rsidRPr="00A42FE2">
        <w:rPr>
          <w:rFonts w:ascii="SimSun" w:hAnsi="SimSun" w:hint="eastAsia"/>
          <w:szCs w:val="22"/>
        </w:rPr>
        <w:t>仅</w:t>
      </w:r>
      <w:r w:rsidRPr="00A42FE2">
        <w:rPr>
          <w:rFonts w:ascii="SimSun" w:hAnsi="SimSun" w:hint="eastAsia"/>
          <w:szCs w:val="22"/>
        </w:rPr>
        <w:t>服务来自拉丁美洲和加勒比地区</w:t>
      </w:r>
      <w:r>
        <w:rPr>
          <w:rFonts w:ascii="SimSun" w:hAnsi="SimSun" w:hint="eastAsia"/>
          <w:szCs w:val="22"/>
        </w:rPr>
        <w:t>的</w:t>
      </w:r>
      <w:r w:rsidRPr="00A42FE2">
        <w:rPr>
          <w:rFonts w:ascii="SimSun" w:hAnsi="SimSun"/>
          <w:szCs w:val="22"/>
        </w:rPr>
        <w:t>PCT</w:t>
      </w:r>
      <w:r w:rsidRPr="00A42FE2">
        <w:rPr>
          <w:rFonts w:ascii="SimSun" w:hAnsi="SimSun" w:hint="eastAsia"/>
          <w:szCs w:val="22"/>
        </w:rPr>
        <w:t>缔约国申请人。目前</w:t>
      </w:r>
      <w:r>
        <w:rPr>
          <w:rFonts w:ascii="SimSun" w:hAnsi="SimSun" w:hint="eastAsia"/>
          <w:szCs w:val="22"/>
        </w:rPr>
        <w:t>，</w:t>
      </w:r>
      <w:r w:rsidRPr="00A42FE2">
        <w:rPr>
          <w:rFonts w:ascii="SimSun" w:hAnsi="SimSun" w:hint="eastAsia"/>
          <w:szCs w:val="22"/>
        </w:rPr>
        <w:t>有</w:t>
      </w:r>
      <w:r w:rsidRPr="00A42FE2">
        <w:rPr>
          <w:rFonts w:ascii="SimSun" w:hAnsi="SimSun"/>
          <w:szCs w:val="22"/>
        </w:rPr>
        <w:t>14</w:t>
      </w:r>
      <w:r w:rsidRPr="00A42FE2">
        <w:rPr>
          <w:rFonts w:ascii="SimSun" w:hAnsi="SimSun" w:hint="eastAsia"/>
          <w:szCs w:val="22"/>
        </w:rPr>
        <w:t>个国家指定</w:t>
      </w:r>
      <w:r w:rsidRPr="00A42FE2">
        <w:rPr>
          <w:rFonts w:ascii="SimSun" w:hAnsi="SimSun"/>
          <w:szCs w:val="22"/>
        </w:rPr>
        <w:t>INAPI</w:t>
      </w:r>
      <w:r w:rsidRPr="00A42FE2">
        <w:rPr>
          <w:rFonts w:ascii="SimSun" w:hAnsi="SimSun" w:hint="eastAsia"/>
          <w:szCs w:val="22"/>
        </w:rPr>
        <w:t>为其申请人的主管</w:t>
      </w:r>
      <w:r w:rsidRPr="00A42FE2">
        <w:rPr>
          <w:rFonts w:ascii="SimSun" w:hAnsi="SimSun"/>
          <w:szCs w:val="22"/>
        </w:rPr>
        <w:t>ISA/IPEA</w:t>
      </w:r>
      <w:r w:rsidRPr="00A42FE2">
        <w:rPr>
          <w:rFonts w:ascii="SimSun" w:hAnsi="SimSun" w:hint="eastAsia"/>
          <w:szCs w:val="22"/>
        </w:rPr>
        <w:t>：巴西、智利、哥伦比亚、哥斯达黎加、古巴、多米尼加共和国、厄瓜多尔、萨尔瓦多、危地马拉、墨西哥、巴拿马、秘鲁、特立尼达和多巴哥以及乌拉圭。</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3820C9C" w14:textId="6DDC9EEF" w:rsidR="005A349C" w:rsidRPr="00F9190E" w:rsidRDefault="005A349C" w:rsidP="005A349C">
      <w:pPr>
        <w:spacing w:afterLines="100" w:after="240" w:line="340" w:lineRule="atLeast"/>
        <w:jc w:val="both"/>
        <w:rPr>
          <w:rFonts w:ascii="SimSun" w:hAnsi="SimSun"/>
          <w:u w:val="single"/>
        </w:rPr>
      </w:pPr>
      <w:r w:rsidRPr="00F9190E">
        <w:rPr>
          <w:rFonts w:ascii="SimSun" w:hAnsi="SimSun" w:hint="eastAsia"/>
          <w:u w:val="single"/>
        </w:rPr>
        <w:t>利益声明</w:t>
      </w:r>
    </w:p>
    <w:p w14:paraId="098D79F2" w14:textId="1B2DEFFE" w:rsidR="005A349C" w:rsidRPr="00F9190E" w:rsidRDefault="005A349C" w:rsidP="005A349C">
      <w:pPr>
        <w:spacing w:afterLines="100" w:after="240" w:line="340" w:lineRule="atLeast"/>
        <w:jc w:val="both"/>
        <w:rPr>
          <w:rFonts w:ascii="SimSun" w:hAnsi="SimSun"/>
        </w:rPr>
      </w:pPr>
      <w:r w:rsidRPr="00F9190E">
        <w:rPr>
          <w:rFonts w:ascii="SimSun" w:hAnsi="SimSun" w:hint="eastAsia"/>
        </w:rPr>
        <w:t>INAPI于2009年成立，此后开展的工作</w:t>
      </w:r>
      <w:r w:rsidR="0070098F">
        <w:rPr>
          <w:rFonts w:ascii="SimSun" w:hAnsi="SimSun" w:hint="eastAsia"/>
        </w:rPr>
        <w:t>帮助</w:t>
      </w:r>
      <w:r w:rsidRPr="00F9190E">
        <w:rPr>
          <w:rFonts w:ascii="SimSun" w:hAnsi="SimSun" w:hint="eastAsia"/>
        </w:rPr>
        <w:t>智利知识产权制度转型迈入</w:t>
      </w:r>
      <w:r w:rsidR="009432AA">
        <w:rPr>
          <w:rFonts w:ascii="SimSun" w:hAnsi="SimSun" w:hint="eastAsia"/>
        </w:rPr>
        <w:t>了</w:t>
      </w:r>
      <w:r w:rsidRPr="00F9190E">
        <w:rPr>
          <w:rFonts w:ascii="SimSun" w:hAnsi="SimSun" w:hint="eastAsia"/>
        </w:rPr>
        <w:t>新阶段。INAPI已成为现代化、高效的主管局，不仅能够提供优质服务，还能与整个国际知识产权</w:t>
      </w:r>
      <w:r w:rsidR="009432AA">
        <w:rPr>
          <w:rFonts w:ascii="SimSun" w:hAnsi="SimSun" w:hint="eastAsia"/>
        </w:rPr>
        <w:t>体系</w:t>
      </w:r>
      <w:r w:rsidRPr="00F9190E">
        <w:rPr>
          <w:rFonts w:ascii="SimSun" w:hAnsi="SimSun" w:hint="eastAsia"/>
        </w:rPr>
        <w:t>有效互动。</w:t>
      </w:r>
    </w:p>
    <w:p w14:paraId="7C097233" w14:textId="7A30DA2F" w:rsidR="005A349C" w:rsidRPr="00F9190E" w:rsidRDefault="005A349C" w:rsidP="005A349C">
      <w:pPr>
        <w:spacing w:afterLines="100" w:after="240" w:line="340" w:lineRule="atLeast"/>
        <w:jc w:val="both"/>
        <w:rPr>
          <w:rFonts w:ascii="SimSun" w:hAnsi="SimSun"/>
        </w:rPr>
      </w:pPr>
      <w:r w:rsidRPr="00F9190E">
        <w:rPr>
          <w:rFonts w:ascii="SimSun" w:hAnsi="SimSun" w:hint="eastAsia"/>
        </w:rPr>
        <w:t>INAPI坚信，国际知识产权制度是促进创新和创业的关键。PCT在</w:t>
      </w:r>
      <w:r w:rsidR="000D4927" w:rsidRPr="00F9190E">
        <w:rPr>
          <w:rFonts w:ascii="SimSun" w:hAnsi="SimSun" w:hint="eastAsia"/>
        </w:rPr>
        <w:t>此</w:t>
      </w:r>
      <w:r w:rsidRPr="00F9190E">
        <w:rPr>
          <w:rFonts w:ascii="SimSun" w:hAnsi="SimSun" w:hint="eastAsia"/>
        </w:rPr>
        <w:t>方面发挥</w:t>
      </w:r>
      <w:r w:rsidR="009432AA">
        <w:rPr>
          <w:rFonts w:ascii="SimSun" w:hAnsi="SimSun" w:hint="eastAsia"/>
        </w:rPr>
        <w:t>着</w:t>
      </w:r>
      <w:r w:rsidRPr="00F9190E">
        <w:rPr>
          <w:rFonts w:ascii="SimSun" w:hAnsi="SimSun" w:hint="eastAsia"/>
        </w:rPr>
        <w:t>至关重要的作用，</w:t>
      </w:r>
      <w:r w:rsidR="000D4927" w:rsidRPr="00F9190E">
        <w:rPr>
          <w:rFonts w:ascii="SimSun" w:hAnsi="SimSun" w:hint="eastAsia"/>
        </w:rPr>
        <w:t>自从</w:t>
      </w:r>
      <w:r w:rsidRPr="00F9190E">
        <w:rPr>
          <w:rFonts w:ascii="SimSun" w:hAnsi="SimSun" w:hint="eastAsia"/>
        </w:rPr>
        <w:t>在智利生效以来，其实施一直是本</w:t>
      </w:r>
      <w:r w:rsidR="009432AA">
        <w:rPr>
          <w:rFonts w:ascii="SimSun" w:hAnsi="SimSun" w:hint="eastAsia"/>
        </w:rPr>
        <w:t>局</w:t>
      </w:r>
      <w:r w:rsidRPr="00F9190E">
        <w:rPr>
          <w:rFonts w:ascii="SimSun" w:hAnsi="SimSun" w:hint="eastAsia"/>
        </w:rPr>
        <w:t>的战略</w:t>
      </w:r>
      <w:r w:rsidR="000D4927" w:rsidRPr="00F9190E">
        <w:rPr>
          <w:rFonts w:ascii="SimSun" w:hAnsi="SimSun" w:hint="eastAsia"/>
        </w:rPr>
        <w:t>优先事项</w:t>
      </w:r>
      <w:r w:rsidRPr="00F9190E">
        <w:rPr>
          <w:rFonts w:ascii="SimSun" w:hAnsi="SimSun" w:hint="eastAsia"/>
        </w:rPr>
        <w:t>。</w:t>
      </w:r>
    </w:p>
    <w:p w14:paraId="085B8BDB" w14:textId="247AA423" w:rsidR="00A42FE2" w:rsidRPr="00F9190E" w:rsidRDefault="005A349C" w:rsidP="005A349C">
      <w:pPr>
        <w:spacing w:afterLines="100" w:after="240" w:line="340" w:lineRule="atLeast"/>
        <w:jc w:val="both"/>
        <w:rPr>
          <w:rFonts w:ascii="SimSun" w:hAnsi="SimSun"/>
        </w:rPr>
      </w:pPr>
      <w:r w:rsidRPr="00F9190E">
        <w:rPr>
          <w:rFonts w:ascii="SimSun" w:hAnsi="SimSun" w:hint="eastAsia"/>
        </w:rPr>
        <w:t>智利政府</w:t>
      </w:r>
      <w:r w:rsidR="00657E2F">
        <w:rPr>
          <w:rFonts w:ascii="SimSun" w:hAnsi="SimSun" w:hint="eastAsia"/>
        </w:rPr>
        <w:t>认为</w:t>
      </w:r>
      <w:r w:rsidRPr="00F9190E">
        <w:rPr>
          <w:rFonts w:ascii="SimSun" w:hAnsi="SimSun" w:hint="eastAsia"/>
        </w:rPr>
        <w:t>PCT</w:t>
      </w:r>
      <w:r w:rsidR="00657E2F">
        <w:rPr>
          <w:rFonts w:ascii="SimSun" w:hAnsi="SimSun" w:hint="eastAsia"/>
        </w:rPr>
        <w:t>拥有</w:t>
      </w:r>
      <w:r w:rsidR="009A6649">
        <w:rPr>
          <w:rFonts w:ascii="SimSun" w:hAnsi="SimSun" w:hint="eastAsia"/>
        </w:rPr>
        <w:t>使</w:t>
      </w:r>
      <w:r w:rsidRPr="00F9190E">
        <w:rPr>
          <w:rFonts w:ascii="SimSun" w:hAnsi="SimSun" w:hint="eastAsia"/>
        </w:rPr>
        <w:t>成员国</w:t>
      </w:r>
      <w:r w:rsidR="000D4927" w:rsidRPr="00F9190E">
        <w:rPr>
          <w:rFonts w:ascii="SimSun" w:hAnsi="SimSun" w:hint="eastAsia"/>
        </w:rPr>
        <w:t>互动并</w:t>
      </w:r>
      <w:r w:rsidRPr="00F9190E">
        <w:rPr>
          <w:rFonts w:ascii="SimSun" w:hAnsi="SimSun" w:hint="eastAsia"/>
        </w:rPr>
        <w:t>有效为</w:t>
      </w:r>
      <w:r w:rsidR="009432AA">
        <w:rPr>
          <w:rFonts w:ascii="SimSun" w:hAnsi="SimSun" w:hint="eastAsia"/>
        </w:rPr>
        <w:t>该</w:t>
      </w:r>
      <w:r w:rsidRPr="00F9190E">
        <w:rPr>
          <w:rFonts w:ascii="SimSun" w:hAnsi="SimSun" w:hint="eastAsia"/>
        </w:rPr>
        <w:t>体系做贡献</w:t>
      </w:r>
      <w:r w:rsidR="009A6649">
        <w:rPr>
          <w:rFonts w:ascii="SimSun" w:hAnsi="SimSun" w:hint="eastAsia"/>
        </w:rPr>
        <w:t>的</w:t>
      </w:r>
      <w:r w:rsidR="009432AA" w:rsidRPr="00F9190E">
        <w:rPr>
          <w:rFonts w:ascii="SimSun" w:hAnsi="SimSun" w:hint="eastAsia"/>
        </w:rPr>
        <w:t>切实可能性</w:t>
      </w:r>
      <w:r w:rsidRPr="00F9190E">
        <w:rPr>
          <w:rFonts w:ascii="SimSun" w:hAnsi="SimSun" w:hint="eastAsia"/>
        </w:rPr>
        <w:t>，</w:t>
      </w:r>
      <w:r w:rsidR="009432AA">
        <w:rPr>
          <w:rFonts w:ascii="SimSun" w:hAnsi="SimSun" w:hint="eastAsia"/>
        </w:rPr>
        <w:t>从而</w:t>
      </w:r>
      <w:r w:rsidR="000D4927" w:rsidRPr="00F9190E">
        <w:rPr>
          <w:rFonts w:ascii="SimSun" w:hAnsi="SimSun" w:hint="eastAsia"/>
        </w:rPr>
        <w:t>使其</w:t>
      </w:r>
      <w:r w:rsidRPr="00F9190E">
        <w:rPr>
          <w:rFonts w:ascii="SimSun" w:hAnsi="SimSun" w:hint="eastAsia"/>
        </w:rPr>
        <w:t>对所有用户</w:t>
      </w:r>
      <w:r w:rsidR="000D4927" w:rsidRPr="00F9190E">
        <w:rPr>
          <w:rFonts w:ascii="SimSun" w:hAnsi="SimSun" w:hint="eastAsia"/>
        </w:rPr>
        <w:t>更具</w:t>
      </w:r>
      <w:r w:rsidRPr="00F9190E">
        <w:rPr>
          <w:rFonts w:ascii="SimSun" w:hAnsi="SimSun" w:hint="eastAsia"/>
        </w:rPr>
        <w:t>吸引力</w:t>
      </w:r>
      <w:r w:rsidR="000D4927" w:rsidRPr="00F9190E">
        <w:rPr>
          <w:rFonts w:ascii="SimSun" w:hAnsi="SimSun" w:hint="eastAsia"/>
        </w:rPr>
        <w:t>且易于获取</w:t>
      </w:r>
      <w:r w:rsidRPr="00F9190E">
        <w:rPr>
          <w:rFonts w:ascii="SimSun" w:hAnsi="SimSun" w:hint="eastAsia"/>
        </w:rPr>
        <w:t>。政府认为，延长INAPI作为</w:t>
      </w:r>
      <w:r w:rsidR="000D4927" w:rsidRPr="00F9190E">
        <w:rPr>
          <w:rFonts w:ascii="SimSun" w:hAnsi="SimSun"/>
          <w:color w:val="000000" w:themeColor="text1"/>
        </w:rPr>
        <w:t>ISA/IPEA</w:t>
      </w:r>
      <w:r w:rsidRPr="00F9190E">
        <w:rPr>
          <w:rFonts w:ascii="SimSun" w:hAnsi="SimSun" w:hint="eastAsia"/>
        </w:rPr>
        <w:t>的</w:t>
      </w:r>
      <w:r w:rsidR="000D4927" w:rsidRPr="00F9190E">
        <w:rPr>
          <w:rFonts w:ascii="SimSun" w:hAnsi="SimSun" w:hint="eastAsia"/>
        </w:rPr>
        <w:t>指定</w:t>
      </w:r>
      <w:r w:rsidRPr="00F9190E">
        <w:rPr>
          <w:rFonts w:ascii="SimSun" w:hAnsi="SimSun" w:hint="eastAsia"/>
        </w:rPr>
        <w:t>，将</w:t>
      </w:r>
      <w:r w:rsidR="006268BB" w:rsidRPr="00F9190E">
        <w:rPr>
          <w:rFonts w:ascii="SimSun" w:hAnsi="SimSun" w:hint="eastAsia"/>
        </w:rPr>
        <w:t>使</w:t>
      </w:r>
      <w:r w:rsidRPr="00F9190E">
        <w:rPr>
          <w:rFonts w:ascii="SimSun" w:hAnsi="SimSun" w:hint="eastAsia"/>
        </w:rPr>
        <w:t>其</w:t>
      </w:r>
      <w:r w:rsidR="006268BB" w:rsidRPr="00F9190E">
        <w:rPr>
          <w:rFonts w:ascii="SimSun" w:hAnsi="SimSun" w:hint="eastAsia"/>
        </w:rPr>
        <w:t>能够</w:t>
      </w:r>
      <w:r w:rsidRPr="00F9190E">
        <w:rPr>
          <w:rFonts w:ascii="SimSun" w:hAnsi="SimSun" w:hint="eastAsia"/>
        </w:rPr>
        <w:t>继续促进</w:t>
      </w:r>
      <w:r w:rsidR="006268BB" w:rsidRPr="00F9190E">
        <w:rPr>
          <w:rFonts w:ascii="SimSun" w:hAnsi="SimSun" w:hint="eastAsia"/>
        </w:rPr>
        <w:t>体系在该</w:t>
      </w:r>
      <w:r w:rsidRPr="00F9190E">
        <w:rPr>
          <w:rFonts w:ascii="SimSun" w:hAnsi="SimSun" w:hint="eastAsia"/>
        </w:rPr>
        <w:t>地区的发展，并鼓励拉丁美洲</w:t>
      </w:r>
      <w:r w:rsidR="006268BB" w:rsidRPr="00F9190E">
        <w:rPr>
          <w:rFonts w:ascii="SimSun" w:hAnsi="SimSun" w:hint="eastAsia"/>
        </w:rPr>
        <w:t>的</w:t>
      </w:r>
      <w:r w:rsidRPr="00F9190E">
        <w:rPr>
          <w:rFonts w:ascii="SimSun" w:hAnsi="SimSun" w:hint="eastAsia"/>
        </w:rPr>
        <w:t>PCT申请</w:t>
      </w:r>
      <w:r w:rsidR="006268BB" w:rsidRPr="00F9190E">
        <w:rPr>
          <w:rFonts w:ascii="SimSun" w:hAnsi="SimSun" w:hint="eastAsia"/>
        </w:rPr>
        <w:t>提交</w:t>
      </w:r>
      <w:r w:rsidRPr="00F9190E">
        <w:rPr>
          <w:rFonts w:ascii="SimSun" w:hAnsi="SimSun" w:hint="eastAsia"/>
        </w:rPr>
        <w:t>。目前，拉丁美洲</w:t>
      </w:r>
      <w:r w:rsidR="006268BB" w:rsidRPr="00F9190E">
        <w:rPr>
          <w:rFonts w:ascii="SimSun" w:hAnsi="SimSun" w:hint="eastAsia"/>
        </w:rPr>
        <w:t>的申请总数</w:t>
      </w:r>
      <w:r w:rsidRPr="00F9190E">
        <w:rPr>
          <w:rFonts w:ascii="SimSun" w:hAnsi="SimSun" w:hint="eastAsia"/>
        </w:rPr>
        <w:t>每年不超过1</w:t>
      </w:r>
      <w:r w:rsidR="006268BB" w:rsidRPr="00F9190E">
        <w:rPr>
          <w:rFonts w:ascii="SimSun" w:hAnsi="SimSun" w:hint="eastAsia"/>
        </w:rPr>
        <w:t>,</w:t>
      </w:r>
      <w:r w:rsidRPr="00F9190E">
        <w:rPr>
          <w:rFonts w:ascii="SimSun" w:hAnsi="SimSun" w:hint="eastAsia"/>
        </w:rPr>
        <w:t>000件。</w:t>
      </w:r>
    </w:p>
    <w:p w14:paraId="5BA439B2" w14:textId="61F5DF17" w:rsidR="00B17DD1" w:rsidRPr="00F9190E" w:rsidRDefault="00865F74" w:rsidP="00B17DD1">
      <w:pPr>
        <w:spacing w:afterLines="100" w:after="240" w:line="340" w:lineRule="atLeast"/>
        <w:jc w:val="both"/>
        <w:rPr>
          <w:rFonts w:ascii="SimSun" w:hAnsi="SimSun"/>
        </w:rPr>
      </w:pPr>
      <w:r>
        <w:rPr>
          <w:rFonts w:ascii="SimSun" w:hAnsi="SimSun" w:hint="eastAsia"/>
        </w:rPr>
        <w:t>I</w:t>
      </w:r>
      <w:r w:rsidR="00B17DD1" w:rsidRPr="00F9190E">
        <w:rPr>
          <w:rFonts w:ascii="SimSun" w:hAnsi="SimSun" w:hint="eastAsia"/>
        </w:rPr>
        <w:t>NAPI认为，作为一家西班牙语ISA/IPEA，它有利于尚未加入或正在考虑加入条约的拉丁美洲国家。INAPI积极参与PCT体系的所有领域，这使其能够分享经验，并为正在实施或希望加入的国家提供支持。在</w:t>
      </w:r>
      <w:r w:rsidR="00284F5C">
        <w:rPr>
          <w:rFonts w:ascii="SimSun" w:hAnsi="SimSun" w:hint="eastAsia"/>
        </w:rPr>
        <w:t>这一</w:t>
      </w:r>
      <w:r w:rsidR="00B17DD1" w:rsidRPr="00F9190E">
        <w:rPr>
          <w:rFonts w:ascii="SimSun" w:hAnsi="SimSun" w:hint="eastAsia"/>
        </w:rPr>
        <w:t>地区拥有能够开展国际检索和初步审查的西班牙语ISA/IPEA，无疑有利于整个体系。其中一个实例是INAPI向最近加入PCT的乌拉圭提供技术援助，帮助其实施条约。</w:t>
      </w:r>
    </w:p>
    <w:p w14:paraId="7B6D140C" w14:textId="3E360749" w:rsidR="00B17DD1" w:rsidRPr="00F9190E" w:rsidRDefault="00B17DD1" w:rsidP="00B17DD1">
      <w:pPr>
        <w:spacing w:afterLines="100" w:after="240" w:line="340" w:lineRule="atLeast"/>
        <w:jc w:val="both"/>
        <w:rPr>
          <w:rFonts w:ascii="SimSun" w:hAnsi="SimSun"/>
        </w:rPr>
      </w:pPr>
      <w:r w:rsidRPr="00F9190E">
        <w:rPr>
          <w:rFonts w:ascii="SimSun" w:hAnsi="SimSun" w:hint="eastAsia"/>
        </w:rPr>
        <w:t>作为促进整个体系使用的战略</w:t>
      </w:r>
      <w:r w:rsidR="00D5256E">
        <w:rPr>
          <w:rFonts w:ascii="SimSun" w:hAnsi="SimSun" w:hint="eastAsia"/>
        </w:rPr>
        <w:t>的</w:t>
      </w:r>
      <w:r w:rsidRPr="00F9190E">
        <w:rPr>
          <w:rFonts w:ascii="SimSun" w:hAnsi="SimSun" w:hint="eastAsia"/>
        </w:rPr>
        <w:t>一部分，政府认为</w:t>
      </w:r>
      <w:r w:rsidRPr="00E02322">
        <w:rPr>
          <w:rFonts w:ascii="SimSun" w:hAnsi="SimSun" w:hint="eastAsia"/>
        </w:rPr>
        <w:t>INAPI作为拉丁美洲ISA</w:t>
      </w:r>
      <w:r w:rsidRPr="00F9190E">
        <w:rPr>
          <w:rFonts w:ascii="SimSun" w:hAnsi="SimSun" w:hint="eastAsia"/>
        </w:rPr>
        <w:t>/IPEA</w:t>
      </w:r>
      <w:r w:rsidR="00D5256E">
        <w:rPr>
          <w:rFonts w:ascii="SimSun" w:hAnsi="SimSun" w:hint="eastAsia"/>
        </w:rPr>
        <w:t>的职能</w:t>
      </w:r>
      <w:r w:rsidRPr="00F9190E">
        <w:rPr>
          <w:rFonts w:ascii="SimSun" w:hAnsi="SimSun" w:hint="eastAsia"/>
        </w:rPr>
        <w:t>有助于避免因</w:t>
      </w:r>
      <w:r w:rsidR="008B75B9" w:rsidRPr="00F9190E">
        <w:rPr>
          <w:rFonts w:ascii="SimSun" w:hAnsi="SimSun" w:hint="eastAsia"/>
        </w:rPr>
        <w:t>一些主管局</w:t>
      </w:r>
      <w:r w:rsidRPr="00F9190E">
        <w:rPr>
          <w:rFonts w:ascii="SimSun" w:hAnsi="SimSun" w:hint="eastAsia"/>
        </w:rPr>
        <w:t>工作量过大导致</w:t>
      </w:r>
      <w:r w:rsidR="008B75B9" w:rsidRPr="00F9190E">
        <w:rPr>
          <w:rFonts w:ascii="SimSun" w:hAnsi="SimSun" w:hint="eastAsia"/>
        </w:rPr>
        <w:t>PCT</w:t>
      </w:r>
      <w:r w:rsidRPr="00F9190E">
        <w:rPr>
          <w:rFonts w:ascii="SimSun" w:hAnsi="SimSun" w:hint="eastAsia"/>
        </w:rPr>
        <w:t>国际申请处理</w:t>
      </w:r>
      <w:r w:rsidR="008B75B9" w:rsidRPr="00F9190E">
        <w:rPr>
          <w:rFonts w:ascii="SimSun" w:hAnsi="SimSun" w:hint="eastAsia"/>
        </w:rPr>
        <w:t>的可能</w:t>
      </w:r>
      <w:r w:rsidRPr="00F9190E">
        <w:rPr>
          <w:rFonts w:ascii="SimSun" w:hAnsi="SimSun" w:hint="eastAsia"/>
        </w:rPr>
        <w:t>延误。我们还认为，有必要将检索资源分配到世界</w:t>
      </w:r>
      <w:r w:rsidR="00F9072A" w:rsidRPr="00F9190E">
        <w:rPr>
          <w:rFonts w:ascii="SimSun" w:hAnsi="SimSun" w:hint="eastAsia"/>
        </w:rPr>
        <w:t>不同地方</w:t>
      </w:r>
      <w:r w:rsidRPr="00F9190E">
        <w:rPr>
          <w:rFonts w:ascii="SimSun" w:hAnsi="SimSun" w:hint="eastAsia"/>
        </w:rPr>
        <w:t>，以优化</w:t>
      </w:r>
      <w:r w:rsidR="00B068C9">
        <w:rPr>
          <w:rFonts w:ascii="SimSun" w:hAnsi="SimSun" w:hint="eastAsia"/>
        </w:rPr>
        <w:t>其</w:t>
      </w:r>
      <w:r w:rsidRPr="00F9190E">
        <w:rPr>
          <w:rFonts w:ascii="SimSun" w:hAnsi="SimSun" w:hint="eastAsia"/>
        </w:rPr>
        <w:t>利用。</w:t>
      </w:r>
    </w:p>
    <w:p w14:paraId="1953DE19" w14:textId="088CA571" w:rsidR="003A4A85" w:rsidRPr="00F9190E" w:rsidRDefault="003A4A85" w:rsidP="003A4A85">
      <w:pPr>
        <w:spacing w:afterLines="100" w:after="240" w:line="340" w:lineRule="atLeast"/>
        <w:jc w:val="both"/>
        <w:rPr>
          <w:rFonts w:ascii="SimSun" w:hAnsi="SimSun"/>
        </w:rPr>
      </w:pPr>
      <w:r w:rsidRPr="00F9190E">
        <w:rPr>
          <w:rFonts w:ascii="SimSun" w:hAnsi="SimSun" w:hint="eastAsia"/>
        </w:rPr>
        <w:t>鉴于智利有意促进创新和创业，以及国际专利制度对实现</w:t>
      </w:r>
      <w:r w:rsidR="006D2F92">
        <w:rPr>
          <w:rFonts w:ascii="SimSun" w:hAnsi="SimSun" w:hint="eastAsia"/>
        </w:rPr>
        <w:t>该</w:t>
      </w:r>
      <w:r w:rsidRPr="00F9190E">
        <w:rPr>
          <w:rFonts w:ascii="SimSun" w:hAnsi="SimSun" w:hint="eastAsia"/>
        </w:rPr>
        <w:t>目标的重要性，我们认为INAPI作为ISA/IPEA的</w:t>
      </w:r>
      <w:r w:rsidR="002A7946" w:rsidRPr="00F9190E">
        <w:rPr>
          <w:rFonts w:ascii="SimSun" w:hAnsi="SimSun" w:hint="eastAsia"/>
        </w:rPr>
        <w:t>指定应延长</w:t>
      </w:r>
      <w:r w:rsidRPr="00F9190E">
        <w:rPr>
          <w:rFonts w:ascii="SimSun" w:hAnsi="SimSun" w:hint="eastAsia"/>
        </w:rPr>
        <w:t>。INAPI符合向智利国民和其他PCT成员国申请人提供检索和审查服务的技术要求，</w:t>
      </w:r>
      <w:r w:rsidR="00265729">
        <w:rPr>
          <w:rFonts w:ascii="SimSun" w:hAnsi="SimSun" w:hint="eastAsia"/>
        </w:rPr>
        <w:t>由此</w:t>
      </w:r>
      <w:r w:rsidRPr="00F9190E">
        <w:rPr>
          <w:rFonts w:ascii="SimSun" w:hAnsi="SimSun" w:hint="eastAsia"/>
        </w:rPr>
        <w:t>促进和</w:t>
      </w:r>
      <w:r w:rsidR="002A7946" w:rsidRPr="00F9190E">
        <w:rPr>
          <w:rFonts w:ascii="SimSun" w:hAnsi="SimSun" w:hint="eastAsia"/>
        </w:rPr>
        <w:t>增加</w:t>
      </w:r>
      <w:r w:rsidRPr="00F9190E">
        <w:rPr>
          <w:rFonts w:ascii="SimSun" w:hAnsi="SimSun" w:hint="eastAsia"/>
        </w:rPr>
        <w:t>PCT在该地区的使用。</w:t>
      </w:r>
    </w:p>
    <w:p w14:paraId="532B3C13" w14:textId="46A07A8E" w:rsidR="003A4A85" w:rsidRPr="00F9190E" w:rsidRDefault="003A4A85" w:rsidP="003A4A85">
      <w:pPr>
        <w:spacing w:afterLines="100" w:after="240" w:line="340" w:lineRule="atLeast"/>
        <w:jc w:val="both"/>
        <w:rPr>
          <w:rFonts w:ascii="SimSun" w:hAnsi="SimSun"/>
        </w:rPr>
      </w:pPr>
      <w:r w:rsidRPr="00F9190E">
        <w:rPr>
          <w:rFonts w:ascii="SimSun" w:hAnsi="SimSun" w:hint="eastAsia"/>
        </w:rPr>
        <w:t>此外，INAPI作为ISA/IPEA为我们的用户带来了诸多益处。智利政府对</w:t>
      </w:r>
      <w:r w:rsidR="002A7946" w:rsidRPr="00F9190E">
        <w:rPr>
          <w:rFonts w:ascii="SimSun" w:hAnsi="SimSun" w:hint="eastAsia"/>
        </w:rPr>
        <w:t>这一事实</w:t>
      </w:r>
      <w:r w:rsidRPr="00F9190E">
        <w:rPr>
          <w:rFonts w:ascii="SimSun" w:hAnsi="SimSun" w:hint="eastAsia"/>
        </w:rPr>
        <w:t>予以认可，曾三次授予国家公共服务卓越奖，</w:t>
      </w:r>
      <w:r w:rsidR="002A7946" w:rsidRPr="00F9190E">
        <w:rPr>
          <w:rFonts w:ascii="SimSun" w:hAnsi="SimSun" w:hint="eastAsia"/>
        </w:rPr>
        <w:t>认可其为</w:t>
      </w:r>
      <w:r w:rsidRPr="00F9190E">
        <w:rPr>
          <w:rFonts w:ascii="SimSun" w:hAnsi="SimSun" w:hint="eastAsia"/>
        </w:rPr>
        <w:t>智利三大最佳公共机构之一。该奖项旨在表彰显著提升用户生活质量的国家机构，例如提高对知识产权制度和</w:t>
      </w:r>
      <w:r w:rsidR="002A7946" w:rsidRPr="00F9190E">
        <w:rPr>
          <w:rFonts w:ascii="SimSun" w:hAnsi="SimSun" w:hint="eastAsia"/>
        </w:rPr>
        <w:t>在海外</w:t>
      </w:r>
      <w:r w:rsidRPr="00F9190E">
        <w:rPr>
          <w:rFonts w:ascii="SimSun" w:hAnsi="SimSun" w:hint="eastAsia"/>
        </w:rPr>
        <w:t>提交专利申请优势的认识。</w:t>
      </w:r>
      <w:r w:rsidR="002A7946" w:rsidRPr="00F9190E">
        <w:rPr>
          <w:rFonts w:ascii="SimSun" w:hAnsi="SimSun" w:hint="eastAsia"/>
        </w:rPr>
        <w:t>的确</w:t>
      </w:r>
      <w:r w:rsidRPr="00F9190E">
        <w:rPr>
          <w:rFonts w:ascii="SimSun" w:hAnsi="SimSun" w:hint="eastAsia"/>
        </w:rPr>
        <w:t>，自INAPI开始</w:t>
      </w:r>
      <w:r w:rsidR="002A7946" w:rsidRPr="00F9190E">
        <w:rPr>
          <w:rFonts w:ascii="SimSun" w:hAnsi="SimSun" w:hint="eastAsia"/>
        </w:rPr>
        <w:t>作为</w:t>
      </w:r>
      <w:r w:rsidRPr="00F9190E">
        <w:rPr>
          <w:rFonts w:ascii="SimSun" w:hAnsi="SimSun" w:hint="eastAsia"/>
        </w:rPr>
        <w:t>PCT国际</w:t>
      </w:r>
      <w:r w:rsidR="002A7946" w:rsidRPr="00F9190E">
        <w:rPr>
          <w:rFonts w:ascii="SimSun" w:hAnsi="SimSun" w:hint="eastAsia"/>
        </w:rPr>
        <w:t>单位</w:t>
      </w:r>
      <w:r w:rsidRPr="00F9190E">
        <w:rPr>
          <w:rFonts w:ascii="SimSun" w:hAnsi="SimSun" w:hint="eastAsia"/>
        </w:rPr>
        <w:t>以来，该地区的国际申请率普遍上升。许多此前不了解知识产权</w:t>
      </w:r>
      <w:r w:rsidR="002A7946" w:rsidRPr="00F9190E">
        <w:rPr>
          <w:rFonts w:ascii="SimSun" w:hAnsi="SimSun" w:hint="eastAsia"/>
        </w:rPr>
        <w:t>制度</w:t>
      </w:r>
      <w:r w:rsidRPr="00F9190E">
        <w:rPr>
          <w:rFonts w:ascii="SimSun" w:hAnsi="SimSun" w:hint="eastAsia"/>
        </w:rPr>
        <w:t>的申请人</w:t>
      </w:r>
      <w:r w:rsidR="00421894">
        <w:rPr>
          <w:rFonts w:ascii="SimSun" w:hAnsi="SimSun" w:hint="eastAsia"/>
        </w:rPr>
        <w:t>请求获得关于</w:t>
      </w:r>
      <w:r w:rsidR="002A7946" w:rsidRPr="00F9190E">
        <w:rPr>
          <w:rFonts w:ascii="SimSun" w:hAnsi="SimSun" w:hint="eastAsia"/>
        </w:rPr>
        <w:t>PCT</w:t>
      </w:r>
      <w:r w:rsidR="00590063" w:rsidRPr="00F9190E">
        <w:rPr>
          <w:rFonts w:ascii="SimSun" w:hAnsi="SimSun" w:hint="eastAsia"/>
        </w:rPr>
        <w:t>如何</w:t>
      </w:r>
      <w:r w:rsidRPr="00F9190E">
        <w:rPr>
          <w:rFonts w:ascii="SimSun" w:hAnsi="SimSun" w:hint="eastAsia"/>
        </w:rPr>
        <w:t>运作</w:t>
      </w:r>
      <w:r w:rsidR="00421894">
        <w:rPr>
          <w:rFonts w:ascii="SimSun" w:hAnsi="SimSun" w:hint="eastAsia"/>
        </w:rPr>
        <w:t>的信息</w:t>
      </w:r>
      <w:r w:rsidRPr="00F9190E">
        <w:rPr>
          <w:rFonts w:ascii="SimSun" w:hAnsi="SimSun" w:hint="eastAsia"/>
        </w:rPr>
        <w:t>，</w:t>
      </w:r>
      <w:r w:rsidR="001A5EC0">
        <w:rPr>
          <w:rFonts w:ascii="SimSun" w:hAnsi="SimSun" w:hint="eastAsia"/>
        </w:rPr>
        <w:t>这使得</w:t>
      </w:r>
      <w:r w:rsidR="00590063" w:rsidRPr="00F9190E">
        <w:rPr>
          <w:rFonts w:ascii="SimSun" w:hAnsi="SimSun" w:hint="eastAsia"/>
        </w:rPr>
        <w:t>寻求将PCT</w:t>
      </w:r>
      <w:r w:rsidR="004F0D20">
        <w:rPr>
          <w:rFonts w:ascii="SimSun" w:hAnsi="SimSun" w:hint="eastAsia"/>
        </w:rPr>
        <w:t>用作</w:t>
      </w:r>
      <w:r w:rsidR="00590063" w:rsidRPr="00F9190E">
        <w:rPr>
          <w:rFonts w:ascii="SimSun" w:hAnsi="SimSun" w:hint="eastAsia"/>
        </w:rPr>
        <w:t>专利申请策略一部分的</w:t>
      </w:r>
      <w:r w:rsidRPr="00F9190E">
        <w:rPr>
          <w:rFonts w:ascii="SimSun" w:hAnsi="SimSun" w:hint="eastAsia"/>
        </w:rPr>
        <w:t>新参与者</w:t>
      </w:r>
      <w:r w:rsidR="001A5EC0">
        <w:rPr>
          <w:rFonts w:ascii="SimSun" w:hAnsi="SimSun" w:hint="eastAsia"/>
        </w:rPr>
        <w:t>加入</w:t>
      </w:r>
      <w:r w:rsidRPr="00F9190E">
        <w:rPr>
          <w:rFonts w:ascii="SimSun" w:hAnsi="SimSun" w:hint="eastAsia"/>
        </w:rPr>
        <w:t>该体系。</w:t>
      </w:r>
    </w:p>
    <w:p w14:paraId="41252995" w14:textId="4A612E80" w:rsidR="003A4A85" w:rsidRPr="00F9190E" w:rsidRDefault="003A4A85" w:rsidP="003A4A85">
      <w:pPr>
        <w:spacing w:afterLines="100" w:after="240" w:line="340" w:lineRule="atLeast"/>
        <w:jc w:val="both"/>
        <w:rPr>
          <w:rFonts w:ascii="SimSun" w:hAnsi="SimSun"/>
          <w:u w:val="single"/>
        </w:rPr>
      </w:pPr>
      <w:r w:rsidRPr="00F9190E">
        <w:rPr>
          <w:rFonts w:ascii="SimSun" w:hAnsi="SimSun" w:hint="eastAsia"/>
          <w:u w:val="single"/>
        </w:rPr>
        <w:t>INAPI作为</w:t>
      </w:r>
      <w:r w:rsidR="00590063" w:rsidRPr="00F9190E">
        <w:rPr>
          <w:rFonts w:ascii="SimSun" w:hAnsi="SimSun"/>
          <w:u w:val="single"/>
        </w:rPr>
        <w:t>ISA/IPEA</w:t>
      </w:r>
      <w:r w:rsidRPr="00F9190E">
        <w:rPr>
          <w:rFonts w:ascii="SimSun" w:hAnsi="SimSun" w:hint="eastAsia"/>
          <w:u w:val="single"/>
        </w:rPr>
        <w:t>的工作</w:t>
      </w:r>
    </w:p>
    <w:p w14:paraId="5C8F6076" w14:textId="6826366E" w:rsidR="003A4A85" w:rsidRPr="00F9190E" w:rsidRDefault="003A4A85" w:rsidP="003A4A85">
      <w:pPr>
        <w:spacing w:afterLines="100" w:after="240" w:line="340" w:lineRule="atLeast"/>
        <w:jc w:val="both"/>
        <w:rPr>
          <w:rFonts w:ascii="SimSun" w:hAnsi="SimSun"/>
        </w:rPr>
      </w:pPr>
      <w:r w:rsidRPr="00F9190E">
        <w:rPr>
          <w:rFonts w:ascii="SimSun" w:hAnsi="SimSun" w:hint="eastAsia"/>
        </w:rPr>
        <w:t>INAPI自</w:t>
      </w:r>
      <w:r w:rsidR="00616689" w:rsidRPr="00F9190E">
        <w:rPr>
          <w:rFonts w:ascii="SimSun" w:hAnsi="SimSun"/>
        </w:rPr>
        <w:t>2014</w:t>
      </w:r>
      <w:r w:rsidR="00616689" w:rsidRPr="00F9190E">
        <w:rPr>
          <w:rFonts w:ascii="SimSun" w:hAnsi="SimSun" w:hint="eastAsia"/>
        </w:rPr>
        <w:t>年</w:t>
      </w:r>
      <w:r w:rsidR="00616689" w:rsidRPr="00F9190E">
        <w:rPr>
          <w:rFonts w:ascii="SimSun" w:hAnsi="SimSun"/>
        </w:rPr>
        <w:t>10</w:t>
      </w:r>
      <w:r w:rsidR="00616689" w:rsidRPr="00F9190E">
        <w:rPr>
          <w:rFonts w:ascii="SimSun" w:hAnsi="SimSun" w:hint="eastAsia"/>
        </w:rPr>
        <w:t>月</w:t>
      </w:r>
      <w:r w:rsidR="00616689" w:rsidRPr="00F9190E">
        <w:rPr>
          <w:rFonts w:ascii="SimSun" w:hAnsi="SimSun"/>
        </w:rPr>
        <w:t>22</w:t>
      </w:r>
      <w:r w:rsidR="00616689" w:rsidRPr="00F9190E">
        <w:rPr>
          <w:rFonts w:ascii="SimSun" w:hAnsi="SimSun" w:hint="eastAsia"/>
        </w:rPr>
        <w:t>日</w:t>
      </w:r>
      <w:r w:rsidRPr="00F9190E">
        <w:rPr>
          <w:rFonts w:ascii="SimSun" w:hAnsi="SimSun" w:hint="eastAsia"/>
        </w:rPr>
        <w:t>起担任</w:t>
      </w:r>
      <w:r w:rsidR="00616689" w:rsidRPr="00F9190E">
        <w:rPr>
          <w:rFonts w:ascii="SimSun" w:hAnsi="SimSun" w:hint="eastAsia"/>
        </w:rPr>
        <w:t>PCT</w:t>
      </w:r>
      <w:r w:rsidRPr="00F9190E">
        <w:rPr>
          <w:rFonts w:ascii="SimSun" w:hAnsi="SimSun" w:hint="eastAsia"/>
        </w:rPr>
        <w:t>国际单位。2024年，INAPI迎来了其作为</w:t>
      </w:r>
      <w:r w:rsidR="00616689" w:rsidRPr="00F9190E">
        <w:rPr>
          <w:rFonts w:ascii="SimSun" w:hAnsi="SimSun"/>
        </w:rPr>
        <w:t>ISA/IPEA</w:t>
      </w:r>
      <w:r w:rsidRPr="00F9190E">
        <w:rPr>
          <w:rFonts w:ascii="SimSun" w:hAnsi="SimSun" w:hint="eastAsia"/>
        </w:rPr>
        <w:t>的十周年，巩固了其作为拉丁美洲</w:t>
      </w:r>
      <w:r w:rsidR="00616689" w:rsidRPr="00F9190E">
        <w:rPr>
          <w:rFonts w:ascii="SimSun" w:hAnsi="SimSun" w:hint="eastAsia"/>
        </w:rPr>
        <w:t>得到</w:t>
      </w:r>
      <w:r w:rsidRPr="00F9190E">
        <w:rPr>
          <w:rFonts w:ascii="SimSun" w:hAnsi="SimSun" w:hint="eastAsia"/>
        </w:rPr>
        <w:t>最广泛</w:t>
      </w:r>
      <w:r w:rsidR="00616689" w:rsidRPr="00F9190E">
        <w:rPr>
          <w:rFonts w:ascii="SimSun" w:hAnsi="SimSun" w:hint="eastAsia"/>
        </w:rPr>
        <w:t>使用</w:t>
      </w:r>
      <w:r w:rsidRPr="00F9190E">
        <w:rPr>
          <w:rFonts w:ascii="SimSun" w:hAnsi="SimSun" w:hint="eastAsia"/>
        </w:rPr>
        <w:t>的</w:t>
      </w:r>
      <w:r w:rsidR="00616689" w:rsidRPr="00F9190E">
        <w:rPr>
          <w:rFonts w:ascii="SimSun" w:hAnsi="SimSun" w:hint="eastAsia"/>
        </w:rPr>
        <w:t>西班牙语PCT</w:t>
      </w:r>
      <w:r w:rsidRPr="00F9190E">
        <w:rPr>
          <w:rFonts w:ascii="SimSun" w:hAnsi="SimSun" w:hint="eastAsia"/>
        </w:rPr>
        <w:t>国际单位的地位。</w:t>
      </w:r>
      <w:r w:rsidR="00616689" w:rsidRPr="00F9190E">
        <w:rPr>
          <w:rFonts w:ascii="SimSun" w:hAnsi="SimSun" w:hint="eastAsia"/>
        </w:rPr>
        <w:t>这些</w:t>
      </w:r>
      <w:r w:rsidRPr="00F9190E">
        <w:rPr>
          <w:rFonts w:ascii="SimSun" w:hAnsi="SimSun" w:hint="eastAsia"/>
        </w:rPr>
        <w:t>年来，我们见证了</w:t>
      </w:r>
      <w:r w:rsidR="00616689" w:rsidRPr="00F9190E">
        <w:rPr>
          <w:rFonts w:ascii="SimSun" w:hAnsi="SimSun" w:hint="eastAsia"/>
        </w:rPr>
        <w:t>PCT</w:t>
      </w:r>
      <w:r w:rsidRPr="00F9190E">
        <w:rPr>
          <w:rFonts w:ascii="SimSun" w:hAnsi="SimSun" w:hint="eastAsia"/>
        </w:rPr>
        <w:t>申请量的稳步增长，不仅来自智利申请人，也来自包括墨西哥、哥伦比亚、秘鲁、厄瓜多尔和哥斯达黎加在内的</w:t>
      </w:r>
      <w:r w:rsidR="00616689" w:rsidRPr="00F9190E">
        <w:rPr>
          <w:rFonts w:ascii="SimSun" w:hAnsi="SimSun" w:hint="eastAsia"/>
        </w:rPr>
        <w:t>该地</w:t>
      </w:r>
      <w:r w:rsidRPr="00F9190E">
        <w:rPr>
          <w:rFonts w:ascii="SimSun" w:hAnsi="SimSun" w:hint="eastAsia"/>
        </w:rPr>
        <w:t>区申请人。</w:t>
      </w:r>
    </w:p>
    <w:p w14:paraId="273D32C2" w14:textId="6164354C" w:rsidR="003A4A85" w:rsidRPr="00F9190E" w:rsidRDefault="003A4A85" w:rsidP="003A4A85">
      <w:pPr>
        <w:spacing w:afterLines="100" w:after="240" w:line="340" w:lineRule="atLeast"/>
        <w:jc w:val="both"/>
        <w:rPr>
          <w:rFonts w:ascii="SimSun" w:hAnsi="SimSun"/>
        </w:rPr>
      </w:pPr>
      <w:r w:rsidRPr="00F9190E">
        <w:rPr>
          <w:rFonts w:ascii="SimSun" w:hAnsi="SimSun" w:hint="eastAsia"/>
        </w:rPr>
        <w:t>2014年至2024年间，INAPI被指定为2,809</w:t>
      </w:r>
      <w:r w:rsidR="003C62A5" w:rsidRPr="00F9190E">
        <w:rPr>
          <w:rFonts w:ascii="SimSun" w:hAnsi="SimSun" w:hint="eastAsia"/>
        </w:rPr>
        <w:t>件</w:t>
      </w:r>
      <w:r w:rsidRPr="00F9190E">
        <w:rPr>
          <w:rFonts w:ascii="SimSun" w:hAnsi="SimSun" w:hint="eastAsia"/>
        </w:rPr>
        <w:t>申请的</w:t>
      </w:r>
      <w:r w:rsidR="003C62A5" w:rsidRPr="00F9190E">
        <w:rPr>
          <w:rFonts w:ascii="SimSun" w:hAnsi="SimSun"/>
        </w:rPr>
        <w:t>ISA</w:t>
      </w:r>
      <w:r w:rsidRPr="00F9190E">
        <w:rPr>
          <w:rFonts w:ascii="SimSun" w:hAnsi="SimSun" w:hint="eastAsia"/>
        </w:rPr>
        <w:t>，并出具了2,449份检索报告和书面意见。2024年，INAPI</w:t>
      </w:r>
      <w:r w:rsidR="004F0D20">
        <w:rPr>
          <w:rFonts w:ascii="SimSun" w:hAnsi="SimSun" w:hint="eastAsia"/>
        </w:rPr>
        <w:t>得到</w:t>
      </w:r>
      <w:r w:rsidRPr="00F9190E">
        <w:rPr>
          <w:rFonts w:ascii="SimSun" w:hAnsi="SimSun" w:hint="eastAsia"/>
        </w:rPr>
        <w:t>293</w:t>
      </w:r>
      <w:r w:rsidR="003C62A5" w:rsidRPr="00F9190E">
        <w:rPr>
          <w:rFonts w:ascii="SimSun" w:hAnsi="SimSun" w:hint="eastAsia"/>
        </w:rPr>
        <w:t>件</w:t>
      </w:r>
      <w:r w:rsidRPr="00F9190E">
        <w:rPr>
          <w:rFonts w:ascii="SimSun" w:hAnsi="SimSun" w:hint="eastAsia"/>
        </w:rPr>
        <w:t>申请</w:t>
      </w:r>
      <w:r w:rsidR="004F0D20">
        <w:rPr>
          <w:rFonts w:ascii="SimSun" w:hAnsi="SimSun" w:hint="eastAsia"/>
        </w:rPr>
        <w:t>的</w:t>
      </w:r>
      <w:r w:rsidR="003C62A5" w:rsidRPr="00F9190E">
        <w:rPr>
          <w:rFonts w:ascii="SimSun" w:hAnsi="SimSun" w:hint="eastAsia"/>
        </w:rPr>
        <w:t>指定</w:t>
      </w:r>
      <w:r w:rsidRPr="00F9190E">
        <w:rPr>
          <w:rFonts w:ascii="SimSun" w:hAnsi="SimSun" w:hint="eastAsia"/>
        </w:rPr>
        <w:t>。同</w:t>
      </w:r>
      <w:r w:rsidR="004F0D20">
        <w:rPr>
          <w:rFonts w:ascii="SimSun" w:hAnsi="SimSun" w:hint="eastAsia"/>
        </w:rPr>
        <w:t>一时期</w:t>
      </w:r>
      <w:r w:rsidRPr="00F9190E">
        <w:rPr>
          <w:rFonts w:ascii="SimSun" w:hAnsi="SimSun" w:hint="eastAsia"/>
        </w:rPr>
        <w:t>，INAPI被指定为96</w:t>
      </w:r>
      <w:r w:rsidR="003C62A5" w:rsidRPr="00F9190E">
        <w:rPr>
          <w:rFonts w:ascii="SimSun" w:hAnsi="SimSun" w:hint="eastAsia"/>
        </w:rPr>
        <w:t>件</w:t>
      </w:r>
      <w:r w:rsidRPr="00F9190E">
        <w:rPr>
          <w:rFonts w:ascii="SimSun" w:hAnsi="SimSun" w:hint="eastAsia"/>
        </w:rPr>
        <w:t>申请的IPEA，其中11</w:t>
      </w:r>
      <w:r w:rsidR="00152B57" w:rsidRPr="00F9190E">
        <w:rPr>
          <w:rFonts w:ascii="SimSun" w:hAnsi="SimSun" w:hint="eastAsia"/>
        </w:rPr>
        <w:t>件</w:t>
      </w:r>
      <w:r w:rsidRPr="00F9190E">
        <w:rPr>
          <w:rFonts w:ascii="SimSun" w:hAnsi="SimSun" w:hint="eastAsia"/>
        </w:rPr>
        <w:t>申请</w:t>
      </w:r>
      <w:r w:rsidR="00152B57" w:rsidRPr="00F9190E">
        <w:rPr>
          <w:rFonts w:ascii="SimSun" w:hAnsi="SimSun" w:hint="eastAsia"/>
        </w:rPr>
        <w:t>于2024年</w:t>
      </w:r>
      <w:r w:rsidRPr="00F9190E">
        <w:rPr>
          <w:rFonts w:ascii="SimSun" w:hAnsi="SimSun" w:hint="eastAsia"/>
        </w:rPr>
        <w:t>提交。</w:t>
      </w:r>
    </w:p>
    <w:p w14:paraId="7C915BC2" w14:textId="137C1B06" w:rsidR="003A4A85" w:rsidRPr="00F9190E" w:rsidRDefault="003A4A85" w:rsidP="003A4A85">
      <w:pPr>
        <w:spacing w:afterLines="100" w:after="240" w:line="340" w:lineRule="atLeast"/>
        <w:jc w:val="both"/>
        <w:rPr>
          <w:rFonts w:ascii="SimSun" w:hAnsi="SimSun"/>
        </w:rPr>
      </w:pPr>
      <w:r w:rsidRPr="00F9190E">
        <w:rPr>
          <w:rFonts w:ascii="SimSun" w:hAnsi="SimSun" w:hint="eastAsia"/>
        </w:rPr>
        <w:t>在</w:t>
      </w:r>
      <w:r w:rsidR="00152B57" w:rsidRPr="00F9190E">
        <w:rPr>
          <w:rFonts w:ascii="SimSun" w:hAnsi="SimSun"/>
        </w:rPr>
        <w:t>2025</w:t>
      </w:r>
      <w:r w:rsidR="00152B57" w:rsidRPr="00F9190E">
        <w:rPr>
          <w:rFonts w:ascii="SimSun" w:hAnsi="SimSun" w:hint="eastAsia"/>
        </w:rPr>
        <w:t>年</w:t>
      </w:r>
      <w:r w:rsidR="00152B57" w:rsidRPr="00F9190E">
        <w:rPr>
          <w:rFonts w:ascii="SimSun" w:hAnsi="SimSun"/>
        </w:rPr>
        <w:t>10</w:t>
      </w:r>
      <w:r w:rsidR="00152B57" w:rsidRPr="00F9190E">
        <w:rPr>
          <w:rFonts w:ascii="SimSun" w:hAnsi="SimSun" w:hint="eastAsia"/>
        </w:rPr>
        <w:t>月召开</w:t>
      </w:r>
      <w:r w:rsidRPr="00F9190E">
        <w:rPr>
          <w:rFonts w:ascii="SimSun" w:hAnsi="SimSun" w:hint="eastAsia"/>
        </w:rPr>
        <w:t>的</w:t>
      </w:r>
      <w:r w:rsidR="004F0D20">
        <w:rPr>
          <w:rFonts w:ascii="SimSun" w:hAnsi="SimSun" w:hint="eastAsia"/>
        </w:rPr>
        <w:t>上届</w:t>
      </w:r>
      <w:r w:rsidR="00795444">
        <w:rPr>
          <w:rFonts w:ascii="SimSun" w:hAnsi="SimSun" w:hint="eastAsia"/>
        </w:rPr>
        <w:t>PCT</w:t>
      </w:r>
      <w:r w:rsidR="00152B57" w:rsidRPr="00F9190E">
        <w:rPr>
          <w:rFonts w:ascii="SimSun" w:hAnsi="SimSun" w:hint="eastAsia"/>
        </w:rPr>
        <w:t>国际单位会议</w:t>
      </w:r>
      <w:r w:rsidRPr="00F9190E">
        <w:rPr>
          <w:rFonts w:ascii="SimSun" w:hAnsi="SimSun" w:hint="eastAsia"/>
        </w:rPr>
        <w:t>上，INAPI被认可为</w:t>
      </w:r>
      <w:r w:rsidR="00152B57" w:rsidRPr="00F9190E">
        <w:rPr>
          <w:rFonts w:ascii="SimSun" w:hAnsi="SimSun" w:hint="eastAsia"/>
        </w:rPr>
        <w:t>实现检索报告、书面意见及国际初步审查</w:t>
      </w:r>
      <w:r w:rsidR="00152B57" w:rsidRPr="00F9190E">
        <w:rPr>
          <w:rFonts w:ascii="SimSun" w:hAnsi="SimSun"/>
        </w:rPr>
        <w:t>100%</w:t>
      </w:r>
      <w:r w:rsidR="00152B57" w:rsidRPr="00F9190E">
        <w:rPr>
          <w:rFonts w:ascii="SimSun" w:hAnsi="SimSun" w:hint="eastAsia"/>
        </w:rPr>
        <w:t>按时出具的</w:t>
      </w:r>
      <w:r w:rsidR="00152B57" w:rsidRPr="00F9190E">
        <w:rPr>
          <w:rFonts w:ascii="SimSun" w:hAnsi="SimSun"/>
        </w:rPr>
        <w:t>ISA/IPEA</w:t>
      </w:r>
      <w:r w:rsidR="00152B57" w:rsidRPr="00F9190E">
        <w:rPr>
          <w:rFonts w:ascii="SimSun" w:hAnsi="SimSun" w:hint="eastAsia"/>
        </w:rPr>
        <w:t>之一。遵守</w:t>
      </w:r>
      <w:r w:rsidR="00152B57" w:rsidRPr="00F9190E">
        <w:rPr>
          <w:rFonts w:ascii="SimSun" w:hAnsi="SimSun"/>
        </w:rPr>
        <w:t>PCT</w:t>
      </w:r>
      <w:r w:rsidR="00152B57" w:rsidRPr="00F9190E">
        <w:rPr>
          <w:rFonts w:ascii="SimSun" w:hAnsi="SimSun" w:hint="eastAsia"/>
        </w:rPr>
        <w:t>截止日期并及时向用户提供报告</w:t>
      </w:r>
      <w:r w:rsidR="001A0EC5" w:rsidRPr="00F9190E">
        <w:rPr>
          <w:rFonts w:ascii="SimSun" w:hAnsi="SimSun" w:hint="eastAsia"/>
        </w:rPr>
        <w:t>一直</w:t>
      </w:r>
      <w:r w:rsidRPr="00F9190E">
        <w:rPr>
          <w:rFonts w:ascii="SimSun" w:hAnsi="SimSun" w:hint="eastAsia"/>
        </w:rPr>
        <w:t>是INAPI作为PCT国际</w:t>
      </w:r>
      <w:r w:rsidR="001A0EC5" w:rsidRPr="00F9190E">
        <w:rPr>
          <w:rFonts w:ascii="SimSun" w:hAnsi="SimSun" w:hint="eastAsia"/>
        </w:rPr>
        <w:t>单位</w:t>
      </w:r>
      <w:r w:rsidRPr="00F9190E">
        <w:rPr>
          <w:rFonts w:ascii="SimSun" w:hAnsi="SimSun" w:hint="eastAsia"/>
        </w:rPr>
        <w:t>的管理</w:t>
      </w:r>
      <w:r w:rsidR="001A0EC5" w:rsidRPr="00F9190E">
        <w:rPr>
          <w:rFonts w:ascii="SimSun" w:hAnsi="SimSun" w:hint="eastAsia"/>
        </w:rPr>
        <w:t>特点</w:t>
      </w:r>
      <w:r w:rsidRPr="00F9190E">
        <w:rPr>
          <w:rFonts w:ascii="SimSun" w:hAnsi="SimSun" w:hint="eastAsia"/>
        </w:rPr>
        <w:t>。</w:t>
      </w:r>
    </w:p>
    <w:p w14:paraId="1297D827" w14:textId="045D6159" w:rsidR="00F9072A" w:rsidRPr="00F9190E" w:rsidRDefault="003A4A85" w:rsidP="003A4A85">
      <w:pPr>
        <w:spacing w:afterLines="100" w:after="240" w:line="340" w:lineRule="atLeast"/>
        <w:jc w:val="both"/>
        <w:rPr>
          <w:rFonts w:ascii="SimSun" w:hAnsi="SimSun"/>
        </w:rPr>
      </w:pPr>
      <w:r w:rsidRPr="00F9190E">
        <w:rPr>
          <w:rFonts w:ascii="SimSun" w:hAnsi="SimSun" w:hint="eastAsia"/>
        </w:rPr>
        <w:t>INAPI作为PCT国际</w:t>
      </w:r>
      <w:r w:rsidR="001A0EC5" w:rsidRPr="00F9190E">
        <w:rPr>
          <w:rFonts w:ascii="SimSun" w:hAnsi="SimSun" w:hint="eastAsia"/>
        </w:rPr>
        <w:t>单位</w:t>
      </w:r>
      <w:r w:rsidRPr="00F9190E">
        <w:rPr>
          <w:rFonts w:ascii="SimSun" w:hAnsi="SimSun" w:hint="eastAsia"/>
        </w:rPr>
        <w:t>的工作</w:t>
      </w:r>
      <w:r w:rsidR="001A0EC5" w:rsidRPr="00F9190E">
        <w:rPr>
          <w:rFonts w:ascii="SimSun" w:hAnsi="SimSun" w:hint="eastAsia"/>
        </w:rPr>
        <w:t>得到</w:t>
      </w:r>
      <w:r w:rsidRPr="00F9190E">
        <w:rPr>
          <w:rFonts w:ascii="SimSun" w:hAnsi="SimSun" w:hint="eastAsia"/>
        </w:rPr>
        <w:t>智利及</w:t>
      </w:r>
      <w:r w:rsidR="001A0EC5" w:rsidRPr="00F9190E">
        <w:rPr>
          <w:rFonts w:ascii="SimSun" w:hAnsi="SimSun" w:hint="eastAsia"/>
        </w:rPr>
        <w:t>更广泛</w:t>
      </w:r>
      <w:r w:rsidRPr="00F9190E">
        <w:rPr>
          <w:rFonts w:ascii="SimSun" w:hAnsi="SimSun" w:hint="eastAsia"/>
        </w:rPr>
        <w:t>地区申请人的</w:t>
      </w:r>
      <w:r w:rsidR="001A0EC5" w:rsidRPr="00F9190E">
        <w:rPr>
          <w:rFonts w:ascii="SimSun" w:hAnsi="SimSun" w:hint="eastAsia"/>
        </w:rPr>
        <w:t>高度</w:t>
      </w:r>
      <w:r w:rsidRPr="00F9190E">
        <w:rPr>
          <w:rFonts w:ascii="SimSun" w:hAnsi="SimSun" w:hint="eastAsia"/>
        </w:rPr>
        <w:t>认可。这体现在针对每</w:t>
      </w:r>
      <w:r w:rsidR="001A0EC5" w:rsidRPr="00F9190E">
        <w:rPr>
          <w:rFonts w:ascii="SimSun" w:hAnsi="SimSun" w:hint="eastAsia"/>
        </w:rPr>
        <w:t>件</w:t>
      </w:r>
      <w:r w:rsidRPr="00F9190E">
        <w:rPr>
          <w:rFonts w:ascii="SimSun" w:hAnsi="SimSun" w:hint="eastAsia"/>
        </w:rPr>
        <w:t>由INAPI作为</w:t>
      </w:r>
      <w:r w:rsidR="001A0EC5" w:rsidRPr="00F9190E">
        <w:rPr>
          <w:rFonts w:ascii="SimSun" w:hAnsi="SimSun" w:hint="eastAsia"/>
        </w:rPr>
        <w:t>ISA</w:t>
      </w:r>
      <w:r w:rsidRPr="00F9190E">
        <w:rPr>
          <w:rFonts w:ascii="SimSun" w:hAnsi="SimSun" w:hint="eastAsia"/>
        </w:rPr>
        <w:t>处理的申请所开展的满意度调查、与主要用户的年度会议以及与众多提交</w:t>
      </w:r>
      <w:r w:rsidR="001A0EC5" w:rsidRPr="00F9190E">
        <w:rPr>
          <w:rFonts w:ascii="SimSun" w:hAnsi="SimSun" w:hint="eastAsia"/>
        </w:rPr>
        <w:t>一件以上</w:t>
      </w:r>
      <w:r w:rsidRPr="00F9190E">
        <w:rPr>
          <w:rFonts w:ascii="SimSun" w:hAnsi="SimSun" w:hint="eastAsia"/>
        </w:rPr>
        <w:t>申请并选择INAPI作为</w:t>
      </w:r>
      <w:r w:rsidR="001A0EC5" w:rsidRPr="00F9190E">
        <w:rPr>
          <w:rFonts w:ascii="SimSun" w:hAnsi="SimSun" w:hint="eastAsia"/>
        </w:rPr>
        <w:t>ISA</w:t>
      </w:r>
      <w:r w:rsidRPr="00F9190E">
        <w:rPr>
          <w:rFonts w:ascii="SimSun" w:hAnsi="SimSun" w:hint="eastAsia"/>
        </w:rPr>
        <w:t>的申请人的会面中。所有这些</w:t>
      </w:r>
      <w:r w:rsidR="00795444">
        <w:rPr>
          <w:rFonts w:ascii="SimSun" w:hAnsi="SimSun" w:hint="eastAsia"/>
        </w:rPr>
        <w:t>均</w:t>
      </w:r>
      <w:r w:rsidR="001A0EC5" w:rsidRPr="00F9190E">
        <w:rPr>
          <w:rFonts w:ascii="SimSun" w:hAnsi="SimSun" w:hint="eastAsia"/>
        </w:rPr>
        <w:t>表明</w:t>
      </w:r>
      <w:r w:rsidRPr="00F9190E">
        <w:rPr>
          <w:rFonts w:ascii="SimSun" w:hAnsi="SimSun" w:hint="eastAsia"/>
        </w:rPr>
        <w:t>对我们工作质量的信任和对我们效率的认可。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6C88540" w:rsidR="009A31F1" w:rsidRPr="00DA04C2" w:rsidRDefault="009A31F1" w:rsidP="009A31F1">
        <w:pPr>
          <w:jc w:val="right"/>
          <w:rPr>
            <w:rFonts w:ascii="SimSun" w:hAnsi="SimSun"/>
            <w:caps/>
            <w:lang w:val="fr-CH"/>
          </w:rPr>
        </w:pPr>
        <w:r w:rsidRPr="00DA04C2">
          <w:rPr>
            <w:rFonts w:ascii="SimSun" w:hAnsi="SimSun"/>
            <w:caps/>
            <w:lang w:val="fr-CH"/>
          </w:rPr>
          <w:t>PCT/CTC/33/</w:t>
        </w:r>
        <w:r w:rsidR="008F3BCC">
          <w:rPr>
            <w:rFonts w:ascii="SimSun" w:hAnsi="SimSun" w:hint="eastAsia"/>
            <w:caps/>
            <w:lang w:val="fr-CH"/>
          </w:rPr>
          <w:t>6</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72A0AAA4" w:rsidR="009A31F1" w:rsidRPr="00DA04C2" w:rsidRDefault="009A31F1" w:rsidP="009A31F1">
    <w:pPr>
      <w:pStyle w:val="Header"/>
      <w:jc w:val="right"/>
      <w:rPr>
        <w:rFonts w:ascii="SimSun" w:hAnsi="SimSun"/>
      </w:rPr>
    </w:pPr>
    <w:bookmarkStart w:id="7" w:name="Code2"/>
    <w:r w:rsidRPr="00DA04C2">
      <w:rPr>
        <w:rFonts w:ascii="SimSun" w:hAnsi="SimSun"/>
      </w:rPr>
      <w:t>PCT/CTC/33/</w:t>
    </w:r>
    <w:r w:rsidR="00B20C86">
      <w:rPr>
        <w:rFonts w:ascii="SimSun" w:hAnsi="SimSun" w:hint="eastAsia"/>
      </w:rPr>
      <w:t>6</w:t>
    </w:r>
  </w:p>
  <w:bookmarkEnd w:id="7"/>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D4927"/>
    <w:rsid w:val="000E14AC"/>
    <w:rsid w:val="000F5E56"/>
    <w:rsid w:val="00111BB0"/>
    <w:rsid w:val="001362EE"/>
    <w:rsid w:val="00140607"/>
    <w:rsid w:val="00152AEF"/>
    <w:rsid w:val="00152B57"/>
    <w:rsid w:val="001647D5"/>
    <w:rsid w:val="001702FA"/>
    <w:rsid w:val="00180294"/>
    <w:rsid w:val="001832A6"/>
    <w:rsid w:val="001A0EC5"/>
    <w:rsid w:val="001A194A"/>
    <w:rsid w:val="001A5EC0"/>
    <w:rsid w:val="001B1201"/>
    <w:rsid w:val="001B22AA"/>
    <w:rsid w:val="001D4107"/>
    <w:rsid w:val="001E0120"/>
    <w:rsid w:val="00203D24"/>
    <w:rsid w:val="0021217E"/>
    <w:rsid w:val="00217FB1"/>
    <w:rsid w:val="002254C7"/>
    <w:rsid w:val="002326AB"/>
    <w:rsid w:val="00234688"/>
    <w:rsid w:val="0024046B"/>
    <w:rsid w:val="00243430"/>
    <w:rsid w:val="002634C4"/>
    <w:rsid w:val="00265729"/>
    <w:rsid w:val="00284F5C"/>
    <w:rsid w:val="002928D3"/>
    <w:rsid w:val="002A3AB0"/>
    <w:rsid w:val="002A7946"/>
    <w:rsid w:val="002B26A0"/>
    <w:rsid w:val="002B70E7"/>
    <w:rsid w:val="002D183C"/>
    <w:rsid w:val="002E29C7"/>
    <w:rsid w:val="002F1FE6"/>
    <w:rsid w:val="002F39CD"/>
    <w:rsid w:val="002F4E68"/>
    <w:rsid w:val="00302B46"/>
    <w:rsid w:val="00312F7F"/>
    <w:rsid w:val="003278A4"/>
    <w:rsid w:val="003514C1"/>
    <w:rsid w:val="00361450"/>
    <w:rsid w:val="003673CF"/>
    <w:rsid w:val="00373544"/>
    <w:rsid w:val="003845C1"/>
    <w:rsid w:val="003A0E24"/>
    <w:rsid w:val="003A4A85"/>
    <w:rsid w:val="003A5E85"/>
    <w:rsid w:val="003A6F89"/>
    <w:rsid w:val="003B2A8D"/>
    <w:rsid w:val="003B38C1"/>
    <w:rsid w:val="003C34E9"/>
    <w:rsid w:val="003C62A5"/>
    <w:rsid w:val="003F63F4"/>
    <w:rsid w:val="003F6F01"/>
    <w:rsid w:val="00421894"/>
    <w:rsid w:val="00423E3E"/>
    <w:rsid w:val="00427AF4"/>
    <w:rsid w:val="004417B3"/>
    <w:rsid w:val="00442A32"/>
    <w:rsid w:val="004647DA"/>
    <w:rsid w:val="00466D9E"/>
    <w:rsid w:val="00474062"/>
    <w:rsid w:val="004769D1"/>
    <w:rsid w:val="00477D6B"/>
    <w:rsid w:val="00482885"/>
    <w:rsid w:val="00491601"/>
    <w:rsid w:val="004A2942"/>
    <w:rsid w:val="004B446A"/>
    <w:rsid w:val="004B6994"/>
    <w:rsid w:val="004C572F"/>
    <w:rsid w:val="004F0D20"/>
    <w:rsid w:val="005019FF"/>
    <w:rsid w:val="00501DC4"/>
    <w:rsid w:val="00502FFC"/>
    <w:rsid w:val="0052652C"/>
    <w:rsid w:val="0053057A"/>
    <w:rsid w:val="00556076"/>
    <w:rsid w:val="00560A29"/>
    <w:rsid w:val="00573F0D"/>
    <w:rsid w:val="005829E9"/>
    <w:rsid w:val="00586F18"/>
    <w:rsid w:val="00590063"/>
    <w:rsid w:val="00596424"/>
    <w:rsid w:val="0059762F"/>
    <w:rsid w:val="005A349C"/>
    <w:rsid w:val="005C6649"/>
    <w:rsid w:val="005C79F6"/>
    <w:rsid w:val="005F6044"/>
    <w:rsid w:val="00605827"/>
    <w:rsid w:val="00616689"/>
    <w:rsid w:val="006268BB"/>
    <w:rsid w:val="00635FFC"/>
    <w:rsid w:val="00646050"/>
    <w:rsid w:val="00653444"/>
    <w:rsid w:val="00657E2F"/>
    <w:rsid w:val="006713CA"/>
    <w:rsid w:val="00672FE4"/>
    <w:rsid w:val="00676C5C"/>
    <w:rsid w:val="00687CDD"/>
    <w:rsid w:val="006A5C36"/>
    <w:rsid w:val="006B6D7C"/>
    <w:rsid w:val="006C238E"/>
    <w:rsid w:val="006C322C"/>
    <w:rsid w:val="006C542E"/>
    <w:rsid w:val="006C5B74"/>
    <w:rsid w:val="006C712A"/>
    <w:rsid w:val="006D2F92"/>
    <w:rsid w:val="006D3315"/>
    <w:rsid w:val="006E65FA"/>
    <w:rsid w:val="006F04BC"/>
    <w:rsid w:val="006F554F"/>
    <w:rsid w:val="0070049D"/>
    <w:rsid w:val="0070098F"/>
    <w:rsid w:val="00705803"/>
    <w:rsid w:val="00720EFD"/>
    <w:rsid w:val="007435C9"/>
    <w:rsid w:val="007578A4"/>
    <w:rsid w:val="00761CD8"/>
    <w:rsid w:val="007854AF"/>
    <w:rsid w:val="00786F89"/>
    <w:rsid w:val="00791A85"/>
    <w:rsid w:val="00793A7C"/>
    <w:rsid w:val="00795444"/>
    <w:rsid w:val="007A37BA"/>
    <w:rsid w:val="007A398A"/>
    <w:rsid w:val="007A3EC4"/>
    <w:rsid w:val="007A778B"/>
    <w:rsid w:val="007D1613"/>
    <w:rsid w:val="007E4593"/>
    <w:rsid w:val="007E4C0E"/>
    <w:rsid w:val="007F0346"/>
    <w:rsid w:val="008543C9"/>
    <w:rsid w:val="00865F74"/>
    <w:rsid w:val="00882E14"/>
    <w:rsid w:val="008A134B"/>
    <w:rsid w:val="008A7493"/>
    <w:rsid w:val="008B2CC1"/>
    <w:rsid w:val="008B60B2"/>
    <w:rsid w:val="008B75B9"/>
    <w:rsid w:val="008C0AC9"/>
    <w:rsid w:val="008C660E"/>
    <w:rsid w:val="008D496D"/>
    <w:rsid w:val="008D5EAB"/>
    <w:rsid w:val="008F3BCC"/>
    <w:rsid w:val="0090731E"/>
    <w:rsid w:val="00916EE2"/>
    <w:rsid w:val="0092140E"/>
    <w:rsid w:val="00934DF7"/>
    <w:rsid w:val="00941949"/>
    <w:rsid w:val="009432AA"/>
    <w:rsid w:val="009551CD"/>
    <w:rsid w:val="00966A22"/>
    <w:rsid w:val="0096722F"/>
    <w:rsid w:val="00980843"/>
    <w:rsid w:val="0099237F"/>
    <w:rsid w:val="00994696"/>
    <w:rsid w:val="009A31F1"/>
    <w:rsid w:val="009A53C9"/>
    <w:rsid w:val="009A6649"/>
    <w:rsid w:val="009D2CF9"/>
    <w:rsid w:val="009E2791"/>
    <w:rsid w:val="009E3F6F"/>
    <w:rsid w:val="009F499F"/>
    <w:rsid w:val="00A0628B"/>
    <w:rsid w:val="00A37342"/>
    <w:rsid w:val="00A42DAF"/>
    <w:rsid w:val="00A42FE2"/>
    <w:rsid w:val="00A45BD8"/>
    <w:rsid w:val="00A51438"/>
    <w:rsid w:val="00A53F2A"/>
    <w:rsid w:val="00A869B7"/>
    <w:rsid w:val="00A90F0A"/>
    <w:rsid w:val="00AB6815"/>
    <w:rsid w:val="00AC1D1B"/>
    <w:rsid w:val="00AC205C"/>
    <w:rsid w:val="00AF0A6B"/>
    <w:rsid w:val="00B05A69"/>
    <w:rsid w:val="00B068C9"/>
    <w:rsid w:val="00B17DD1"/>
    <w:rsid w:val="00B20C86"/>
    <w:rsid w:val="00B2331B"/>
    <w:rsid w:val="00B53291"/>
    <w:rsid w:val="00B74BB7"/>
    <w:rsid w:val="00B75281"/>
    <w:rsid w:val="00B92F1F"/>
    <w:rsid w:val="00B9734B"/>
    <w:rsid w:val="00BA30E2"/>
    <w:rsid w:val="00BB1D82"/>
    <w:rsid w:val="00BB23EE"/>
    <w:rsid w:val="00BC039A"/>
    <w:rsid w:val="00BE1156"/>
    <w:rsid w:val="00BF2A6C"/>
    <w:rsid w:val="00C00276"/>
    <w:rsid w:val="00C02229"/>
    <w:rsid w:val="00C11BFE"/>
    <w:rsid w:val="00C12918"/>
    <w:rsid w:val="00C2437D"/>
    <w:rsid w:val="00C27C58"/>
    <w:rsid w:val="00C304BA"/>
    <w:rsid w:val="00C411AD"/>
    <w:rsid w:val="00C42435"/>
    <w:rsid w:val="00C5047D"/>
    <w:rsid w:val="00C5068F"/>
    <w:rsid w:val="00C7737F"/>
    <w:rsid w:val="00C86D74"/>
    <w:rsid w:val="00CD04F1"/>
    <w:rsid w:val="00CE334C"/>
    <w:rsid w:val="00CF6256"/>
    <w:rsid w:val="00CF681A"/>
    <w:rsid w:val="00D07C78"/>
    <w:rsid w:val="00D32237"/>
    <w:rsid w:val="00D3391E"/>
    <w:rsid w:val="00D45252"/>
    <w:rsid w:val="00D5256E"/>
    <w:rsid w:val="00D61EC6"/>
    <w:rsid w:val="00D640E3"/>
    <w:rsid w:val="00D71B4D"/>
    <w:rsid w:val="00D73B87"/>
    <w:rsid w:val="00D93D4C"/>
    <w:rsid w:val="00D93D55"/>
    <w:rsid w:val="00DA04C2"/>
    <w:rsid w:val="00DD7B7F"/>
    <w:rsid w:val="00E0106C"/>
    <w:rsid w:val="00E02322"/>
    <w:rsid w:val="00E131C5"/>
    <w:rsid w:val="00E14C7F"/>
    <w:rsid w:val="00E15015"/>
    <w:rsid w:val="00E15E1F"/>
    <w:rsid w:val="00E31B4F"/>
    <w:rsid w:val="00E335FE"/>
    <w:rsid w:val="00E35192"/>
    <w:rsid w:val="00E356B0"/>
    <w:rsid w:val="00E47C64"/>
    <w:rsid w:val="00E80FF5"/>
    <w:rsid w:val="00E827BF"/>
    <w:rsid w:val="00E82F6F"/>
    <w:rsid w:val="00E955BE"/>
    <w:rsid w:val="00EA2A90"/>
    <w:rsid w:val="00EA7D6E"/>
    <w:rsid w:val="00EB2F76"/>
    <w:rsid w:val="00EB363F"/>
    <w:rsid w:val="00EB4F7D"/>
    <w:rsid w:val="00EC4E49"/>
    <w:rsid w:val="00ED77FB"/>
    <w:rsid w:val="00EE45FA"/>
    <w:rsid w:val="00EF044F"/>
    <w:rsid w:val="00EF486E"/>
    <w:rsid w:val="00F043DE"/>
    <w:rsid w:val="00F310FB"/>
    <w:rsid w:val="00F5510E"/>
    <w:rsid w:val="00F63809"/>
    <w:rsid w:val="00F66152"/>
    <w:rsid w:val="00F84CA5"/>
    <w:rsid w:val="00F9072A"/>
    <w:rsid w:val="00F9165B"/>
    <w:rsid w:val="00F9190E"/>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CL&amp;amp;doc-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ctlegal.wipo.int/eGuide/view-doc.xhtml?doc-code=CL&amp;amp;doc-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subject>延长对智利国家工业产权局作为PCT国际检索和初步审查单位的指定</dc:subject>
  <dc:creator>NOVRUZOVA Elnara</dc:creator>
  <cp:keywords>FOR OFFICIAL USE ONLY</cp:keywords>
  <cp:lastModifiedBy>MARLOW Thomas</cp:lastModifiedBy>
  <cp:revision>2</cp:revision>
  <cp:lastPrinted>2026-01-12T15:26:00Z</cp:lastPrinted>
  <dcterms:created xsi:type="dcterms:W3CDTF">2026-01-13T14:41:00Z</dcterms:created>
  <dcterms:modified xsi:type="dcterms:W3CDTF">2026-01-13T14:41:00Z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