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2A61BF1E"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2B5157">
        <w:rPr>
          <w:rFonts w:ascii="Arial Black" w:hAnsi="Arial Black" w:hint="eastAsia"/>
          <w:b/>
          <w:caps/>
          <w:sz w:val="15"/>
        </w:rPr>
        <w:t>21</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6C679A87"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2B5157" w:rsidRPr="002B5157">
        <w:rPr>
          <w:rFonts w:ascii="KaiTi" w:eastAsia="KaiTi" w:hAnsi="KaiTi" w:cs="Times New Roman" w:hint="eastAsia"/>
          <w:sz w:val="24"/>
          <w:szCs w:val="22"/>
        </w:rPr>
        <w:t>新加坡知识产权局</w:t>
      </w:r>
      <w:r w:rsidRPr="00E47C64">
        <w:rPr>
          <w:rFonts w:ascii="KaiTi" w:eastAsia="KaiTi" w:hAnsi="KaiTi" w:cs="Times New Roman" w:hint="eastAsia"/>
          <w:sz w:val="24"/>
          <w:szCs w:val="22"/>
        </w:rPr>
        <w:t>作为PCT国际检索和初步审查单位的指定</w:t>
      </w:r>
    </w:p>
    <w:p w14:paraId="43A4CE79" w14:textId="77777777" w:rsidR="00E47C64" w:rsidRPr="001416C1" w:rsidRDefault="00E47C64" w:rsidP="00E47C64">
      <w:pPr>
        <w:spacing w:after="960"/>
        <w:rPr>
          <w:rFonts w:ascii="SimSun" w:hAnsi="SimSun"/>
          <w:caps/>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4A57A734"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2B5157">
        <w:rPr>
          <w:rFonts w:ascii="SimSun" w:hAnsi="SimSun" w:hint="eastAsia"/>
        </w:rPr>
        <w:t>6</w:t>
      </w:r>
      <w:r w:rsidRPr="00E47C64">
        <w:rPr>
          <w:rFonts w:ascii="SimSun" w:hAnsi="SimSun" w:hint="eastAsia"/>
        </w:rPr>
        <w:t>日，</w:t>
      </w:r>
      <w:r w:rsidR="002B5157" w:rsidRPr="002B5157">
        <w:rPr>
          <w:rFonts w:ascii="SimSun" w:hAnsi="SimSun" w:hint="eastAsia"/>
        </w:rPr>
        <w:t>新加坡知识产权局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21704E58" w:rsidR="00E47C64" w:rsidRPr="00E47C64" w:rsidRDefault="002B5157" w:rsidP="00BE1156">
      <w:pPr>
        <w:spacing w:afterLines="100" w:after="240" w:line="340" w:lineRule="atLeast"/>
        <w:ind w:left="567"/>
        <w:rPr>
          <w:rFonts w:ascii="SimSun" w:hAnsi="SimSun"/>
        </w:rPr>
      </w:pPr>
      <w:r w:rsidRPr="002B5157">
        <w:rPr>
          <w:rFonts w:ascii="SimSun" w:hAnsi="SimSun" w:hint="eastAsia"/>
        </w:rPr>
        <w:t>新加坡知识产权局</w:t>
      </w:r>
      <w:r w:rsidR="004246FD">
        <w:rPr>
          <w:rFonts w:ascii="SimSun" w:hAnsi="SimSun" w:hint="eastAsia"/>
        </w:rPr>
        <w:t>（IPOS）</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07442292" w14:textId="6A3004F0" w:rsidR="00036A3F" w:rsidRPr="00036A3F" w:rsidRDefault="00036A3F" w:rsidP="00036A3F">
      <w:pPr>
        <w:spacing w:afterLines="100" w:after="240" w:line="340" w:lineRule="atLeast"/>
        <w:ind w:left="567"/>
        <w:contextualSpacing/>
        <w:rPr>
          <w:rFonts w:ascii="SimSun" w:hAnsi="SimSun"/>
          <w:lang w:val="fr-CH"/>
        </w:rPr>
      </w:pPr>
      <w:bookmarkStart w:id="5" w:name="_Hlk217048867"/>
      <w:proofErr w:type="spellStart"/>
      <w:r w:rsidRPr="00036A3F">
        <w:rPr>
          <w:rFonts w:ascii="SimSun" w:hAnsi="SimSun"/>
          <w:lang w:val="fr-CH"/>
        </w:rPr>
        <w:t>Sharmaine</w:t>
      </w:r>
      <w:proofErr w:type="spellEnd"/>
      <w:r w:rsidRPr="00036A3F">
        <w:rPr>
          <w:rFonts w:ascii="SimSun" w:hAnsi="SimSun"/>
          <w:lang w:val="fr-CH"/>
        </w:rPr>
        <w:t xml:space="preserve"> Wu</w:t>
      </w:r>
      <w:r w:rsidRPr="00036A3F">
        <w:rPr>
          <w:rFonts w:ascii="SimSun" w:hAnsi="SimSun" w:hint="eastAsia"/>
          <w:lang w:val="fr-CH"/>
        </w:rPr>
        <w:t>（</w:t>
      </w:r>
      <w:hyperlink r:id="rId10" w:history="1">
        <w:r w:rsidRPr="006E46F6">
          <w:rPr>
            <w:rStyle w:val="Hyperlink"/>
            <w:rFonts w:ascii="SimSun" w:hAnsi="SimSun" w:hint="eastAsia"/>
            <w:lang w:val="fr-CH"/>
          </w:rPr>
          <w:t>Sharmaine_WU@ipos.gov.sg</w:t>
        </w:r>
      </w:hyperlink>
      <w:r w:rsidRPr="00036A3F">
        <w:rPr>
          <w:rFonts w:ascii="SimSun" w:hAnsi="SimSun" w:hint="eastAsia"/>
          <w:lang w:val="fr-CH"/>
        </w:rPr>
        <w:t>）</w:t>
      </w:r>
    </w:p>
    <w:p w14:paraId="117A3418" w14:textId="463E8768" w:rsidR="00635FFC" w:rsidRPr="002B70E7" w:rsidRDefault="00036A3F" w:rsidP="00036A3F">
      <w:pPr>
        <w:spacing w:afterLines="100" w:after="240" w:line="340" w:lineRule="atLeast"/>
        <w:ind w:left="567"/>
        <w:rPr>
          <w:rFonts w:ascii="SimSun" w:hAnsi="SimSun"/>
          <w:lang w:val="fr-CH"/>
        </w:rPr>
      </w:pPr>
      <w:r w:rsidRPr="00036A3F">
        <w:rPr>
          <w:rFonts w:ascii="SimSun" w:hAnsi="SimSun" w:hint="eastAsia"/>
        </w:rPr>
        <w:t>专利、</w:t>
      </w:r>
      <w:r>
        <w:rPr>
          <w:rFonts w:ascii="SimSun" w:hAnsi="SimSun" w:hint="eastAsia"/>
        </w:rPr>
        <w:t>外观</w:t>
      </w:r>
      <w:r w:rsidRPr="00036A3F">
        <w:rPr>
          <w:rFonts w:ascii="SimSun" w:hAnsi="SimSun" w:hint="eastAsia"/>
        </w:rPr>
        <w:t>设计</w:t>
      </w:r>
      <w:r>
        <w:rPr>
          <w:rFonts w:ascii="SimSun" w:hAnsi="SimSun" w:hint="eastAsia"/>
        </w:rPr>
        <w:t>和</w:t>
      </w:r>
      <w:r w:rsidRPr="00036A3F">
        <w:rPr>
          <w:rFonts w:ascii="SimSun" w:hAnsi="SimSun" w:hint="eastAsia"/>
        </w:rPr>
        <w:t>植物品种注册处处长</w:t>
      </w:r>
    </w:p>
    <w:bookmarkEnd w:id="5"/>
    <w:p w14:paraId="4FBA3141" w14:textId="77777777" w:rsidR="00E47C64" w:rsidRPr="005C6454" w:rsidRDefault="00E47C64" w:rsidP="00BE1156">
      <w:pPr>
        <w:keepNext/>
        <w:spacing w:afterLines="100" w:after="240" w:line="340" w:lineRule="atLeast"/>
        <w:jc w:val="both"/>
        <w:rPr>
          <w:rFonts w:ascii="SimSun" w:hAnsi="SimSun"/>
          <w:b/>
          <w:bCs/>
          <w:szCs w:val="22"/>
          <w:lang w:val="fr-CH"/>
        </w:rPr>
      </w:pPr>
      <w:r w:rsidRPr="005C6454">
        <w:rPr>
          <w:rFonts w:ascii="SimSun" w:hAnsi="SimSun" w:hint="eastAsia"/>
          <w:b/>
          <w:bCs/>
          <w:szCs w:val="22"/>
          <w:lang w:val="fr-CH"/>
        </w:rPr>
        <w:t>(c)</w:t>
      </w:r>
      <w:r w:rsidRPr="005C6454">
        <w:rPr>
          <w:rFonts w:ascii="SimSun" w:hAnsi="SimSun" w:hint="eastAsia"/>
          <w:b/>
          <w:bCs/>
          <w:szCs w:val="22"/>
          <w:lang w:val="fr-CH"/>
        </w:rPr>
        <w:tab/>
      </w:r>
      <w:r w:rsidRPr="00E47C64">
        <w:rPr>
          <w:rFonts w:ascii="SimSun" w:hAnsi="SimSun" w:hint="eastAsia"/>
          <w:b/>
          <w:bCs/>
          <w:szCs w:val="22"/>
        </w:rPr>
        <w:t>总干事收到延长指定申请的日期</w:t>
      </w:r>
      <w:r w:rsidRPr="005C6454">
        <w:rPr>
          <w:rFonts w:ascii="SimSun" w:hAnsi="SimSun" w:hint="eastAsia"/>
          <w:b/>
          <w:bCs/>
          <w:szCs w:val="22"/>
          <w:lang w:val="fr-CH"/>
        </w:rPr>
        <w:t>：</w:t>
      </w:r>
    </w:p>
    <w:p w14:paraId="35006008" w14:textId="4C0ACEF9"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2025年11月2</w:t>
      </w:r>
      <w:r w:rsidR="00036A3F">
        <w:rPr>
          <w:rFonts w:ascii="SimSun" w:hAnsi="SimSun" w:hint="eastAsia"/>
        </w:rPr>
        <w:t>6</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4B0894EB"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1" w:anchor="SG" w:history="1">
        <w:r w:rsidR="00036A3F" w:rsidRPr="006E46F6">
          <w:rPr>
            <w:rStyle w:val="Hyperlink"/>
            <w:rFonts w:ascii="SimSun" w:hAnsi="SimSun"/>
          </w:rPr>
          <w:t>https://www.wipo.int/en/web/pct-system/quality/authorities#SG</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3E8594DD"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r w:rsidR="0059762F">
        <w:rPr>
          <w:rFonts w:ascii="KaiTi" w:eastAsia="KaiTi" w:hAnsi="KaiTi" w:hint="eastAsia"/>
          <w:b/>
          <w:bCs/>
          <w:szCs w:val="22"/>
        </w:rPr>
        <w:t>（截至2025年8月26日）</w:t>
      </w:r>
      <w:r w:rsidRPr="00E47C64">
        <w:rPr>
          <w:rFonts w:ascii="KaiTi" w:eastAsia="KaiTi" w:hAnsi="KaiTi" w:hint="eastAsia"/>
          <w:b/>
          <w:bCs/>
          <w:szCs w:val="22"/>
        </w:rPr>
        <w:t>：</w:t>
      </w:r>
    </w:p>
    <w:tbl>
      <w:tblPr>
        <w:tblW w:w="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058"/>
        <w:gridCol w:w="2058"/>
      </w:tblGrid>
      <w:tr w:rsidR="00036A3F" w:rsidRPr="00E47C64" w14:paraId="569A869A" w14:textId="77777777" w:rsidTr="00480B5F">
        <w:trPr>
          <w:cantSplit/>
          <w:tblHeader/>
        </w:trPr>
        <w:tc>
          <w:tcPr>
            <w:tcW w:w="2665" w:type="dxa"/>
            <w:tcBorders>
              <w:top w:val="single" w:sz="4" w:space="0" w:color="auto"/>
              <w:left w:val="single" w:sz="4" w:space="0" w:color="auto"/>
              <w:bottom w:val="single" w:sz="4" w:space="0" w:color="auto"/>
              <w:right w:val="single" w:sz="4" w:space="0" w:color="auto"/>
            </w:tcBorders>
          </w:tcPr>
          <w:p w14:paraId="535B5C75" w14:textId="77777777" w:rsidR="00036A3F" w:rsidRPr="002B70E7" w:rsidRDefault="00036A3F" w:rsidP="00036A3F">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036A3F" w:rsidRPr="002B70E7" w:rsidRDefault="00036A3F" w:rsidP="00036A3F">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036A3F" w:rsidRPr="002B70E7" w:rsidRDefault="00036A3F" w:rsidP="00036A3F">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r>
      <w:tr w:rsidR="00036A3F" w:rsidRPr="00E47C64" w14:paraId="6853E474" w14:textId="77777777" w:rsidTr="00480B5F">
        <w:trPr>
          <w:cantSplit/>
        </w:trPr>
        <w:tc>
          <w:tcPr>
            <w:tcW w:w="2665" w:type="dxa"/>
            <w:tcBorders>
              <w:top w:val="single" w:sz="4" w:space="0" w:color="auto"/>
              <w:left w:val="single" w:sz="4" w:space="0" w:color="auto"/>
              <w:bottom w:val="single" w:sz="4" w:space="0" w:color="auto"/>
              <w:right w:val="single" w:sz="4" w:space="0" w:color="auto"/>
            </w:tcBorders>
          </w:tcPr>
          <w:p w14:paraId="012AA5D4" w14:textId="569F77AB" w:rsidR="00036A3F" w:rsidRPr="002B70E7" w:rsidRDefault="00036A3F" w:rsidP="00036A3F">
            <w:pPr>
              <w:widowControl w:val="0"/>
              <w:spacing w:line="340" w:lineRule="atLeast"/>
              <w:jc w:val="both"/>
              <w:rPr>
                <w:rFonts w:ascii="SimSun" w:hAnsi="SimSun"/>
                <w:szCs w:val="22"/>
                <w:lang w:bidi="he-IL"/>
              </w:rPr>
            </w:pPr>
            <w:r w:rsidRPr="00820A92">
              <w:rPr>
                <w:rFonts w:hint="eastAsia"/>
              </w:rPr>
              <w:t>工程与物理</w:t>
            </w:r>
          </w:p>
        </w:tc>
        <w:tc>
          <w:tcPr>
            <w:tcW w:w="2058" w:type="dxa"/>
            <w:tcBorders>
              <w:top w:val="single" w:sz="4" w:space="0" w:color="auto"/>
              <w:left w:val="single" w:sz="4" w:space="0" w:color="auto"/>
              <w:bottom w:val="single" w:sz="4" w:space="0" w:color="auto"/>
              <w:right w:val="single" w:sz="4" w:space="0" w:color="auto"/>
            </w:tcBorders>
          </w:tcPr>
          <w:p w14:paraId="5C286E5C" w14:textId="366CEAF9" w:rsidR="00036A3F" w:rsidRPr="002B70E7" w:rsidRDefault="00036A3F" w:rsidP="00036A3F">
            <w:pPr>
              <w:widowControl w:val="0"/>
              <w:spacing w:line="340" w:lineRule="atLeast"/>
              <w:jc w:val="center"/>
              <w:rPr>
                <w:rFonts w:ascii="SimSun" w:hAnsi="SimSun"/>
              </w:rPr>
            </w:pPr>
            <w:r>
              <w:rPr>
                <w:rFonts w:ascii="SimSun" w:hAnsi="SimSun" w:hint="eastAsia"/>
              </w:rPr>
              <w:t>33</w:t>
            </w:r>
          </w:p>
        </w:tc>
        <w:tc>
          <w:tcPr>
            <w:tcW w:w="2058" w:type="dxa"/>
            <w:tcBorders>
              <w:top w:val="single" w:sz="4" w:space="0" w:color="auto"/>
              <w:left w:val="single" w:sz="4" w:space="0" w:color="auto"/>
              <w:bottom w:val="single" w:sz="4" w:space="0" w:color="auto"/>
              <w:right w:val="single" w:sz="4" w:space="0" w:color="auto"/>
            </w:tcBorders>
          </w:tcPr>
          <w:p w14:paraId="161EB00B" w14:textId="285DBA77" w:rsidR="00036A3F" w:rsidRPr="002B70E7" w:rsidRDefault="00036A3F" w:rsidP="00036A3F">
            <w:pPr>
              <w:widowControl w:val="0"/>
              <w:spacing w:line="340" w:lineRule="atLeast"/>
              <w:jc w:val="center"/>
              <w:rPr>
                <w:rFonts w:ascii="SimSun" w:hAnsi="SimSun"/>
                <w:szCs w:val="22"/>
                <w:lang w:bidi="he-IL"/>
              </w:rPr>
            </w:pPr>
            <w:r>
              <w:rPr>
                <w:rFonts w:ascii="SimSun" w:hAnsi="SimSun" w:hint="eastAsia"/>
              </w:rPr>
              <w:t>8</w:t>
            </w:r>
          </w:p>
        </w:tc>
      </w:tr>
      <w:tr w:rsidR="00036A3F" w:rsidRPr="00E47C64" w14:paraId="2A429D4F" w14:textId="77777777" w:rsidTr="00480B5F">
        <w:trPr>
          <w:cantSplit/>
        </w:trPr>
        <w:tc>
          <w:tcPr>
            <w:tcW w:w="2665" w:type="dxa"/>
            <w:tcBorders>
              <w:top w:val="single" w:sz="4" w:space="0" w:color="auto"/>
              <w:left w:val="single" w:sz="4" w:space="0" w:color="auto"/>
              <w:bottom w:val="single" w:sz="4" w:space="0" w:color="auto"/>
              <w:right w:val="single" w:sz="4" w:space="0" w:color="auto"/>
            </w:tcBorders>
          </w:tcPr>
          <w:p w14:paraId="757018D1" w14:textId="387B4D26" w:rsidR="00036A3F" w:rsidRPr="002B70E7" w:rsidRDefault="00036A3F" w:rsidP="00036A3F">
            <w:pPr>
              <w:widowControl w:val="0"/>
              <w:spacing w:line="340" w:lineRule="atLeast"/>
              <w:jc w:val="both"/>
              <w:rPr>
                <w:rFonts w:ascii="SimSun" w:hAnsi="SimSun"/>
                <w:szCs w:val="22"/>
                <w:lang w:bidi="he-IL"/>
              </w:rPr>
            </w:pPr>
            <w:r w:rsidRPr="00820A92">
              <w:rPr>
                <w:rFonts w:hint="eastAsia"/>
              </w:rPr>
              <w:t>信息通信技术</w:t>
            </w:r>
          </w:p>
        </w:tc>
        <w:tc>
          <w:tcPr>
            <w:tcW w:w="2058" w:type="dxa"/>
            <w:tcBorders>
              <w:top w:val="single" w:sz="4" w:space="0" w:color="auto"/>
              <w:left w:val="single" w:sz="4" w:space="0" w:color="auto"/>
              <w:bottom w:val="single" w:sz="4" w:space="0" w:color="auto"/>
              <w:right w:val="single" w:sz="4" w:space="0" w:color="auto"/>
            </w:tcBorders>
          </w:tcPr>
          <w:p w14:paraId="68751298" w14:textId="7FD6E743" w:rsidR="00036A3F" w:rsidRPr="002B70E7" w:rsidRDefault="00036A3F" w:rsidP="00036A3F">
            <w:pPr>
              <w:widowControl w:val="0"/>
              <w:spacing w:line="340" w:lineRule="atLeast"/>
              <w:jc w:val="center"/>
              <w:rPr>
                <w:rFonts w:ascii="SimSun" w:hAnsi="SimSun"/>
              </w:rPr>
            </w:pPr>
            <w:r>
              <w:rPr>
                <w:rFonts w:ascii="SimSun" w:hAnsi="SimSun" w:hint="eastAsia"/>
              </w:rPr>
              <w:t>34</w:t>
            </w:r>
          </w:p>
        </w:tc>
        <w:tc>
          <w:tcPr>
            <w:tcW w:w="2058" w:type="dxa"/>
            <w:tcBorders>
              <w:top w:val="single" w:sz="4" w:space="0" w:color="auto"/>
              <w:left w:val="single" w:sz="4" w:space="0" w:color="auto"/>
              <w:bottom w:val="single" w:sz="4" w:space="0" w:color="auto"/>
              <w:right w:val="single" w:sz="4" w:space="0" w:color="auto"/>
            </w:tcBorders>
          </w:tcPr>
          <w:p w14:paraId="6E57370B" w14:textId="360BE5F9" w:rsidR="00036A3F" w:rsidRPr="002B70E7" w:rsidRDefault="00036A3F" w:rsidP="00036A3F">
            <w:pPr>
              <w:widowControl w:val="0"/>
              <w:spacing w:line="340" w:lineRule="atLeast"/>
              <w:jc w:val="center"/>
              <w:rPr>
                <w:rFonts w:ascii="SimSun" w:hAnsi="SimSun"/>
                <w:szCs w:val="22"/>
                <w:lang w:bidi="he-IL"/>
              </w:rPr>
            </w:pPr>
            <w:r>
              <w:rPr>
                <w:rFonts w:ascii="SimSun" w:hAnsi="SimSun" w:hint="eastAsia"/>
              </w:rPr>
              <w:t>6</w:t>
            </w:r>
          </w:p>
        </w:tc>
      </w:tr>
      <w:tr w:rsidR="00036A3F" w:rsidRPr="00E47C64" w14:paraId="3678F026" w14:textId="77777777" w:rsidTr="00480B5F">
        <w:trPr>
          <w:cantSplit/>
        </w:trPr>
        <w:tc>
          <w:tcPr>
            <w:tcW w:w="2665" w:type="dxa"/>
            <w:tcBorders>
              <w:top w:val="single" w:sz="4" w:space="0" w:color="auto"/>
              <w:left w:val="single" w:sz="4" w:space="0" w:color="auto"/>
              <w:bottom w:val="single" w:sz="4" w:space="0" w:color="auto"/>
              <w:right w:val="single" w:sz="4" w:space="0" w:color="auto"/>
            </w:tcBorders>
          </w:tcPr>
          <w:p w14:paraId="5899AB13" w14:textId="0260BFD2" w:rsidR="00036A3F" w:rsidRPr="002B70E7" w:rsidRDefault="00036A3F" w:rsidP="00036A3F">
            <w:pPr>
              <w:widowControl w:val="0"/>
              <w:spacing w:line="340" w:lineRule="atLeast"/>
              <w:jc w:val="both"/>
              <w:rPr>
                <w:rFonts w:ascii="SimSun" w:hAnsi="SimSun"/>
                <w:szCs w:val="22"/>
                <w:lang w:bidi="he-IL"/>
              </w:rPr>
            </w:pPr>
            <w:r w:rsidRPr="00820A92">
              <w:rPr>
                <w:rFonts w:hint="eastAsia"/>
              </w:rPr>
              <w:t>化学与材料</w:t>
            </w:r>
          </w:p>
        </w:tc>
        <w:tc>
          <w:tcPr>
            <w:tcW w:w="2058" w:type="dxa"/>
            <w:tcBorders>
              <w:top w:val="single" w:sz="4" w:space="0" w:color="auto"/>
              <w:left w:val="single" w:sz="4" w:space="0" w:color="auto"/>
              <w:bottom w:val="single" w:sz="4" w:space="0" w:color="auto"/>
              <w:right w:val="single" w:sz="4" w:space="0" w:color="auto"/>
            </w:tcBorders>
          </w:tcPr>
          <w:p w14:paraId="1A44EDC4" w14:textId="7ED9DB94" w:rsidR="00036A3F" w:rsidRPr="002B70E7" w:rsidRDefault="00036A3F" w:rsidP="00036A3F">
            <w:pPr>
              <w:widowControl w:val="0"/>
              <w:spacing w:line="340" w:lineRule="atLeast"/>
              <w:jc w:val="center"/>
              <w:rPr>
                <w:rFonts w:ascii="SimSun" w:hAnsi="SimSun"/>
              </w:rPr>
            </w:pPr>
            <w:r>
              <w:rPr>
                <w:rFonts w:ascii="SimSun" w:hAnsi="SimSun" w:hint="eastAsia"/>
              </w:rPr>
              <w:t>35</w:t>
            </w:r>
          </w:p>
        </w:tc>
        <w:tc>
          <w:tcPr>
            <w:tcW w:w="2058" w:type="dxa"/>
            <w:tcBorders>
              <w:top w:val="single" w:sz="4" w:space="0" w:color="auto"/>
              <w:left w:val="single" w:sz="4" w:space="0" w:color="auto"/>
              <w:bottom w:val="single" w:sz="4" w:space="0" w:color="auto"/>
              <w:right w:val="single" w:sz="4" w:space="0" w:color="auto"/>
            </w:tcBorders>
          </w:tcPr>
          <w:p w14:paraId="61624753" w14:textId="0D4AFA6E" w:rsidR="00036A3F" w:rsidRPr="002B70E7" w:rsidRDefault="00036A3F" w:rsidP="00036A3F">
            <w:pPr>
              <w:widowControl w:val="0"/>
              <w:spacing w:line="340" w:lineRule="atLeast"/>
              <w:jc w:val="center"/>
              <w:rPr>
                <w:rFonts w:ascii="SimSun" w:hAnsi="SimSun"/>
                <w:szCs w:val="22"/>
                <w:lang w:bidi="he-IL"/>
              </w:rPr>
            </w:pPr>
            <w:r>
              <w:rPr>
                <w:rFonts w:ascii="SimSun" w:hAnsi="SimSun" w:hint="eastAsia"/>
                <w:szCs w:val="22"/>
                <w:lang w:bidi="he-IL"/>
              </w:rPr>
              <w:t>8</w:t>
            </w:r>
          </w:p>
        </w:tc>
      </w:tr>
      <w:tr w:rsidR="00036A3F" w:rsidRPr="00E47C64" w14:paraId="0910B54F" w14:textId="77777777" w:rsidTr="00480B5F">
        <w:trPr>
          <w:cantSplit/>
        </w:trPr>
        <w:tc>
          <w:tcPr>
            <w:tcW w:w="2665" w:type="dxa"/>
            <w:tcBorders>
              <w:top w:val="single" w:sz="4" w:space="0" w:color="auto"/>
              <w:left w:val="single" w:sz="4" w:space="0" w:color="auto"/>
              <w:bottom w:val="single" w:sz="4" w:space="0" w:color="auto"/>
              <w:right w:val="single" w:sz="4" w:space="0" w:color="auto"/>
            </w:tcBorders>
          </w:tcPr>
          <w:p w14:paraId="58A1A0D1" w14:textId="530F9835" w:rsidR="00036A3F" w:rsidRPr="002B70E7" w:rsidRDefault="00036A3F" w:rsidP="00036A3F">
            <w:pPr>
              <w:widowControl w:val="0"/>
              <w:spacing w:line="340" w:lineRule="atLeast"/>
              <w:jc w:val="both"/>
              <w:rPr>
                <w:rFonts w:ascii="SimSun" w:hAnsi="SimSun"/>
                <w:szCs w:val="22"/>
                <w:lang w:bidi="he-IL"/>
              </w:rPr>
            </w:pPr>
            <w:r w:rsidRPr="00820A92">
              <w:rPr>
                <w:rFonts w:hint="eastAsia"/>
              </w:rPr>
              <w:t>生物技术与生物医学科学</w:t>
            </w:r>
          </w:p>
        </w:tc>
        <w:tc>
          <w:tcPr>
            <w:tcW w:w="2058" w:type="dxa"/>
            <w:tcBorders>
              <w:top w:val="single" w:sz="4" w:space="0" w:color="auto"/>
              <w:left w:val="single" w:sz="4" w:space="0" w:color="auto"/>
              <w:bottom w:val="single" w:sz="4" w:space="0" w:color="auto"/>
              <w:right w:val="single" w:sz="4" w:space="0" w:color="auto"/>
            </w:tcBorders>
          </w:tcPr>
          <w:p w14:paraId="4BA368E9" w14:textId="4C52F8DF" w:rsidR="00036A3F" w:rsidRPr="002B70E7" w:rsidRDefault="00036A3F" w:rsidP="00036A3F">
            <w:pPr>
              <w:widowControl w:val="0"/>
              <w:spacing w:line="340" w:lineRule="atLeast"/>
              <w:jc w:val="center"/>
              <w:rPr>
                <w:rFonts w:ascii="SimSun" w:hAnsi="SimSun"/>
              </w:rPr>
            </w:pPr>
            <w:r>
              <w:rPr>
                <w:rFonts w:ascii="SimSun" w:hAnsi="SimSun" w:hint="eastAsia"/>
              </w:rPr>
              <w:t>40</w:t>
            </w:r>
          </w:p>
        </w:tc>
        <w:tc>
          <w:tcPr>
            <w:tcW w:w="2058" w:type="dxa"/>
            <w:tcBorders>
              <w:top w:val="single" w:sz="4" w:space="0" w:color="auto"/>
              <w:left w:val="single" w:sz="4" w:space="0" w:color="auto"/>
              <w:bottom w:val="single" w:sz="4" w:space="0" w:color="auto"/>
              <w:right w:val="single" w:sz="4" w:space="0" w:color="auto"/>
            </w:tcBorders>
          </w:tcPr>
          <w:p w14:paraId="56FC9D91" w14:textId="1B1A852E" w:rsidR="00036A3F" w:rsidRPr="002B70E7" w:rsidRDefault="00036A3F" w:rsidP="00036A3F">
            <w:pPr>
              <w:widowControl w:val="0"/>
              <w:spacing w:line="340" w:lineRule="atLeast"/>
              <w:jc w:val="center"/>
              <w:rPr>
                <w:rFonts w:ascii="SimSun" w:hAnsi="SimSun"/>
                <w:szCs w:val="22"/>
                <w:lang w:bidi="he-IL"/>
              </w:rPr>
            </w:pPr>
            <w:r>
              <w:rPr>
                <w:rFonts w:ascii="SimSun" w:hAnsi="SimSun" w:hint="eastAsia"/>
              </w:rPr>
              <w:t>6</w:t>
            </w:r>
          </w:p>
        </w:tc>
      </w:tr>
      <w:tr w:rsidR="00036A3F" w:rsidRPr="00E47C64" w14:paraId="6D5D2799" w14:textId="77777777" w:rsidTr="00480B5F">
        <w:trPr>
          <w:cantSplit/>
        </w:trPr>
        <w:tc>
          <w:tcPr>
            <w:tcW w:w="2665" w:type="dxa"/>
            <w:tcBorders>
              <w:top w:val="single" w:sz="4" w:space="0" w:color="auto"/>
              <w:left w:val="single" w:sz="4" w:space="0" w:color="auto"/>
              <w:bottom w:val="single" w:sz="4" w:space="0" w:color="auto"/>
              <w:right w:val="single" w:sz="4" w:space="0" w:color="auto"/>
            </w:tcBorders>
          </w:tcPr>
          <w:p w14:paraId="24EF4B9B" w14:textId="77777777" w:rsidR="00036A3F" w:rsidRPr="00E47C64" w:rsidRDefault="00036A3F" w:rsidP="00036A3F">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40DB3D13" w:rsidR="00036A3F" w:rsidRPr="00E47C64" w:rsidRDefault="00036A3F" w:rsidP="00036A3F">
            <w:pPr>
              <w:widowControl w:val="0"/>
              <w:spacing w:line="340" w:lineRule="atLeast"/>
              <w:jc w:val="center"/>
              <w:rPr>
                <w:rFonts w:ascii="KaiTi" w:eastAsia="KaiTi" w:hAnsi="KaiTi"/>
              </w:rPr>
            </w:pPr>
            <w:r w:rsidRPr="00152AEF">
              <w:rPr>
                <w:rFonts w:ascii="KaiTi" w:eastAsia="KaiTi" w:hAnsi="KaiTi" w:hint="eastAsia"/>
              </w:rPr>
              <w:t>1</w:t>
            </w:r>
            <w:r>
              <w:rPr>
                <w:rFonts w:ascii="KaiTi" w:eastAsia="KaiTi" w:hAnsi="KaiTi" w:hint="eastAsia"/>
              </w:rPr>
              <w:t>42</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036A3F" w:rsidRPr="00E47C64" w:rsidRDefault="00036A3F" w:rsidP="00036A3F">
            <w:pPr>
              <w:suppressAutoHyphens/>
              <w:spacing w:line="340" w:lineRule="atLeast"/>
              <w:jc w:val="center"/>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10326D01" w14:textId="20C06FC1" w:rsidR="00036A3F" w:rsidRDefault="00036A3F" w:rsidP="00036A3F">
      <w:pPr>
        <w:spacing w:beforeLines="100" w:before="240" w:afterLines="100" w:after="240" w:line="340" w:lineRule="atLeast"/>
        <w:jc w:val="both"/>
        <w:rPr>
          <w:rFonts w:ascii="SimSun" w:hAnsi="SimSun"/>
          <w:bCs/>
        </w:rPr>
      </w:pPr>
      <w:r w:rsidRPr="00036A3F">
        <w:rPr>
          <w:rFonts w:ascii="SimSun" w:hAnsi="SimSun" w:hint="eastAsia"/>
          <w:bCs/>
        </w:rPr>
        <w:t>IPOS多数专利审查员拥有博士学位，并在研究和技术领域具备相关工作经验。</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49678669"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2"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3B8FFBBD" w:rsidR="00E47C64" w:rsidRPr="00E47C64" w:rsidRDefault="005C6454"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3" w:anchor="page=207" w:history="1">
        <w:r w:rsidR="00036A3F" w:rsidRPr="006E46F6">
          <w:rPr>
            <w:rStyle w:val="Hyperlink"/>
            <w:rFonts w:ascii="SimSun" w:hAnsi="SimSun"/>
            <w:szCs w:val="22"/>
          </w:rPr>
          <w:t>https://www.wipo.int/documents/d/pct-system/docs-en-official-notices-officialnotices.pdf#page=</w:t>
        </w:r>
        <w:r w:rsidR="00036A3F" w:rsidRPr="006E46F6">
          <w:rPr>
            <w:rStyle w:val="Hyperlink"/>
            <w:rFonts w:ascii="SimSun" w:hAnsi="SimSun" w:hint="eastAsia"/>
            <w:szCs w:val="22"/>
          </w:rPr>
          <w:t>207</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5C6454"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lastRenderedPageBreak/>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584C9887"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4" w:anchor="ISA" w:history="1">
        <w:r w:rsidR="00036A3F" w:rsidRPr="006E46F6">
          <w:rPr>
            <w:rStyle w:val="Hyperlink"/>
            <w:rFonts w:ascii="SimSun" w:hAnsi="SimSun"/>
            <w:szCs w:val="22"/>
          </w:rPr>
          <w:t>https://pctlegal.wipo.int/eGuide/view-doc.xhtml?doc-code=SG&amp;doc-lang=en#ISA</w:t>
        </w:r>
      </w:hyperlink>
      <w:r w:rsidRPr="00E47C64">
        <w:rPr>
          <w:rFonts w:ascii="SimSun" w:hAnsi="SimSun" w:hint="eastAsia"/>
          <w:szCs w:val="22"/>
        </w:rPr>
        <w:t>和</w:t>
      </w:r>
      <w:hyperlink r:id="rId15" w:anchor="IPEA" w:history="1">
        <w:r w:rsidR="00036A3F" w:rsidRPr="006E46F6">
          <w:rPr>
            <w:rStyle w:val="Hyperlink"/>
            <w:rFonts w:ascii="SimSun" w:hAnsi="SimSun"/>
            <w:szCs w:val="22"/>
          </w:rPr>
          <w:t>https://pctlegal.wipo.int/eGuide/view-doc.xhtml?doc-code=SG&amp;doc-lang=en#IPEA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5AD2420D" w14:textId="50C99943" w:rsidR="00036A3F" w:rsidRPr="00036A3F" w:rsidRDefault="00A32070" w:rsidP="00036A3F">
      <w:pPr>
        <w:spacing w:before="100" w:beforeAutospacing="1" w:after="100" w:afterAutospacing="1"/>
        <w:rPr>
          <w:rFonts w:ascii="SimSun" w:hAnsi="SimSun" w:cs="SimSun"/>
          <w:szCs w:val="24"/>
        </w:rPr>
      </w:pPr>
      <w:r>
        <w:rPr>
          <w:rFonts w:ascii="SimSun" w:hAnsi="SimSun" w:cs="SimSun" w:hint="eastAsia"/>
          <w:b/>
          <w:bCs/>
          <w:szCs w:val="24"/>
        </w:rPr>
        <w:t>IPOS</w:t>
      </w:r>
      <w:r w:rsidR="00036A3F" w:rsidRPr="00036A3F">
        <w:rPr>
          <w:rFonts w:ascii="SimSun" w:hAnsi="SimSun" w:cs="SimSun"/>
          <w:b/>
          <w:bCs/>
          <w:szCs w:val="24"/>
        </w:rPr>
        <w:t>作为ISA/IPEA的卓越表现</w:t>
      </w:r>
    </w:p>
    <w:p w14:paraId="6D5D48A8" w14:textId="4CC3ADAD" w:rsidR="00036A3F" w:rsidRPr="00036A3F" w:rsidRDefault="00036A3F" w:rsidP="003A3126">
      <w:pPr>
        <w:spacing w:afterLines="100" w:after="240" w:line="340" w:lineRule="atLeast"/>
        <w:jc w:val="both"/>
        <w:rPr>
          <w:rFonts w:ascii="SimSun" w:hAnsi="SimSun" w:cs="SimSun"/>
          <w:szCs w:val="24"/>
        </w:rPr>
      </w:pPr>
      <w:r w:rsidRPr="00036A3F">
        <w:rPr>
          <w:rFonts w:ascii="SimSun" w:hAnsi="SimSun" w:cs="SimSun"/>
          <w:szCs w:val="24"/>
        </w:rPr>
        <w:t>自2015年开始作为国际检索</w:t>
      </w:r>
      <w:r w:rsidR="00906A3D">
        <w:rPr>
          <w:rFonts w:ascii="SimSun" w:hAnsi="SimSun" w:cs="SimSun" w:hint="eastAsia"/>
          <w:szCs w:val="24"/>
        </w:rPr>
        <w:t>单位</w:t>
      </w:r>
      <w:r w:rsidRPr="00036A3F">
        <w:rPr>
          <w:rFonts w:ascii="SimSun" w:hAnsi="SimSun" w:cs="SimSun"/>
          <w:szCs w:val="24"/>
        </w:rPr>
        <w:t>（ISA）和国际初步审查</w:t>
      </w:r>
      <w:r w:rsidR="00906A3D">
        <w:rPr>
          <w:rFonts w:ascii="SimSun" w:hAnsi="SimSun" w:cs="SimSun" w:hint="eastAsia"/>
          <w:szCs w:val="24"/>
        </w:rPr>
        <w:t>单位</w:t>
      </w:r>
      <w:r w:rsidRPr="00036A3F">
        <w:rPr>
          <w:rFonts w:ascii="SimSun" w:hAnsi="SimSun" w:cs="SimSun"/>
          <w:szCs w:val="24"/>
        </w:rPr>
        <w:t>（IPEA）运作以来，</w:t>
      </w:r>
      <w:r w:rsidR="00906A3D">
        <w:rPr>
          <w:rFonts w:ascii="SimSun" w:hAnsi="SimSun" w:cs="SimSun" w:hint="eastAsia"/>
          <w:szCs w:val="24"/>
        </w:rPr>
        <w:t>IPOS</w:t>
      </w:r>
      <w:r w:rsidRPr="00036A3F">
        <w:rPr>
          <w:rFonts w:ascii="SimSun" w:hAnsi="SimSun" w:cs="SimSun"/>
          <w:szCs w:val="24"/>
        </w:rPr>
        <w:t>在关键指标上始终展现出卓越表现，同时为《专利合作条约》（PCT）体系作出重大</w:t>
      </w:r>
      <w:r w:rsidR="00552A11">
        <w:rPr>
          <w:rFonts w:ascii="SimSun" w:hAnsi="SimSun" w:cs="SimSun" w:hint="eastAsia"/>
          <w:szCs w:val="24"/>
        </w:rPr>
        <w:t>积极</w:t>
      </w:r>
      <w:r w:rsidRPr="00036A3F">
        <w:rPr>
          <w:rFonts w:ascii="SimSun" w:hAnsi="SimSun" w:cs="SimSun"/>
          <w:szCs w:val="24"/>
        </w:rPr>
        <w:t>贡献，更好地服务申请人。</w:t>
      </w:r>
    </w:p>
    <w:p w14:paraId="170A9058" w14:textId="77777777" w:rsidR="00036A3F" w:rsidRPr="00036A3F" w:rsidRDefault="00036A3F" w:rsidP="00036A3F">
      <w:pPr>
        <w:spacing w:before="100" w:beforeAutospacing="1" w:after="100" w:afterAutospacing="1"/>
        <w:rPr>
          <w:rFonts w:ascii="SimSun" w:hAnsi="SimSun" w:cs="SimSun"/>
          <w:szCs w:val="24"/>
        </w:rPr>
      </w:pPr>
      <w:r w:rsidRPr="00036A3F">
        <w:rPr>
          <w:rFonts w:ascii="SimSun" w:hAnsi="SimSun" w:cs="SimSun"/>
          <w:b/>
          <w:bCs/>
          <w:szCs w:val="24"/>
        </w:rPr>
        <w:t>关键指标：及时性与质量</w:t>
      </w:r>
    </w:p>
    <w:p w14:paraId="1E2315FA" w14:textId="01997A2D" w:rsidR="00036A3F" w:rsidRPr="00036A3F" w:rsidRDefault="00036A3F" w:rsidP="003A3126">
      <w:pPr>
        <w:spacing w:afterLines="100" w:after="240" w:line="340" w:lineRule="atLeast"/>
        <w:jc w:val="both"/>
        <w:rPr>
          <w:rFonts w:ascii="SimSun" w:hAnsi="SimSun" w:cs="SimSun"/>
          <w:szCs w:val="24"/>
        </w:rPr>
      </w:pPr>
      <w:r w:rsidRPr="00036A3F">
        <w:rPr>
          <w:rFonts w:ascii="SimSun" w:hAnsi="SimSun" w:cs="SimSun"/>
          <w:szCs w:val="24"/>
        </w:rPr>
        <w:t>自2015年以来，IPOS始终保持着卓越的及时性记录</w:t>
      </w:r>
      <w:r w:rsidR="002931F8">
        <w:rPr>
          <w:rFonts w:ascii="SimSun" w:hAnsi="SimSun" w:cs="SimSun" w:hint="eastAsia"/>
          <w:szCs w:val="24"/>
        </w:rPr>
        <w:t>，</w:t>
      </w:r>
      <w:r w:rsidRPr="00036A3F">
        <w:rPr>
          <w:rFonts w:ascii="SimSun" w:hAnsi="SimSun" w:cs="SimSun"/>
          <w:szCs w:val="24"/>
        </w:rPr>
        <w:t>这一品质深受寻求发明专利性初步意见的申请人重视。我们在收到</w:t>
      </w:r>
      <w:r w:rsidR="002931F8">
        <w:rPr>
          <w:rFonts w:ascii="SimSun" w:hAnsi="SimSun" w:cs="SimSun" w:hint="eastAsia"/>
          <w:szCs w:val="24"/>
        </w:rPr>
        <w:t>登记</w:t>
      </w:r>
      <w:r w:rsidRPr="00036A3F">
        <w:rPr>
          <w:rFonts w:ascii="SimSun" w:hAnsi="SimSun" w:cs="SimSun"/>
          <w:szCs w:val="24"/>
        </w:rPr>
        <w:t>本后三个月内</w:t>
      </w:r>
      <w:r w:rsidR="002931F8">
        <w:rPr>
          <w:rFonts w:ascii="SimSun" w:hAnsi="SimSun" w:cs="SimSun" w:hint="eastAsia"/>
          <w:szCs w:val="24"/>
        </w:rPr>
        <w:t>制定</w:t>
      </w:r>
      <w:r w:rsidRPr="00036A3F">
        <w:rPr>
          <w:rFonts w:ascii="SimSun" w:hAnsi="SimSun" w:cs="SimSun"/>
          <w:szCs w:val="24"/>
        </w:rPr>
        <w:t>国际检索报告（ISR）和书面意见（WO-ISA）的及时性达标率</w:t>
      </w:r>
      <w:r w:rsidR="00552A11" w:rsidRPr="00036A3F">
        <w:rPr>
          <w:rFonts w:ascii="SimSun" w:hAnsi="SimSun" w:cs="SimSun"/>
          <w:szCs w:val="24"/>
        </w:rPr>
        <w:t>始终</w:t>
      </w:r>
      <w:r w:rsidRPr="00036A3F">
        <w:rPr>
          <w:rFonts w:ascii="SimSun" w:hAnsi="SimSun" w:cs="SimSun"/>
          <w:szCs w:val="24"/>
        </w:rPr>
        <w:t>超过98%，在国际申请优先权日起28个月内完成国际初步审查报告（IPER）的及时性达标率达到100%。</w:t>
      </w:r>
    </w:p>
    <w:p w14:paraId="2CB63076" w14:textId="7D33A005" w:rsidR="00036A3F" w:rsidRPr="00036A3F" w:rsidRDefault="00036A3F" w:rsidP="003A3126">
      <w:pPr>
        <w:spacing w:afterLines="100" w:after="240" w:line="340" w:lineRule="atLeast"/>
        <w:jc w:val="both"/>
        <w:rPr>
          <w:rFonts w:ascii="SimSun" w:hAnsi="SimSun" w:cs="SimSun"/>
          <w:szCs w:val="24"/>
        </w:rPr>
      </w:pPr>
      <w:r w:rsidRPr="00036A3F">
        <w:rPr>
          <w:rFonts w:ascii="SimSun" w:hAnsi="SimSun" w:cs="SimSun"/>
          <w:szCs w:val="24"/>
        </w:rPr>
        <w:t>用户调查通过收集检索与审查工作产品的反馈并识别改进领域，有力验证了我们对高质量产出的承诺。PCT产品与服务满意度均超过80%。用户尤其赞赏在IPEA</w:t>
      </w:r>
      <w:r w:rsidR="009558E5">
        <w:rPr>
          <w:rFonts w:ascii="SimSun" w:hAnsi="SimSun" w:cs="SimSun" w:hint="eastAsia"/>
          <w:szCs w:val="24"/>
        </w:rPr>
        <w:t>阶段</w:t>
      </w:r>
      <w:r w:rsidRPr="00036A3F">
        <w:rPr>
          <w:rFonts w:ascii="SimSun" w:hAnsi="SimSun" w:cs="SimSun"/>
          <w:szCs w:val="24"/>
        </w:rPr>
        <w:t>与IPOS审查员沟通的便捷性，该阶段最终形成国际可专利性</w:t>
      </w:r>
      <w:r w:rsidR="009558E5">
        <w:rPr>
          <w:rFonts w:ascii="SimSun" w:hAnsi="SimSun" w:cs="SimSun" w:hint="eastAsia"/>
          <w:szCs w:val="24"/>
        </w:rPr>
        <w:t>初步</w:t>
      </w:r>
      <w:r w:rsidRPr="00036A3F">
        <w:rPr>
          <w:rFonts w:ascii="SimSun" w:hAnsi="SimSun" w:cs="SimSun"/>
          <w:szCs w:val="24"/>
        </w:rPr>
        <w:t>报告（IPRP II）。</w:t>
      </w:r>
    </w:p>
    <w:p w14:paraId="646DDB42" w14:textId="77777777" w:rsidR="00036A3F" w:rsidRPr="00036A3F" w:rsidRDefault="00036A3F" w:rsidP="00036A3F">
      <w:pPr>
        <w:spacing w:before="100" w:beforeAutospacing="1" w:after="100" w:afterAutospacing="1"/>
        <w:rPr>
          <w:rFonts w:ascii="SimSun" w:hAnsi="SimSun" w:cs="SimSun"/>
          <w:szCs w:val="24"/>
        </w:rPr>
      </w:pPr>
      <w:r w:rsidRPr="00036A3F">
        <w:rPr>
          <w:rFonts w:ascii="SimSun" w:hAnsi="SimSun" w:cs="SimSun"/>
          <w:b/>
          <w:bCs/>
          <w:szCs w:val="24"/>
        </w:rPr>
        <w:t>对PCT体系的贡献</w:t>
      </w:r>
    </w:p>
    <w:p w14:paraId="2EBCE4F5" w14:textId="0CE19E65" w:rsidR="00036A3F" w:rsidRPr="00036A3F" w:rsidRDefault="009558E5" w:rsidP="003A3126">
      <w:pPr>
        <w:spacing w:afterLines="100" w:after="240" w:line="340" w:lineRule="atLeast"/>
        <w:jc w:val="both"/>
        <w:rPr>
          <w:rFonts w:ascii="SimSun" w:hAnsi="SimSun" w:cs="SimSun"/>
          <w:szCs w:val="24"/>
        </w:rPr>
      </w:pPr>
      <w:r>
        <w:rPr>
          <w:rFonts w:ascii="SimSun" w:hAnsi="SimSun" w:cs="SimSun" w:hint="eastAsia"/>
          <w:szCs w:val="24"/>
        </w:rPr>
        <w:t>IPOS</w:t>
      </w:r>
      <w:r w:rsidR="00036A3F" w:rsidRPr="00036A3F">
        <w:rPr>
          <w:rFonts w:ascii="SimSun" w:hAnsi="SimSun" w:cs="SimSun"/>
          <w:szCs w:val="24"/>
        </w:rPr>
        <w:t>通过提供多语言服务并推动PCT框架发展，积极支持该体系的全球扩展与价值提升。</w:t>
      </w:r>
    </w:p>
    <w:p w14:paraId="19628D74" w14:textId="610970B6" w:rsidR="00036A3F" w:rsidRPr="00036A3F" w:rsidRDefault="00036A3F" w:rsidP="00906A3D">
      <w:pPr>
        <w:keepNext/>
        <w:spacing w:afterLines="100" w:after="240" w:line="340" w:lineRule="atLeast"/>
        <w:ind w:left="567"/>
        <w:rPr>
          <w:rFonts w:ascii="SimSun" w:hAnsi="SimSun" w:cs="SimSun"/>
          <w:szCs w:val="24"/>
        </w:rPr>
      </w:pPr>
      <w:r w:rsidRPr="00036A3F">
        <w:rPr>
          <w:rFonts w:ascii="SimSun" w:hAnsi="SimSun" w:cs="SimSun"/>
          <w:b/>
          <w:bCs/>
          <w:szCs w:val="24"/>
        </w:rPr>
        <w:t>1.多语言专业能力</w:t>
      </w:r>
    </w:p>
    <w:p w14:paraId="53D16538" w14:textId="6587C979" w:rsidR="00036A3F" w:rsidRPr="00036A3F" w:rsidRDefault="00036A3F" w:rsidP="00D57B54">
      <w:pPr>
        <w:spacing w:afterLines="100" w:after="240" w:line="340" w:lineRule="atLeast"/>
        <w:ind w:left="567"/>
        <w:jc w:val="both"/>
        <w:rPr>
          <w:rFonts w:ascii="SimSun" w:hAnsi="SimSun" w:cs="SimSun"/>
          <w:szCs w:val="24"/>
        </w:rPr>
      </w:pPr>
      <w:r w:rsidRPr="00036A3F">
        <w:rPr>
          <w:rFonts w:ascii="SimSun" w:hAnsi="SimSun" w:cs="SimSun"/>
          <w:szCs w:val="24"/>
        </w:rPr>
        <w:t>我们具备处理中英文双语PCT申请的强大能力。此外，作为补充国际检索</w:t>
      </w:r>
      <w:r w:rsidR="009558E5">
        <w:rPr>
          <w:rFonts w:ascii="SimSun" w:hAnsi="SimSun" w:cs="SimSun" w:hint="eastAsia"/>
          <w:szCs w:val="24"/>
        </w:rPr>
        <w:t>单位</w:t>
      </w:r>
      <w:r w:rsidRPr="00036A3F">
        <w:rPr>
          <w:rFonts w:ascii="SimSun" w:hAnsi="SimSun" w:cs="SimSun"/>
          <w:szCs w:val="24"/>
        </w:rPr>
        <w:t>（SISA），我们提供中文检索与审查服务。这一独特能力为PCT体系创造显著价值，使全球申请人能够根据需求选择不同语言的检索与审查服务。</w:t>
      </w:r>
    </w:p>
    <w:p w14:paraId="5C5D1FB5" w14:textId="1E2A1980" w:rsidR="00036A3F" w:rsidRPr="00036A3F" w:rsidRDefault="00036A3F" w:rsidP="003A3126">
      <w:pPr>
        <w:spacing w:afterLines="100" w:after="240" w:line="340" w:lineRule="atLeast"/>
        <w:ind w:left="567"/>
        <w:rPr>
          <w:rFonts w:ascii="SimSun" w:hAnsi="SimSun" w:cs="SimSun"/>
          <w:szCs w:val="24"/>
        </w:rPr>
      </w:pPr>
      <w:r w:rsidRPr="00036A3F">
        <w:rPr>
          <w:rFonts w:ascii="SimSun" w:hAnsi="SimSun" w:cs="SimSun"/>
          <w:b/>
          <w:bCs/>
          <w:szCs w:val="24"/>
        </w:rPr>
        <w:lastRenderedPageBreak/>
        <w:t>2.</w:t>
      </w:r>
      <w:r w:rsidR="009558E5">
        <w:rPr>
          <w:rFonts w:ascii="SimSun" w:hAnsi="SimSun" w:cs="SimSun" w:hint="eastAsia"/>
          <w:b/>
          <w:bCs/>
          <w:szCs w:val="24"/>
        </w:rPr>
        <w:t>塑造</w:t>
      </w:r>
      <w:r w:rsidRPr="00036A3F">
        <w:rPr>
          <w:rFonts w:ascii="SimSun" w:hAnsi="SimSun" w:cs="SimSun"/>
          <w:b/>
          <w:bCs/>
          <w:szCs w:val="24"/>
        </w:rPr>
        <w:t>PCT框架</w:t>
      </w:r>
    </w:p>
    <w:p w14:paraId="517678A9" w14:textId="2F0CAE1D" w:rsidR="00036A3F" w:rsidRPr="00036A3F" w:rsidRDefault="00036A3F" w:rsidP="00D57B54">
      <w:pPr>
        <w:spacing w:afterLines="100" w:after="240" w:line="340" w:lineRule="atLeast"/>
        <w:ind w:left="567"/>
        <w:jc w:val="both"/>
        <w:rPr>
          <w:rFonts w:ascii="SimSun" w:hAnsi="SimSun" w:cs="SimSun"/>
          <w:szCs w:val="24"/>
        </w:rPr>
      </w:pPr>
      <w:r w:rsidRPr="00036A3F">
        <w:rPr>
          <w:rFonts w:ascii="SimSun" w:hAnsi="SimSun" w:cs="SimSun"/>
          <w:szCs w:val="24"/>
        </w:rPr>
        <w:t>我们通过</w:t>
      </w:r>
      <w:r w:rsidR="009558E5">
        <w:rPr>
          <w:rFonts w:ascii="SimSun" w:hAnsi="SimSun" w:cs="SimSun" w:hint="eastAsia"/>
          <w:szCs w:val="24"/>
        </w:rPr>
        <w:t>各种</w:t>
      </w:r>
      <w:r w:rsidRPr="00036A3F">
        <w:rPr>
          <w:rFonts w:ascii="SimSun" w:hAnsi="SimSun" w:cs="SimSun"/>
          <w:szCs w:val="24"/>
        </w:rPr>
        <w:t>提案及积极参与讨论，持续推动提升PCT体系的运作效能。我们向PCT工作组和国际</w:t>
      </w:r>
      <w:r w:rsidR="009558E5">
        <w:rPr>
          <w:rFonts w:ascii="SimSun" w:hAnsi="SimSun" w:cs="SimSun" w:hint="eastAsia"/>
          <w:szCs w:val="24"/>
        </w:rPr>
        <w:t>单位</w:t>
      </w:r>
      <w:r w:rsidRPr="00036A3F">
        <w:rPr>
          <w:rFonts w:ascii="SimSun" w:hAnsi="SimSun" w:cs="SimSun"/>
          <w:szCs w:val="24"/>
        </w:rPr>
        <w:t>会议提交的正式提案PCT/WG/12/12和PCT/MIA/27/4，</w:t>
      </w:r>
      <w:r w:rsidR="009558E5">
        <w:rPr>
          <w:rFonts w:ascii="SimSun" w:hAnsi="SimSun" w:cs="SimSun" w:hint="eastAsia"/>
          <w:szCs w:val="24"/>
        </w:rPr>
        <w:t>着重</w:t>
      </w:r>
      <w:r w:rsidRPr="00036A3F">
        <w:rPr>
          <w:rFonts w:ascii="SimSun" w:hAnsi="SimSun" w:cs="SimSun"/>
          <w:szCs w:val="24"/>
        </w:rPr>
        <w:t>于修订《PCT</w:t>
      </w:r>
      <w:r w:rsidR="009558E5">
        <w:rPr>
          <w:rFonts w:ascii="SimSun" w:hAnsi="SimSun" w:cs="SimSun" w:hint="eastAsia"/>
          <w:szCs w:val="24"/>
        </w:rPr>
        <w:t>实施细则</w:t>
      </w:r>
      <w:r w:rsidRPr="00036A3F">
        <w:rPr>
          <w:rFonts w:ascii="SimSun" w:hAnsi="SimSun" w:cs="SimSun"/>
          <w:szCs w:val="24"/>
        </w:rPr>
        <w:t>》及相关流程，以促进IPEA</w:t>
      </w:r>
      <w:r w:rsidR="009558E5">
        <w:rPr>
          <w:rFonts w:ascii="SimSun" w:hAnsi="SimSun" w:cs="SimSun" w:hint="eastAsia"/>
          <w:szCs w:val="24"/>
        </w:rPr>
        <w:t>第二章文件的</w:t>
      </w:r>
      <w:r w:rsidRPr="00036A3F">
        <w:rPr>
          <w:rFonts w:ascii="SimSun" w:hAnsi="SimSun" w:cs="SimSun"/>
          <w:szCs w:val="24"/>
        </w:rPr>
        <w:t>获取</w:t>
      </w:r>
      <w:r w:rsidR="009558E5">
        <w:rPr>
          <w:rFonts w:ascii="SimSun" w:hAnsi="SimSun" w:cs="SimSun" w:hint="eastAsia"/>
          <w:szCs w:val="24"/>
        </w:rPr>
        <w:t>和</w:t>
      </w:r>
      <w:r w:rsidRPr="00036A3F">
        <w:rPr>
          <w:rFonts w:ascii="SimSun" w:hAnsi="SimSun" w:cs="SimSun"/>
          <w:szCs w:val="24"/>
        </w:rPr>
        <w:t>及时传递，从而显著提高审查流程的透明度。此外，我们积极参与PCT工作组、PCT国际</w:t>
      </w:r>
      <w:r w:rsidR="009558E5">
        <w:rPr>
          <w:rFonts w:ascii="SimSun" w:hAnsi="SimSun" w:cs="SimSun" w:hint="eastAsia"/>
          <w:szCs w:val="24"/>
        </w:rPr>
        <w:t>单位</w:t>
      </w:r>
      <w:r w:rsidRPr="00036A3F">
        <w:rPr>
          <w:rFonts w:ascii="SimSun" w:hAnsi="SimSun" w:cs="SimSun"/>
          <w:szCs w:val="24"/>
        </w:rPr>
        <w:t>会议及PCT最低</w:t>
      </w:r>
      <w:r w:rsidR="009558E5">
        <w:rPr>
          <w:rFonts w:ascii="SimSun" w:hAnsi="SimSun" w:cs="SimSun" w:hint="eastAsia"/>
          <w:szCs w:val="24"/>
        </w:rPr>
        <w:t>限度文献</w:t>
      </w:r>
      <w:r w:rsidRPr="00036A3F">
        <w:rPr>
          <w:rFonts w:ascii="SimSun" w:hAnsi="SimSun" w:cs="SimSun"/>
          <w:szCs w:val="24"/>
        </w:rPr>
        <w:t>工作</w:t>
      </w:r>
      <w:r w:rsidR="007D6EBC">
        <w:rPr>
          <w:rFonts w:ascii="SimSun" w:hAnsi="SimSun" w:cs="SimSun" w:hint="eastAsia"/>
          <w:szCs w:val="24"/>
        </w:rPr>
        <w:t>队</w:t>
      </w:r>
      <w:r w:rsidRPr="00036A3F">
        <w:rPr>
          <w:rFonts w:ascii="SimSun" w:hAnsi="SimSun" w:cs="SimSun"/>
          <w:szCs w:val="24"/>
        </w:rPr>
        <w:t>等国际会议的讨论，为PCT框架</w:t>
      </w:r>
      <w:r w:rsidR="007D6EBC">
        <w:rPr>
          <w:rFonts w:ascii="SimSun" w:hAnsi="SimSun" w:cs="SimSun" w:hint="eastAsia"/>
          <w:szCs w:val="24"/>
        </w:rPr>
        <w:t>的发展和完善作出</w:t>
      </w:r>
      <w:r w:rsidRPr="00036A3F">
        <w:rPr>
          <w:rFonts w:ascii="SimSun" w:hAnsi="SimSun" w:cs="SimSun"/>
          <w:szCs w:val="24"/>
        </w:rPr>
        <w:t>贡献。</w:t>
      </w:r>
    </w:p>
    <w:p w14:paraId="48FFCED3" w14:textId="5AD1E964" w:rsidR="00036A3F" w:rsidRPr="00036A3F" w:rsidRDefault="00036A3F" w:rsidP="00D57B54">
      <w:pPr>
        <w:spacing w:afterLines="100" w:after="240" w:line="340" w:lineRule="atLeast"/>
        <w:ind w:left="567"/>
        <w:jc w:val="both"/>
        <w:rPr>
          <w:rFonts w:ascii="SimSun" w:hAnsi="SimSun" w:cs="SimSun"/>
          <w:szCs w:val="24"/>
        </w:rPr>
      </w:pPr>
      <w:r w:rsidRPr="00036A3F">
        <w:rPr>
          <w:rFonts w:ascii="SimSun" w:hAnsi="SimSun" w:cs="SimSun"/>
          <w:szCs w:val="24"/>
        </w:rPr>
        <w:t>我们全力推进质量持续改进，积极参与质量</w:t>
      </w:r>
      <w:r w:rsidR="007D6EBC">
        <w:rPr>
          <w:rFonts w:ascii="SimSun" w:hAnsi="SimSun" w:cs="SimSun" w:hint="eastAsia"/>
          <w:szCs w:val="24"/>
        </w:rPr>
        <w:t>小组</w:t>
      </w:r>
      <w:r w:rsidRPr="00036A3F">
        <w:rPr>
          <w:rFonts w:ascii="SimSun" w:hAnsi="SimSun" w:cs="SimSun"/>
          <w:szCs w:val="24"/>
        </w:rPr>
        <w:t>（QSG）的</w:t>
      </w:r>
      <w:r w:rsidR="007D6EBC">
        <w:rPr>
          <w:rFonts w:ascii="SimSun" w:hAnsi="SimSun" w:cs="SimSun" w:hint="eastAsia"/>
          <w:szCs w:val="24"/>
        </w:rPr>
        <w:t>协同</w:t>
      </w:r>
      <w:r w:rsidRPr="00036A3F">
        <w:rPr>
          <w:rFonts w:ascii="SimSun" w:hAnsi="SimSun" w:cs="SimSun"/>
          <w:szCs w:val="24"/>
        </w:rPr>
        <w:t>工作：</w:t>
      </w:r>
    </w:p>
    <w:p w14:paraId="723CA6FC" w14:textId="60F2795C" w:rsidR="00036A3F" w:rsidRPr="00D57B54" w:rsidRDefault="00036A3F" w:rsidP="00D57B54">
      <w:pPr>
        <w:pStyle w:val="ListParagraph"/>
        <w:numPr>
          <w:ilvl w:val="0"/>
          <w:numId w:val="12"/>
        </w:numPr>
        <w:spacing w:afterLines="100" w:after="240" w:line="340" w:lineRule="atLeast"/>
        <w:ind w:left="924" w:hanging="357"/>
        <w:contextualSpacing w:val="0"/>
        <w:jc w:val="both"/>
        <w:rPr>
          <w:rFonts w:ascii="SimSun" w:hAnsi="SimSun" w:cs="SimSun"/>
          <w:szCs w:val="24"/>
        </w:rPr>
      </w:pPr>
      <w:r w:rsidRPr="00D57B54">
        <w:rPr>
          <w:rFonts w:ascii="SimSun" w:hAnsi="SimSun" w:cs="SimSun"/>
          <w:szCs w:val="24"/>
        </w:rPr>
        <w:t>配对审查：我们与日本特许厅开展配对审查，成功聚焦于提升</w:t>
      </w:r>
      <w:r w:rsidR="007D6EBC">
        <w:rPr>
          <w:rFonts w:ascii="SimSun" w:hAnsi="SimSun" w:cs="SimSun" w:hint="eastAsia"/>
          <w:szCs w:val="24"/>
        </w:rPr>
        <w:t>我们的</w:t>
      </w:r>
      <w:r w:rsidRPr="00D57B54">
        <w:rPr>
          <w:rFonts w:ascii="SimSun" w:hAnsi="SimSun" w:cs="SimSun"/>
          <w:szCs w:val="24"/>
        </w:rPr>
        <w:t>质量管理体系（QMS）。</w:t>
      </w:r>
    </w:p>
    <w:p w14:paraId="576B27EA" w14:textId="265633B8" w:rsidR="00036A3F" w:rsidRPr="00036A3F" w:rsidRDefault="00036A3F" w:rsidP="00D57B54">
      <w:pPr>
        <w:pStyle w:val="ListParagraph"/>
        <w:numPr>
          <w:ilvl w:val="0"/>
          <w:numId w:val="12"/>
        </w:numPr>
        <w:spacing w:afterLines="100" w:after="240" w:line="340" w:lineRule="atLeast"/>
        <w:ind w:left="924" w:hanging="357"/>
        <w:contextualSpacing w:val="0"/>
        <w:jc w:val="both"/>
        <w:rPr>
          <w:rFonts w:ascii="SimSun" w:hAnsi="SimSun" w:cs="SimSun"/>
          <w:szCs w:val="24"/>
        </w:rPr>
      </w:pPr>
      <w:r w:rsidRPr="00036A3F">
        <w:rPr>
          <w:rFonts w:ascii="SimSun" w:hAnsi="SimSun" w:cs="SimSun"/>
          <w:szCs w:val="24"/>
        </w:rPr>
        <w:t>小组研讨：我们与其他国际</w:t>
      </w:r>
      <w:r w:rsidR="007D6EBC">
        <w:rPr>
          <w:rFonts w:ascii="SimSun" w:hAnsi="SimSun" w:cs="SimSun" w:hint="eastAsia"/>
          <w:szCs w:val="24"/>
        </w:rPr>
        <w:t>单位</w:t>
      </w:r>
      <w:r w:rsidRPr="00036A3F">
        <w:rPr>
          <w:rFonts w:ascii="SimSun" w:hAnsi="SimSun" w:cs="SimSun"/>
          <w:szCs w:val="24"/>
        </w:rPr>
        <w:t>开展战略性讨论以制定最佳实践，包括重点参与专利审查员培训（2024</w:t>
      </w:r>
      <w:r w:rsidR="007D6EBC">
        <w:rPr>
          <w:rFonts w:ascii="SimSun" w:hAnsi="SimSun" w:cs="SimSun" w:hint="eastAsia"/>
          <w:szCs w:val="24"/>
        </w:rPr>
        <w:t>年</w:t>
      </w:r>
      <w:r w:rsidRPr="00036A3F">
        <w:rPr>
          <w:rFonts w:ascii="SimSun" w:hAnsi="SimSun" w:cs="SimSun"/>
          <w:szCs w:val="24"/>
        </w:rPr>
        <w:t>）及专利检索与审查流程中人工智能的战略实施（2025</w:t>
      </w:r>
      <w:r w:rsidR="007D6EBC">
        <w:rPr>
          <w:rFonts w:ascii="SimSun" w:hAnsi="SimSun" w:cs="SimSun" w:hint="eastAsia"/>
          <w:szCs w:val="24"/>
        </w:rPr>
        <w:t>年</w:t>
      </w:r>
      <w:r w:rsidRPr="00036A3F">
        <w:rPr>
          <w:rFonts w:ascii="SimSun" w:hAnsi="SimSun" w:cs="SimSun"/>
          <w:szCs w:val="24"/>
        </w:rPr>
        <w:t>）。</w:t>
      </w:r>
    </w:p>
    <w:p w14:paraId="6F9A1EDF" w14:textId="1B1B2086" w:rsidR="00036A3F" w:rsidRPr="00036A3F" w:rsidRDefault="00036A3F" w:rsidP="00D57B54">
      <w:pPr>
        <w:spacing w:afterLines="100" w:after="240" w:line="340" w:lineRule="atLeast"/>
        <w:ind w:left="567"/>
        <w:rPr>
          <w:rFonts w:ascii="SimSun" w:hAnsi="SimSun" w:cs="SimSun"/>
          <w:szCs w:val="24"/>
        </w:rPr>
      </w:pPr>
      <w:r w:rsidRPr="00036A3F">
        <w:rPr>
          <w:rFonts w:ascii="SimSun" w:hAnsi="SimSun" w:cs="SimSun"/>
          <w:b/>
          <w:bCs/>
          <w:szCs w:val="24"/>
        </w:rPr>
        <w:t>结</w:t>
      </w:r>
      <w:r w:rsidR="007D6EBC">
        <w:rPr>
          <w:rFonts w:ascii="SimSun" w:hAnsi="SimSun" w:cs="SimSun" w:hint="eastAsia"/>
          <w:b/>
          <w:bCs/>
          <w:szCs w:val="24"/>
        </w:rPr>
        <w:t>语</w:t>
      </w:r>
    </w:p>
    <w:p w14:paraId="299F5548" w14:textId="7A48031C" w:rsidR="00036A3F" w:rsidRPr="00036A3F" w:rsidRDefault="00036A3F" w:rsidP="00D57B54">
      <w:pPr>
        <w:spacing w:afterLines="100" w:after="240" w:line="340" w:lineRule="atLeast"/>
        <w:ind w:left="567"/>
        <w:jc w:val="both"/>
        <w:rPr>
          <w:rFonts w:ascii="SimSun" w:hAnsi="SimSun" w:cs="SimSun"/>
          <w:szCs w:val="24"/>
        </w:rPr>
      </w:pPr>
      <w:r w:rsidRPr="00036A3F">
        <w:rPr>
          <w:rFonts w:ascii="SimSun" w:hAnsi="SimSun" w:cs="SimSun"/>
          <w:szCs w:val="24"/>
        </w:rPr>
        <w:t>在及时性、质量交付、多语言能力以及对PCT发展的实质性贡献方面，我们始终保持卓越记录，这使</w:t>
      </w:r>
      <w:r w:rsidR="007D6EBC">
        <w:rPr>
          <w:rFonts w:ascii="SimSun" w:hAnsi="SimSun" w:cs="SimSun" w:hint="eastAsia"/>
          <w:szCs w:val="24"/>
        </w:rPr>
        <w:t>IPOS</w:t>
      </w:r>
      <w:r w:rsidRPr="00036A3F">
        <w:rPr>
          <w:rFonts w:ascii="SimSun" w:hAnsi="SimSun" w:cs="SimSun"/>
          <w:szCs w:val="24"/>
        </w:rPr>
        <w:t>成为全球PCT体系中极具可靠性与战略价值的国际</w:t>
      </w:r>
      <w:r w:rsidR="007D6EBC">
        <w:rPr>
          <w:rFonts w:ascii="SimSun" w:hAnsi="SimSun" w:cs="SimSun" w:hint="eastAsia"/>
          <w:szCs w:val="24"/>
        </w:rPr>
        <w:t>单位</w:t>
      </w:r>
      <w:r w:rsidRPr="00036A3F">
        <w:rPr>
          <w:rFonts w:ascii="SimSun" w:hAnsi="SimSun" w:cs="SimSun"/>
          <w:szCs w:val="24"/>
        </w:rPr>
        <w:t>。</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1A657FBE" w:rsidR="009A31F1" w:rsidRPr="00DA04C2" w:rsidRDefault="009A31F1" w:rsidP="009A31F1">
        <w:pPr>
          <w:jc w:val="right"/>
          <w:rPr>
            <w:rFonts w:ascii="SimSun" w:hAnsi="SimSun"/>
            <w:caps/>
            <w:lang w:val="fr-CH"/>
          </w:rPr>
        </w:pPr>
        <w:r w:rsidRPr="00DA04C2">
          <w:rPr>
            <w:rFonts w:ascii="SimSun" w:hAnsi="SimSun"/>
            <w:caps/>
            <w:lang w:val="fr-CH"/>
          </w:rPr>
          <w:t>PCT/CTC/33/</w:t>
        </w:r>
        <w:r w:rsidR="00552A11">
          <w:rPr>
            <w:rFonts w:ascii="SimSun" w:hAnsi="SimSun" w:hint="eastAsia"/>
            <w:caps/>
            <w:lang w:val="fr-CH"/>
          </w:rPr>
          <w:t>21</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3FDBCD3" w:rsidR="009A31F1" w:rsidRPr="00DA04C2" w:rsidRDefault="009A31F1" w:rsidP="009A31F1">
    <w:pPr>
      <w:pStyle w:val="Header"/>
      <w:jc w:val="right"/>
      <w:rPr>
        <w:rFonts w:ascii="SimSun" w:hAnsi="SimSun"/>
      </w:rPr>
    </w:pPr>
    <w:bookmarkStart w:id="6" w:name="Code2"/>
    <w:r w:rsidRPr="00DA04C2">
      <w:rPr>
        <w:rFonts w:ascii="SimSun" w:hAnsi="SimSun"/>
      </w:rPr>
      <w:t>PCT/CTC/33/</w:t>
    </w:r>
    <w:r w:rsidR="00552A11">
      <w:rPr>
        <w:rFonts w:ascii="SimSun" w:hAnsi="SimSun" w:hint="eastAsia"/>
      </w:rPr>
      <w:t>21</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45122E"/>
    <w:multiLevelType w:val="hybridMultilevel"/>
    <w:tmpl w:val="D9123E3C"/>
    <w:lvl w:ilvl="0" w:tplc="7D4EA484">
      <w:numFmt w:val="bullet"/>
      <w:lvlText w:val="·"/>
      <w:lvlJc w:val="left"/>
      <w:pPr>
        <w:ind w:left="360" w:hanging="360"/>
      </w:pPr>
      <w:rPr>
        <w:rFonts w:ascii="SimSun" w:eastAsia="SimSun" w:hAnsi="SimSun" w:cs="SimSu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2ED3967"/>
    <w:multiLevelType w:val="hybridMultilevel"/>
    <w:tmpl w:val="E2BE11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11"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8"/>
  </w:num>
  <w:num w:numId="3" w16cid:durableId="1310986793">
    <w:abstractNumId w:val="1"/>
  </w:num>
  <w:num w:numId="4" w16cid:durableId="1556547374">
    <w:abstractNumId w:val="9"/>
  </w:num>
  <w:num w:numId="5" w16cid:durableId="1511680175">
    <w:abstractNumId w:val="2"/>
  </w:num>
  <w:num w:numId="6" w16cid:durableId="1008404777">
    <w:abstractNumId w:val="5"/>
  </w:num>
  <w:num w:numId="7" w16cid:durableId="1835752940">
    <w:abstractNumId w:val="11"/>
  </w:num>
  <w:num w:numId="8" w16cid:durableId="1686783144">
    <w:abstractNumId w:val="0"/>
  </w:num>
  <w:num w:numId="9" w16cid:durableId="1325159215">
    <w:abstractNumId w:val="10"/>
  </w:num>
  <w:num w:numId="10" w16cid:durableId="825974437">
    <w:abstractNumId w:val="6"/>
  </w:num>
  <w:num w:numId="11" w16cid:durableId="619074840">
    <w:abstractNumId w:val="7"/>
  </w:num>
  <w:num w:numId="12" w16cid:durableId="771049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36A3F"/>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03F2"/>
    <w:rsid w:val="001362EE"/>
    <w:rsid w:val="001416C1"/>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931F8"/>
    <w:rsid w:val="002B26A0"/>
    <w:rsid w:val="002B5157"/>
    <w:rsid w:val="002B70E7"/>
    <w:rsid w:val="002E29C7"/>
    <w:rsid w:val="002F1FE6"/>
    <w:rsid w:val="002F39CD"/>
    <w:rsid w:val="002F4E68"/>
    <w:rsid w:val="00312F7F"/>
    <w:rsid w:val="003514C1"/>
    <w:rsid w:val="00361450"/>
    <w:rsid w:val="003673CF"/>
    <w:rsid w:val="003845C1"/>
    <w:rsid w:val="003A3126"/>
    <w:rsid w:val="003A6F89"/>
    <w:rsid w:val="003B38C1"/>
    <w:rsid w:val="003C34E9"/>
    <w:rsid w:val="003F6F01"/>
    <w:rsid w:val="00416AEC"/>
    <w:rsid w:val="00423E3E"/>
    <w:rsid w:val="004246FD"/>
    <w:rsid w:val="00427AF4"/>
    <w:rsid w:val="004417B3"/>
    <w:rsid w:val="00442A32"/>
    <w:rsid w:val="004647DA"/>
    <w:rsid w:val="00466D9E"/>
    <w:rsid w:val="00474062"/>
    <w:rsid w:val="004769D1"/>
    <w:rsid w:val="00477D6B"/>
    <w:rsid w:val="00480B5F"/>
    <w:rsid w:val="00491601"/>
    <w:rsid w:val="004A2942"/>
    <w:rsid w:val="004B446A"/>
    <w:rsid w:val="004B6994"/>
    <w:rsid w:val="004C572F"/>
    <w:rsid w:val="005019FF"/>
    <w:rsid w:val="0052652C"/>
    <w:rsid w:val="0053057A"/>
    <w:rsid w:val="00552A11"/>
    <w:rsid w:val="00556076"/>
    <w:rsid w:val="00560A29"/>
    <w:rsid w:val="00573F0D"/>
    <w:rsid w:val="005829E9"/>
    <w:rsid w:val="00596424"/>
    <w:rsid w:val="0059762F"/>
    <w:rsid w:val="005C6454"/>
    <w:rsid w:val="005C6649"/>
    <w:rsid w:val="005C79F6"/>
    <w:rsid w:val="00605827"/>
    <w:rsid w:val="00635FFC"/>
    <w:rsid w:val="00646050"/>
    <w:rsid w:val="00662832"/>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D6EBC"/>
    <w:rsid w:val="007E4593"/>
    <w:rsid w:val="007E4C0E"/>
    <w:rsid w:val="007F0346"/>
    <w:rsid w:val="008543C9"/>
    <w:rsid w:val="00882E14"/>
    <w:rsid w:val="008A134B"/>
    <w:rsid w:val="008B2CC1"/>
    <w:rsid w:val="008B60B2"/>
    <w:rsid w:val="008C660E"/>
    <w:rsid w:val="008D5EAB"/>
    <w:rsid w:val="00906A3D"/>
    <w:rsid w:val="0090731E"/>
    <w:rsid w:val="00916EE2"/>
    <w:rsid w:val="00934DF7"/>
    <w:rsid w:val="00941949"/>
    <w:rsid w:val="009551CD"/>
    <w:rsid w:val="009558E5"/>
    <w:rsid w:val="00966A22"/>
    <w:rsid w:val="0096722F"/>
    <w:rsid w:val="00980843"/>
    <w:rsid w:val="0099237F"/>
    <w:rsid w:val="009A31F1"/>
    <w:rsid w:val="009A53C9"/>
    <w:rsid w:val="009E2791"/>
    <w:rsid w:val="009E3F6F"/>
    <w:rsid w:val="009F499F"/>
    <w:rsid w:val="00A0628B"/>
    <w:rsid w:val="00A32070"/>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D04F1"/>
    <w:rsid w:val="00CF6256"/>
    <w:rsid w:val="00CF681A"/>
    <w:rsid w:val="00D07C78"/>
    <w:rsid w:val="00D3391E"/>
    <w:rsid w:val="00D45252"/>
    <w:rsid w:val="00D57B54"/>
    <w:rsid w:val="00D61EC6"/>
    <w:rsid w:val="00D71B4D"/>
    <w:rsid w:val="00D93D4C"/>
    <w:rsid w:val="00D93D55"/>
    <w:rsid w:val="00DA04C2"/>
    <w:rsid w:val="00DD7B7F"/>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doc.xhtml?doc-code=SG&amp;doc-lang=en" TargetMode="External"/><Relationship Id="rId10" Type="http://schemas.openxmlformats.org/officeDocument/2006/relationships/hyperlink" Target="mailto:Sharmaine_WU@ipos.gov.s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SG&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PCT/CTC/33/21</vt:lpstr>
    </vt:vector>
  </TitlesOfParts>
  <Company>WIPO</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PCT/CTC/33/21</dc:title>
  <dc:subject>延长对新加坡知识产权局作为PCT国际检索和初步审查单位的指定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2026-01-09T13:29:00Z</dcterms:created>
  <dcterms:modified xsi:type="dcterms:W3CDTF">2026-01-09T13:29:00Z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