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6F383CBC"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DE190F">
        <w:rPr>
          <w:rFonts w:ascii="Arial Black" w:hAnsi="Arial Black" w:hint="eastAsia"/>
          <w:b/>
          <w:caps/>
          <w:sz w:val="15"/>
        </w:rPr>
        <w:t>17</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DF6203">
        <w:rPr>
          <w:rFonts w:eastAsia="SimHei" w:hint="eastAsia"/>
          <w:b/>
          <w:sz w:val="15"/>
          <w:szCs w:val="15"/>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DF6203">
        <w:rPr>
          <w:rFonts w:ascii="SimHei" w:eastAsia="SimHei" w:hAnsi="SimSun" w:hint="eastAsia"/>
          <w:b/>
          <w:sz w:val="15"/>
          <w:szCs w:val="15"/>
        </w:rPr>
        <w:t>：</w:t>
      </w:r>
      <w:bookmarkStart w:id="2" w:name="Date"/>
      <w:r w:rsidRPr="00DF6203">
        <w:rPr>
          <w:rFonts w:ascii="Arial Black" w:eastAsia="SimHei" w:hAnsi="Arial Black" w:hint="eastAsia"/>
          <w:b/>
          <w:sz w:val="15"/>
          <w:szCs w:val="15"/>
        </w:rPr>
        <w:t>20</w:t>
      </w:r>
      <w:r w:rsidRPr="00DF6203">
        <w:rPr>
          <w:rFonts w:ascii="Arial Black" w:eastAsia="SimHei" w:hAnsi="Arial Black"/>
          <w:b/>
          <w:sz w:val="15"/>
          <w:szCs w:val="15"/>
        </w:rPr>
        <w:t>2</w:t>
      </w:r>
      <w:r w:rsidRPr="00DF6203">
        <w:rPr>
          <w:rFonts w:ascii="Arial Black" w:eastAsia="SimHei" w:hAnsi="Arial Black" w:hint="eastAsia"/>
          <w:b/>
          <w:sz w:val="15"/>
          <w:szCs w:val="15"/>
        </w:rPr>
        <w:t>5</w:t>
      </w:r>
      <w:r w:rsidRPr="00E47C64">
        <w:rPr>
          <w:rFonts w:ascii="SimHei" w:eastAsia="SimHei" w:hAnsi="Times New Roman" w:hint="eastAsia"/>
          <w:b/>
          <w:sz w:val="15"/>
          <w:szCs w:val="15"/>
        </w:rPr>
        <w:t>年</w:t>
      </w:r>
      <w:r w:rsidRPr="00DF6203">
        <w:rPr>
          <w:rFonts w:ascii="Arial Black" w:eastAsia="SimHei" w:hAnsi="Arial Black" w:hint="eastAsia"/>
          <w:b/>
          <w:sz w:val="15"/>
          <w:szCs w:val="15"/>
        </w:rPr>
        <w:t>12</w:t>
      </w:r>
      <w:r w:rsidRPr="00E47C64">
        <w:rPr>
          <w:rFonts w:ascii="SimHei" w:eastAsia="SimHei" w:hAnsi="Times New Roman" w:hint="eastAsia"/>
          <w:b/>
          <w:sz w:val="15"/>
          <w:szCs w:val="15"/>
        </w:rPr>
        <w:t>月</w:t>
      </w:r>
      <w:r w:rsidRPr="00DF6203">
        <w:rPr>
          <w:rFonts w:ascii="Arial Black" w:eastAsia="SimHei" w:hAnsi="Arial Black" w:hint="eastAsia"/>
          <w:b/>
          <w:sz w:val="15"/>
          <w:szCs w:val="15"/>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670D42A0"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DE190F">
        <w:rPr>
          <w:rFonts w:ascii="KaiTi" w:eastAsia="KaiTi" w:hAnsi="KaiTi" w:cs="Times New Roman" w:hint="eastAsia"/>
          <w:sz w:val="24"/>
          <w:szCs w:val="22"/>
        </w:rPr>
        <w:t>菲律宾知识产权</w:t>
      </w:r>
      <w:r w:rsidR="0059762F" w:rsidRPr="0059762F">
        <w:rPr>
          <w:rFonts w:ascii="KaiTi" w:eastAsia="KaiTi" w:hAnsi="KaiTi" w:cs="Times New Roman" w:hint="eastAsia"/>
          <w:sz w:val="24"/>
          <w:szCs w:val="22"/>
        </w:rPr>
        <w:t>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63013A83"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w:t>
      </w:r>
      <w:r w:rsidR="00DE190F">
        <w:rPr>
          <w:rFonts w:ascii="SimSun" w:hAnsi="SimSun" w:hint="eastAsia"/>
        </w:rPr>
        <w:t>0</w:t>
      </w:r>
      <w:r w:rsidRPr="00E47C64">
        <w:rPr>
          <w:rFonts w:ascii="SimSun" w:hAnsi="SimSun" w:hint="eastAsia"/>
        </w:rPr>
        <w:t>月2</w:t>
      </w:r>
      <w:r w:rsidR="00DE190F">
        <w:rPr>
          <w:rFonts w:ascii="SimSun" w:hAnsi="SimSun" w:hint="eastAsia"/>
        </w:rPr>
        <w:t>2</w:t>
      </w:r>
      <w:r w:rsidRPr="00E47C64">
        <w:rPr>
          <w:rFonts w:ascii="SimSun" w:hAnsi="SimSun" w:hint="eastAsia"/>
        </w:rPr>
        <w:t>日，</w:t>
      </w:r>
      <w:r w:rsidR="00DE190F">
        <w:rPr>
          <w:rFonts w:ascii="SimSun" w:hAnsi="SimSun" w:hint="eastAsia"/>
        </w:rPr>
        <w:t>菲律宾知识产权</w:t>
      </w:r>
      <w:r w:rsidR="0059762F" w:rsidRPr="0059762F">
        <w:rPr>
          <w:rFonts w:ascii="SimSun" w:hAnsi="SimSun" w:hint="eastAsia"/>
        </w:rPr>
        <w:t>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2CF9DB6E" w:rsidR="00E47C64" w:rsidRPr="00E47C64" w:rsidRDefault="00DE190F" w:rsidP="00BE1156">
      <w:pPr>
        <w:spacing w:afterLines="100" w:after="240" w:line="340" w:lineRule="atLeast"/>
        <w:ind w:left="567"/>
        <w:rPr>
          <w:rFonts w:ascii="SimSun" w:hAnsi="SimSun"/>
        </w:rPr>
      </w:pPr>
      <w:r>
        <w:rPr>
          <w:rFonts w:ascii="SimSun" w:hAnsi="SimSun" w:hint="eastAsia"/>
        </w:rPr>
        <w:t>菲律宾知识产权</w:t>
      </w:r>
      <w:r w:rsidR="0059762F" w:rsidRPr="0059762F">
        <w:rPr>
          <w:rFonts w:ascii="SimSun" w:hAnsi="SimSun" w:hint="eastAsia"/>
        </w:rPr>
        <w:t>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1EB63920" w14:textId="1A7B819C" w:rsidR="00E47C64" w:rsidRPr="00003F18" w:rsidRDefault="00DE190F" w:rsidP="00765A0C">
      <w:pPr>
        <w:spacing w:afterLines="100" w:after="240" w:line="340" w:lineRule="atLeast"/>
        <w:ind w:left="567"/>
        <w:rPr>
          <w:rFonts w:ascii="SimSun" w:hAnsi="SimSun"/>
          <w:lang w:val="es-ES"/>
        </w:rPr>
      </w:pPr>
      <w:bookmarkStart w:id="5" w:name="_Hlk217048867"/>
      <w:r w:rsidRPr="00DE190F">
        <w:rPr>
          <w:rFonts w:ascii="SimSun" w:hAnsi="SimSun"/>
          <w:lang w:val="pt-PT"/>
        </w:rPr>
        <w:t>Maria Cristina P. DE GUZMAN</w:t>
      </w:r>
      <w:r w:rsidR="00765A0C">
        <w:rPr>
          <w:rFonts w:ascii="SimSun" w:hAnsi="SimSun" w:hint="eastAsia"/>
          <w:lang w:val="pt-PT"/>
        </w:rPr>
        <w:t>，</w:t>
      </w:r>
      <w:r>
        <w:rPr>
          <w:rFonts w:ascii="SimSun" w:hAnsi="SimSun" w:hint="eastAsia"/>
        </w:rPr>
        <w:t>菲律宾知识产权局</w:t>
      </w:r>
      <w:r w:rsidR="00765A0C">
        <w:rPr>
          <w:rFonts w:ascii="SimSun" w:hAnsi="SimSun" w:hint="eastAsia"/>
          <w:lang w:val="fr-CH"/>
        </w:rPr>
        <w:t>专利局主管</w:t>
      </w:r>
      <w:r w:rsidR="00765A0C" w:rsidRPr="00003F18">
        <w:rPr>
          <w:rFonts w:ascii="SimSun" w:hAnsi="SimSun" w:hint="eastAsia"/>
          <w:lang w:val="es-ES"/>
        </w:rPr>
        <w:t>，</w:t>
      </w:r>
      <w:r w:rsidR="00DA0584">
        <w:fldChar w:fldCharType="begin"/>
      </w:r>
      <w:r w:rsidR="00DA0584" w:rsidRPr="00003F18">
        <w:rPr>
          <w:lang w:val="es-ES"/>
        </w:rPr>
        <w:instrText>HYPERLINK "mailto:cristina.deguzman@ipophl.gov.ph"</w:instrText>
      </w:r>
      <w:r w:rsidR="00DA0584">
        <w:fldChar w:fldCharType="separate"/>
      </w:r>
      <w:r w:rsidR="00DA0584" w:rsidRPr="00003F18">
        <w:rPr>
          <w:rStyle w:val="Hyperlink"/>
          <w:rFonts w:ascii="SimSun" w:hAnsi="SimSun"/>
          <w:lang w:val="es-ES"/>
        </w:rPr>
        <w:t>cristina.deguzman@ipophl.gov.ph</w:t>
      </w:r>
      <w:r w:rsidR="00DA0584">
        <w:fldChar w:fldCharType="end"/>
      </w:r>
    </w:p>
    <w:bookmarkEnd w:id="5"/>
    <w:p w14:paraId="4FBA3141" w14:textId="77777777" w:rsidR="00E47C64" w:rsidRPr="00003F18" w:rsidRDefault="00E47C64" w:rsidP="00BE1156">
      <w:pPr>
        <w:keepNext/>
        <w:spacing w:afterLines="100" w:after="240" w:line="340" w:lineRule="atLeast"/>
        <w:jc w:val="both"/>
        <w:rPr>
          <w:rFonts w:ascii="SimSun" w:hAnsi="SimSun"/>
          <w:b/>
          <w:bCs/>
          <w:szCs w:val="22"/>
          <w:lang w:val="es-ES"/>
        </w:rPr>
      </w:pPr>
      <w:r w:rsidRPr="00003F18">
        <w:rPr>
          <w:rFonts w:ascii="SimSun" w:hAnsi="SimSun" w:hint="eastAsia"/>
          <w:b/>
          <w:bCs/>
          <w:szCs w:val="22"/>
          <w:lang w:val="es-ES"/>
        </w:rPr>
        <w:t>(c)</w:t>
      </w:r>
      <w:r w:rsidRPr="00003F18">
        <w:rPr>
          <w:rFonts w:ascii="SimSun" w:hAnsi="SimSun" w:hint="eastAsia"/>
          <w:b/>
          <w:bCs/>
          <w:szCs w:val="22"/>
          <w:lang w:val="es-ES"/>
        </w:rPr>
        <w:tab/>
      </w:r>
      <w:r w:rsidRPr="00E47C64">
        <w:rPr>
          <w:rFonts w:ascii="SimSun" w:hAnsi="SimSun" w:hint="eastAsia"/>
          <w:b/>
          <w:bCs/>
          <w:szCs w:val="22"/>
        </w:rPr>
        <w:t>总干事收到延长指定申请的日期</w:t>
      </w:r>
      <w:r w:rsidRPr="00003F18">
        <w:rPr>
          <w:rFonts w:ascii="SimSun" w:hAnsi="SimSun" w:hint="eastAsia"/>
          <w:b/>
          <w:bCs/>
          <w:szCs w:val="22"/>
          <w:lang w:val="es-ES"/>
        </w:rPr>
        <w:t>：</w:t>
      </w:r>
    </w:p>
    <w:p w14:paraId="35006008" w14:textId="31036A22" w:rsidR="00E47C64" w:rsidRPr="00003F18" w:rsidRDefault="00E47C64" w:rsidP="00BE1156">
      <w:pPr>
        <w:spacing w:afterLines="100" w:after="240" w:line="340" w:lineRule="atLeast"/>
        <w:ind w:left="567"/>
        <w:rPr>
          <w:rFonts w:ascii="SimSun" w:hAnsi="SimSun"/>
          <w:lang w:val="es-ES"/>
        </w:rPr>
      </w:pPr>
      <w:r w:rsidRPr="00003F18">
        <w:rPr>
          <w:rFonts w:ascii="SimSun" w:hAnsi="SimSun" w:hint="eastAsia"/>
          <w:lang w:val="es-ES"/>
        </w:rPr>
        <w:t>2025</w:t>
      </w:r>
      <w:r w:rsidRPr="00E47C64">
        <w:rPr>
          <w:rFonts w:ascii="SimSun" w:hAnsi="SimSun" w:hint="eastAsia"/>
        </w:rPr>
        <w:t>年</w:t>
      </w:r>
      <w:r w:rsidRPr="00003F18">
        <w:rPr>
          <w:rFonts w:ascii="SimSun" w:hAnsi="SimSun" w:hint="eastAsia"/>
          <w:lang w:val="es-ES"/>
        </w:rPr>
        <w:t>1</w:t>
      </w:r>
      <w:r w:rsidR="005B3B09" w:rsidRPr="00003F18">
        <w:rPr>
          <w:rFonts w:ascii="SimSun" w:hAnsi="SimSun" w:hint="eastAsia"/>
          <w:lang w:val="es-ES"/>
        </w:rPr>
        <w:t>0</w:t>
      </w:r>
      <w:r w:rsidRPr="00E47C64">
        <w:rPr>
          <w:rFonts w:ascii="SimSun" w:hAnsi="SimSun" w:hint="eastAsia"/>
        </w:rPr>
        <w:t>月</w:t>
      </w:r>
      <w:r w:rsidRPr="00003F18">
        <w:rPr>
          <w:rFonts w:ascii="SimSun" w:hAnsi="SimSun" w:hint="eastAsia"/>
          <w:lang w:val="es-ES"/>
        </w:rPr>
        <w:t>2</w:t>
      </w:r>
      <w:r w:rsidR="005B3B09" w:rsidRPr="00003F18">
        <w:rPr>
          <w:rFonts w:ascii="SimSun" w:hAnsi="SimSun" w:hint="eastAsia"/>
          <w:lang w:val="es-ES"/>
        </w:rPr>
        <w:t>2</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3366E681"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5B3B09">
        <w:fldChar w:fldCharType="begin"/>
      </w:r>
      <w:r w:rsidR="005B3B09">
        <w:instrText>HYPERLINK "https://www.wipo.int/en/web/pct-system/quality/authorities" \l "PH"</w:instrText>
      </w:r>
      <w:r w:rsidR="005B3B09">
        <w:fldChar w:fldCharType="separate"/>
      </w:r>
      <w:r w:rsidR="005B3B09" w:rsidRPr="005F0E70">
        <w:rPr>
          <w:rStyle w:val="Hyperlink"/>
          <w:rFonts w:ascii="SimSun" w:hAnsi="SimSun"/>
        </w:rPr>
        <w:t>https://www.wipo.int/en/web/pct-system/quality/authorities#PH</w:t>
      </w:r>
      <w:r w:rsidR="005B3B09">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Default="00E47C64" w:rsidP="00882E14">
      <w:pPr>
        <w:spacing w:afterLines="100" w:after="240" w:line="340" w:lineRule="atLeast"/>
        <w:jc w:val="both"/>
        <w:rPr>
          <w:rFonts w:ascii="SimSun" w:hAnsi="SimSun"/>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598D02BE" w14:textId="0DAC4C5A" w:rsidR="00DB32CE" w:rsidRPr="009D340B" w:rsidRDefault="00DB32CE" w:rsidP="000E23F2">
      <w:pPr>
        <w:spacing w:afterLines="100" w:after="240" w:line="340" w:lineRule="atLeast"/>
        <w:ind w:left="568"/>
        <w:jc w:val="both"/>
        <w:rPr>
          <w:rFonts w:ascii="KaiTi" w:eastAsia="KaiTi" w:hAnsi="KaiTi"/>
        </w:rPr>
      </w:pPr>
      <w:r w:rsidRPr="009D340B">
        <w:rPr>
          <w:rFonts w:ascii="KaiTi" w:eastAsia="KaiTi" w:hAnsi="KaiTi" w:hint="eastAsia"/>
        </w:rPr>
        <w:t>菲律宾知识产权局在</w:t>
      </w:r>
      <w:r w:rsidR="00C000FF" w:rsidRPr="009D340B">
        <w:rPr>
          <w:rFonts w:ascii="KaiTi" w:eastAsia="KaiTi" w:hAnsi="KaiTi" w:hint="eastAsia"/>
        </w:rPr>
        <w:t>具备</w:t>
      </w:r>
      <w:r w:rsidRPr="009D340B">
        <w:rPr>
          <w:rFonts w:ascii="KaiTi" w:eastAsia="KaiTi" w:hAnsi="KaiTi" w:hint="eastAsia"/>
        </w:rPr>
        <w:t>足够技术资格从事检索和审查工作的全职雇员数量方面，符合</w:t>
      </w:r>
      <w:r w:rsidR="00C000FF" w:rsidRPr="009D340B">
        <w:rPr>
          <w:rFonts w:ascii="KaiTi" w:eastAsia="KaiTi" w:hAnsi="KaiTi" w:hint="eastAsia"/>
        </w:rPr>
        <w:t>被</w:t>
      </w:r>
      <w:r w:rsidRPr="009D340B">
        <w:rPr>
          <w:rFonts w:ascii="KaiTi" w:eastAsia="KaiTi" w:hAnsi="KaiTi" w:hint="eastAsia"/>
        </w:rPr>
        <w:t>指定为国际检索单位/国际初步审查单位的规定标准。该局目前</w:t>
      </w:r>
      <w:r w:rsidR="00A0373A">
        <w:rPr>
          <w:rFonts w:ascii="KaiTi" w:eastAsia="KaiTi" w:hAnsi="KaiTi" w:hint="eastAsia"/>
        </w:rPr>
        <w:t>雇聘共</w:t>
      </w:r>
      <w:r w:rsidRPr="009D340B">
        <w:rPr>
          <w:rFonts w:ascii="KaiTi" w:eastAsia="KaiTi" w:hAnsi="KaiTi" w:hint="eastAsia"/>
        </w:rPr>
        <w:t>122名专利审查员</w:t>
      </w:r>
      <w:r w:rsidR="00A0373A">
        <w:rPr>
          <w:rFonts w:ascii="KaiTi" w:eastAsia="KaiTi" w:hAnsi="KaiTi" w:hint="eastAsia"/>
        </w:rPr>
        <w:t>，均</w:t>
      </w:r>
      <w:r w:rsidR="00C000FF" w:rsidRPr="009D340B">
        <w:rPr>
          <w:rFonts w:ascii="KaiTi" w:eastAsia="KaiTi" w:hAnsi="KaiTi" w:hint="eastAsia"/>
        </w:rPr>
        <w:t>具备理工科</w:t>
      </w:r>
      <w:r w:rsidRPr="009D340B">
        <w:rPr>
          <w:rFonts w:ascii="KaiTi" w:eastAsia="KaiTi" w:hAnsi="KaiTi" w:hint="eastAsia"/>
        </w:rPr>
        <w:t>各领域的学位，并在专利检索和审查方面积累了</w:t>
      </w:r>
      <w:r w:rsidR="00C000FF" w:rsidRPr="009D340B">
        <w:rPr>
          <w:rFonts w:ascii="KaiTi" w:eastAsia="KaiTi" w:hAnsi="KaiTi" w:hint="eastAsia"/>
        </w:rPr>
        <w:t>大量</w:t>
      </w:r>
      <w:r w:rsidRPr="009D340B">
        <w:rPr>
          <w:rFonts w:ascii="KaiTi" w:eastAsia="KaiTi" w:hAnsi="KaiTi" w:hint="eastAsia"/>
        </w:rPr>
        <w:t>经验。</w:t>
      </w:r>
    </w:p>
    <w:p w14:paraId="05817575" w14:textId="14C62706" w:rsidR="00DB32CE" w:rsidRPr="009D340B" w:rsidRDefault="00DB32CE" w:rsidP="000E23F2">
      <w:pPr>
        <w:spacing w:afterLines="100" w:after="240" w:line="340" w:lineRule="atLeast"/>
        <w:ind w:left="568"/>
        <w:jc w:val="both"/>
        <w:rPr>
          <w:rFonts w:ascii="KaiTi" w:eastAsia="KaiTi" w:hAnsi="KaiTi"/>
        </w:rPr>
      </w:pPr>
      <w:r w:rsidRPr="009D340B">
        <w:rPr>
          <w:rFonts w:ascii="KaiTi" w:eastAsia="KaiTi" w:hAnsi="KaiTi" w:hint="eastAsia"/>
        </w:rPr>
        <w:t>为确保合格专业人员的可持续储备，菲律宾知识产权局</w:t>
      </w:r>
      <w:r w:rsidR="00C000FF" w:rsidRPr="009D340B">
        <w:rPr>
          <w:rFonts w:ascii="KaiTi" w:eastAsia="KaiTi" w:hAnsi="KaiTi" w:hint="eastAsia"/>
        </w:rPr>
        <w:t>不断</w:t>
      </w:r>
      <w:r w:rsidRPr="009D340B">
        <w:rPr>
          <w:rFonts w:ascii="KaiTi" w:eastAsia="KaiTi" w:hAnsi="KaiTi" w:hint="eastAsia"/>
        </w:rPr>
        <w:t>招聘新审查员</w:t>
      </w:r>
      <w:r w:rsidR="00C000FF" w:rsidRPr="009D340B">
        <w:rPr>
          <w:rFonts w:ascii="KaiTi" w:eastAsia="KaiTi" w:hAnsi="KaiTi" w:hint="eastAsia"/>
        </w:rPr>
        <w:t>，作为其能力建设战略的一部分</w:t>
      </w:r>
      <w:r w:rsidRPr="009D340B">
        <w:rPr>
          <w:rFonts w:ascii="KaiTi" w:eastAsia="KaiTi" w:hAnsi="KaiTi" w:hint="eastAsia"/>
        </w:rPr>
        <w:t>。所有新入职人员均接受专利审查技能培训</w:t>
      </w:r>
      <w:r w:rsidR="00C000FF" w:rsidRPr="009D340B">
        <w:rPr>
          <w:rFonts w:ascii="KaiTi" w:eastAsia="KaiTi" w:hAnsi="KaiTi" w:hint="eastAsia"/>
        </w:rPr>
        <w:t>（</w:t>
      </w:r>
      <w:r w:rsidRPr="009D340B">
        <w:rPr>
          <w:rFonts w:ascii="KaiTi" w:eastAsia="KaiTi" w:hAnsi="KaiTi" w:hint="eastAsia"/>
        </w:rPr>
        <w:t>STEP</w:t>
      </w:r>
      <w:r w:rsidR="00C000FF" w:rsidRPr="009D340B">
        <w:rPr>
          <w:rFonts w:ascii="KaiTi" w:eastAsia="KaiTi" w:hAnsi="KaiTi" w:hint="eastAsia"/>
        </w:rPr>
        <w:t>）</w:t>
      </w:r>
      <w:r w:rsidRPr="009D340B">
        <w:rPr>
          <w:rFonts w:ascii="KaiTi" w:eastAsia="KaiTi" w:hAnsi="KaiTi" w:hint="eastAsia"/>
        </w:rPr>
        <w:t>项目——这是一项结构化、综合性</w:t>
      </w:r>
      <w:r w:rsidR="00810838">
        <w:rPr>
          <w:rFonts w:ascii="KaiTi" w:eastAsia="KaiTi" w:hAnsi="KaiTi" w:hint="eastAsia"/>
        </w:rPr>
        <w:t>、基于</w:t>
      </w:r>
      <w:r w:rsidR="00C000FF" w:rsidRPr="009D340B">
        <w:rPr>
          <w:rFonts w:ascii="KaiTi" w:eastAsia="KaiTi" w:hAnsi="KaiTi" w:hint="eastAsia"/>
        </w:rPr>
        <w:t>胜任</w:t>
      </w:r>
      <w:r w:rsidRPr="009D340B">
        <w:rPr>
          <w:rFonts w:ascii="KaiTi" w:eastAsia="KaiTi" w:hAnsi="KaiTi" w:hint="eastAsia"/>
        </w:rPr>
        <w:t>力的培训课程，旨在使</w:t>
      </w:r>
      <w:r w:rsidR="00C000FF" w:rsidRPr="009D340B">
        <w:rPr>
          <w:rFonts w:ascii="KaiTi" w:eastAsia="KaiTi" w:hAnsi="KaiTi" w:hint="eastAsia"/>
        </w:rPr>
        <w:t>新入职人员</w:t>
      </w:r>
      <w:r w:rsidRPr="009D340B">
        <w:rPr>
          <w:rFonts w:ascii="KaiTi" w:eastAsia="KaiTi" w:hAnsi="KaiTi" w:hint="eastAsia"/>
        </w:rPr>
        <w:t>具备专利检索和审查所需的技能和知识。此外，菲律宾知识产权局坚定致力于</w:t>
      </w:r>
      <w:r w:rsidR="00C000FF" w:rsidRPr="009D340B">
        <w:rPr>
          <w:rFonts w:ascii="KaiTi" w:eastAsia="KaiTi" w:hAnsi="KaiTi" w:hint="eastAsia"/>
        </w:rPr>
        <w:t>持续的</w:t>
      </w:r>
      <w:r w:rsidRPr="009D340B">
        <w:rPr>
          <w:rFonts w:ascii="KaiTi" w:eastAsia="KaiTi" w:hAnsi="KaiTi" w:hint="eastAsia"/>
        </w:rPr>
        <w:t>专业发展。所有审查员定期参加内部和外部培训项目，</w:t>
      </w:r>
      <w:r w:rsidR="00F10BEA" w:rsidRPr="009D340B">
        <w:rPr>
          <w:rFonts w:ascii="KaiTi" w:eastAsia="KaiTi" w:hAnsi="KaiTi" w:hint="eastAsia"/>
        </w:rPr>
        <w:t>以便</w:t>
      </w:r>
      <w:r w:rsidRPr="009D340B">
        <w:rPr>
          <w:rFonts w:ascii="KaiTi" w:eastAsia="KaiTi" w:hAnsi="KaiTi" w:hint="eastAsia"/>
        </w:rPr>
        <w:t>进一步提高其技术水平以及检索和审查能力。</w:t>
      </w:r>
    </w:p>
    <w:p w14:paraId="24AAA733" w14:textId="7C1E7136" w:rsidR="00DB32CE" w:rsidRPr="009D340B" w:rsidRDefault="00F10BEA" w:rsidP="000E23F2">
      <w:pPr>
        <w:spacing w:afterLines="100" w:after="240" w:line="340" w:lineRule="atLeast"/>
        <w:ind w:left="568"/>
        <w:jc w:val="both"/>
        <w:rPr>
          <w:rFonts w:ascii="KaiTi" w:eastAsia="KaiTi" w:hAnsi="KaiTi"/>
        </w:rPr>
      </w:pPr>
      <w:r w:rsidRPr="009D340B">
        <w:rPr>
          <w:rFonts w:ascii="KaiTi" w:eastAsia="KaiTi" w:hAnsi="KaiTi" w:hint="eastAsia"/>
        </w:rPr>
        <w:lastRenderedPageBreak/>
        <w:t>按照</w:t>
      </w:r>
      <w:r w:rsidR="00DB32CE" w:rsidRPr="009D340B">
        <w:rPr>
          <w:rFonts w:ascii="KaiTi" w:eastAsia="KaiTi" w:hAnsi="KaiTi" w:hint="eastAsia"/>
        </w:rPr>
        <w:t>菲律宾公务员委员会</w:t>
      </w:r>
      <w:r w:rsidRPr="009D340B">
        <w:rPr>
          <w:rFonts w:ascii="KaiTi" w:eastAsia="KaiTi" w:hAnsi="KaiTi" w:hint="eastAsia"/>
        </w:rPr>
        <w:t>（</w:t>
      </w:r>
      <w:r w:rsidR="00DB32CE" w:rsidRPr="009D340B">
        <w:rPr>
          <w:rFonts w:ascii="KaiTi" w:eastAsia="KaiTi" w:hAnsi="KaiTi" w:hint="eastAsia"/>
        </w:rPr>
        <w:t>CSC</w:t>
      </w:r>
      <w:r w:rsidRPr="009D340B">
        <w:rPr>
          <w:rFonts w:ascii="KaiTi" w:eastAsia="KaiTi" w:hAnsi="KaiTi" w:hint="eastAsia"/>
        </w:rPr>
        <w:t>）</w:t>
      </w:r>
      <w:r w:rsidR="00DB32CE" w:rsidRPr="009D340B">
        <w:rPr>
          <w:rFonts w:ascii="KaiTi" w:eastAsia="KaiTi" w:hAnsi="KaiTi" w:hint="eastAsia"/>
        </w:rPr>
        <w:t>的要求，菲律宾知识产权局的专利审查员拥有工程、自然科学、医科及其他相关学科的学位。此外，审查员须通过专业监管委员会</w:t>
      </w:r>
      <w:r w:rsidRPr="009D340B">
        <w:rPr>
          <w:rFonts w:ascii="KaiTi" w:eastAsia="KaiTi" w:hAnsi="KaiTi" w:hint="eastAsia"/>
        </w:rPr>
        <w:t>（</w:t>
      </w:r>
      <w:r w:rsidR="00DB32CE" w:rsidRPr="009D340B">
        <w:rPr>
          <w:rFonts w:ascii="KaiTi" w:eastAsia="KaiTi" w:hAnsi="KaiTi" w:hint="eastAsia"/>
        </w:rPr>
        <w:t>PRC</w:t>
      </w:r>
      <w:r w:rsidRPr="009D340B">
        <w:rPr>
          <w:rFonts w:ascii="KaiTi" w:eastAsia="KaiTi" w:hAnsi="KaiTi" w:hint="eastAsia"/>
        </w:rPr>
        <w:t>）</w:t>
      </w:r>
      <w:r w:rsidR="00DB32CE" w:rsidRPr="009D340B">
        <w:rPr>
          <w:rFonts w:ascii="KaiTi" w:eastAsia="KaiTi" w:hAnsi="KaiTi" w:hint="eastAsia"/>
        </w:rPr>
        <w:t>管理的相应专业执照考试，和/或公务员委员会的同等专业人员职业服务考试。</w:t>
      </w:r>
    </w:p>
    <w:p w14:paraId="5A94A352" w14:textId="5C2FC364" w:rsidR="00DB32CE" w:rsidRPr="009D340B" w:rsidRDefault="00DB32CE" w:rsidP="000E23F2">
      <w:pPr>
        <w:spacing w:afterLines="100" w:after="240" w:line="340" w:lineRule="atLeast"/>
        <w:ind w:left="568"/>
        <w:jc w:val="both"/>
        <w:rPr>
          <w:rFonts w:ascii="KaiTi" w:eastAsia="KaiTi" w:hAnsi="KaiTi"/>
        </w:rPr>
      </w:pPr>
      <w:r w:rsidRPr="009D340B">
        <w:rPr>
          <w:rFonts w:ascii="KaiTi" w:eastAsia="KaiTi" w:hAnsi="KaiTi" w:hint="eastAsia"/>
        </w:rPr>
        <w:t>相当数量的审查员拥有高级学位或正在攻读研究生学位，并获得该局的全面</w:t>
      </w:r>
      <w:r w:rsidR="003E5861" w:rsidRPr="009D340B">
        <w:rPr>
          <w:rFonts w:ascii="KaiTi" w:eastAsia="KaiTi" w:hAnsi="KaiTi" w:hint="eastAsia"/>
        </w:rPr>
        <w:t>制度性</w:t>
      </w:r>
      <w:r w:rsidRPr="009D340B">
        <w:rPr>
          <w:rFonts w:ascii="KaiTi" w:eastAsia="KaiTi" w:hAnsi="KaiTi" w:hint="eastAsia"/>
        </w:rPr>
        <w:t>支持。为进一步加强技术专长，菲律宾知识产权局已与该国两所领先的</w:t>
      </w:r>
      <w:r w:rsidR="003E5861" w:rsidRPr="009D340B">
        <w:rPr>
          <w:rFonts w:ascii="KaiTi" w:eastAsia="KaiTi" w:hAnsi="KaiTi" w:hint="eastAsia"/>
        </w:rPr>
        <w:t>理工科院校</w:t>
      </w:r>
      <w:r w:rsidRPr="009D340B">
        <w:rPr>
          <w:rFonts w:ascii="KaiTi" w:eastAsia="KaiTi" w:hAnsi="KaiTi" w:hint="eastAsia"/>
        </w:rPr>
        <w:t>——玛布亚大学和德拉萨大学——建立</w:t>
      </w:r>
      <w:r w:rsidR="003E5861" w:rsidRPr="009D340B">
        <w:rPr>
          <w:rFonts w:ascii="KaiTi" w:eastAsia="KaiTi" w:hAnsi="KaiTi" w:hint="eastAsia"/>
        </w:rPr>
        <w:t>伙伴</w:t>
      </w:r>
      <w:r w:rsidRPr="009D340B">
        <w:rPr>
          <w:rFonts w:ascii="KaiTi" w:eastAsia="KaiTi" w:hAnsi="KaiTi" w:hint="eastAsia"/>
        </w:rPr>
        <w:t>关系，</w:t>
      </w:r>
      <w:r w:rsidR="003E5861" w:rsidRPr="009D340B">
        <w:rPr>
          <w:rFonts w:ascii="KaiTi" w:eastAsia="KaiTi" w:hAnsi="KaiTi" w:hint="eastAsia"/>
        </w:rPr>
        <w:t>以</w:t>
      </w:r>
      <w:r w:rsidRPr="009D340B">
        <w:rPr>
          <w:rFonts w:ascii="KaiTi" w:eastAsia="KaiTi" w:hAnsi="KaiTi" w:hint="eastAsia"/>
        </w:rPr>
        <w:t>实施专门的研究生项目。这些项目旨在</w:t>
      </w:r>
      <w:r w:rsidR="003E5861" w:rsidRPr="009D340B">
        <w:rPr>
          <w:rFonts w:ascii="KaiTi" w:eastAsia="KaiTi" w:hAnsi="KaiTi" w:hint="eastAsia"/>
        </w:rPr>
        <w:t>培养</w:t>
      </w:r>
      <w:r w:rsidRPr="009D340B">
        <w:rPr>
          <w:rFonts w:ascii="KaiTi" w:eastAsia="KaiTi" w:hAnsi="KaiTi" w:hint="eastAsia"/>
        </w:rPr>
        <w:t>审查员处理高度专业化和新兴技术领域专利申请的</w:t>
      </w:r>
      <w:r w:rsidR="007D570A" w:rsidRPr="009D340B">
        <w:rPr>
          <w:rFonts w:ascii="KaiTi" w:eastAsia="KaiTi" w:hAnsi="KaiTi" w:hint="eastAsia"/>
        </w:rPr>
        <w:t>必备</w:t>
      </w:r>
      <w:r w:rsidRPr="009D340B">
        <w:rPr>
          <w:rFonts w:ascii="KaiTi" w:eastAsia="KaiTi" w:hAnsi="KaiTi" w:hint="eastAsia"/>
        </w:rPr>
        <w:t>技术能力。</w:t>
      </w:r>
    </w:p>
    <w:p w14:paraId="2A6BF728" w14:textId="29130EAD" w:rsidR="00DB32CE" w:rsidRPr="009D340B" w:rsidRDefault="00DB32CE" w:rsidP="000E23F2">
      <w:pPr>
        <w:spacing w:afterLines="100" w:after="240" w:line="340" w:lineRule="atLeast"/>
        <w:ind w:left="568"/>
        <w:jc w:val="both"/>
        <w:rPr>
          <w:rFonts w:ascii="KaiTi" w:eastAsia="KaiTi" w:hAnsi="KaiTi"/>
        </w:rPr>
      </w:pPr>
      <w:r w:rsidRPr="009D340B">
        <w:rPr>
          <w:rFonts w:ascii="KaiTi" w:eastAsia="KaiTi" w:hAnsi="KaiTi" w:hint="eastAsia"/>
        </w:rPr>
        <w:t>通过这些</w:t>
      </w:r>
      <w:r w:rsidR="007D570A" w:rsidRPr="009D340B">
        <w:rPr>
          <w:rFonts w:ascii="KaiTi" w:eastAsia="KaiTi" w:hAnsi="KaiTi" w:hint="eastAsia"/>
        </w:rPr>
        <w:t>伙伴</w:t>
      </w:r>
      <w:r w:rsidRPr="009D340B">
        <w:rPr>
          <w:rFonts w:ascii="KaiTi" w:eastAsia="KaiTi" w:hAnsi="KaiTi" w:hint="eastAsia"/>
        </w:rPr>
        <w:t>关系，若干审查员已成功完成生物工程理学硕士项目。另有多批审查员目前正在攻读研究生学位，包括微电子理学硕士、生物学理学硕士和医学工程理学硕士。此外，其他审查员正在菲律宾其他</w:t>
      </w:r>
      <w:r w:rsidR="007D570A" w:rsidRPr="009D340B">
        <w:rPr>
          <w:rFonts w:ascii="KaiTi" w:eastAsia="KaiTi" w:hAnsi="KaiTi" w:hint="eastAsia"/>
        </w:rPr>
        <w:t>知名</w:t>
      </w:r>
      <w:r w:rsidRPr="009D340B">
        <w:rPr>
          <w:rFonts w:ascii="KaiTi" w:eastAsia="KaiTi" w:hAnsi="KaiTi" w:hint="eastAsia"/>
        </w:rPr>
        <w:t>大学</w:t>
      </w:r>
      <w:r w:rsidR="007D570A" w:rsidRPr="009D340B">
        <w:rPr>
          <w:rFonts w:ascii="KaiTi" w:eastAsia="KaiTi" w:hAnsi="KaiTi" w:hint="eastAsia"/>
        </w:rPr>
        <w:t>参加</w:t>
      </w:r>
      <w:r w:rsidRPr="009D340B">
        <w:rPr>
          <w:rFonts w:ascii="KaiTi" w:eastAsia="KaiTi" w:hAnsi="KaiTi" w:hint="eastAsia"/>
        </w:rPr>
        <w:t>硕士学位项目，还有一些审查员正在攻读法律学位，以进一步拓宽其在知识产权及相关学科方面的专业知识。</w:t>
      </w:r>
    </w:p>
    <w:p w14:paraId="49303601" w14:textId="72AFA1D7" w:rsidR="00DB32CE" w:rsidRPr="009D340B" w:rsidRDefault="00DB32CE" w:rsidP="00C000FF">
      <w:pPr>
        <w:spacing w:afterLines="100" w:after="240" w:line="340" w:lineRule="atLeast"/>
        <w:ind w:left="568"/>
        <w:jc w:val="both"/>
        <w:rPr>
          <w:rFonts w:ascii="KaiTi" w:eastAsia="KaiTi" w:hAnsi="KaiTi"/>
          <w:i/>
          <w:iCs/>
        </w:rPr>
      </w:pPr>
      <w:r w:rsidRPr="009D340B">
        <w:rPr>
          <w:rFonts w:ascii="KaiTi" w:eastAsia="KaiTi" w:hAnsi="KaiTi" w:hint="eastAsia"/>
        </w:rPr>
        <w:t>菲律宾知识产权局</w:t>
      </w:r>
      <w:r w:rsidR="007D570A" w:rsidRPr="009D340B">
        <w:rPr>
          <w:rFonts w:ascii="KaiTi" w:eastAsia="KaiTi" w:hAnsi="KaiTi" w:hint="eastAsia"/>
        </w:rPr>
        <w:t>的所有</w:t>
      </w:r>
      <w:r w:rsidRPr="009D340B">
        <w:rPr>
          <w:rFonts w:ascii="KaiTi" w:eastAsia="KaiTi" w:hAnsi="KaiTi" w:hint="eastAsia"/>
        </w:rPr>
        <w:t>审查员在经验丰富的主管的指导下工作，所有检索报告和审查报告均须接受两级过程中质量审查。部门主管拥有技术或管理领域的研究生学位——或正在完成此类项目，并拥有丰富的检索和审查经验，平均服务年限超过23年。为确保持续的技术卓越性，主管定期参加国内和国际培训项目，重点关注专利质量审查、指导和辅导，以进一步提高该局的整体审查质量和效率。</w:t>
      </w:r>
    </w:p>
    <w:p w14:paraId="6CF6CE75" w14:textId="33646CE6" w:rsidR="00E47C64" w:rsidRPr="001F6F13" w:rsidRDefault="00E47C64" w:rsidP="00882E14">
      <w:pPr>
        <w:spacing w:afterLines="100" w:after="240" w:line="340" w:lineRule="atLeast"/>
        <w:jc w:val="both"/>
        <w:rPr>
          <w:rFonts w:ascii="SimSun" w:hAnsi="SimSun"/>
          <w:b/>
          <w:bCs/>
          <w:szCs w:val="22"/>
        </w:rPr>
      </w:pPr>
      <w:r w:rsidRPr="001F6F13">
        <w:rPr>
          <w:rFonts w:ascii="SimSun" w:hAnsi="SimSun"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59762F" w:rsidRPr="00E47C64" w14:paraId="6853E474"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012AA5D4" w14:textId="0CE5D087"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机械</w:t>
            </w:r>
            <w:r w:rsidR="00E97351">
              <w:rPr>
                <w:rFonts w:ascii="SimSun" w:hAnsi="SimSun" w:hint="eastAsia"/>
              </w:rPr>
              <w:t>、土木工程和通用工程</w:t>
            </w:r>
          </w:p>
        </w:tc>
        <w:tc>
          <w:tcPr>
            <w:tcW w:w="2058" w:type="dxa"/>
            <w:tcBorders>
              <w:top w:val="single" w:sz="4" w:space="0" w:color="auto"/>
              <w:left w:val="single" w:sz="4" w:space="0" w:color="auto"/>
              <w:bottom w:val="single" w:sz="4" w:space="0" w:color="auto"/>
              <w:right w:val="single" w:sz="4" w:space="0" w:color="auto"/>
            </w:tcBorders>
          </w:tcPr>
          <w:p w14:paraId="5C286E5C" w14:textId="2904154A" w:rsidR="0059762F" w:rsidRPr="002B70E7" w:rsidRDefault="00E97351" w:rsidP="002B70E7">
            <w:pPr>
              <w:widowControl w:val="0"/>
              <w:spacing w:line="340" w:lineRule="atLeast"/>
              <w:jc w:val="center"/>
              <w:rPr>
                <w:rFonts w:ascii="SimSun" w:hAnsi="SimSun"/>
              </w:rPr>
            </w:pPr>
            <w:r>
              <w:rPr>
                <w:rFonts w:ascii="SimSun" w:hAnsi="SimSun" w:hint="eastAsia"/>
              </w:rPr>
              <w:t>29</w:t>
            </w:r>
          </w:p>
        </w:tc>
        <w:tc>
          <w:tcPr>
            <w:tcW w:w="2058" w:type="dxa"/>
            <w:tcBorders>
              <w:top w:val="single" w:sz="4" w:space="0" w:color="auto"/>
              <w:left w:val="single" w:sz="4" w:space="0" w:color="auto"/>
              <w:bottom w:val="single" w:sz="4" w:space="0" w:color="auto"/>
              <w:right w:val="single" w:sz="4" w:space="0" w:color="auto"/>
            </w:tcBorders>
          </w:tcPr>
          <w:p w14:paraId="161EB00B" w14:textId="627B2006"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E97351">
              <w:rPr>
                <w:rFonts w:ascii="SimSun" w:hAnsi="SimSun" w:hint="eastAsia"/>
              </w:rPr>
              <w:t>2</w:t>
            </w:r>
          </w:p>
        </w:tc>
        <w:tc>
          <w:tcPr>
            <w:tcW w:w="2405" w:type="dxa"/>
            <w:tcBorders>
              <w:top w:val="single" w:sz="4" w:space="0" w:color="auto"/>
              <w:left w:val="single" w:sz="4" w:space="0" w:color="auto"/>
              <w:bottom w:val="single" w:sz="4" w:space="0" w:color="auto"/>
              <w:right w:val="single" w:sz="4" w:space="0" w:color="auto"/>
            </w:tcBorders>
          </w:tcPr>
          <w:p w14:paraId="19F6D365" w14:textId="77777777" w:rsidR="00CC6CDC" w:rsidRDefault="00CC6CDC" w:rsidP="00E97351">
            <w:pPr>
              <w:spacing w:line="340" w:lineRule="atLeast"/>
              <w:jc w:val="both"/>
              <w:textAlignment w:val="center"/>
              <w:rPr>
                <w:rFonts w:ascii="SimSun"/>
              </w:rPr>
            </w:pPr>
            <w:r w:rsidRPr="00C82284">
              <w:rPr>
                <w:rFonts w:ascii="SimSun" w:hint="eastAsia"/>
              </w:rPr>
              <w:t>•</w:t>
            </w:r>
            <w:r w:rsidR="00E97351">
              <w:rPr>
                <w:rFonts w:ascii="SimSun" w:hint="eastAsia"/>
              </w:rPr>
              <w:t>理学学士毕业（</w:t>
            </w:r>
            <w:r w:rsidR="00E97351" w:rsidRPr="00E97351">
              <w:rPr>
                <w:rFonts w:ascii="SimSun"/>
              </w:rPr>
              <w:t>技术领域专业）</w:t>
            </w:r>
          </w:p>
          <w:p w14:paraId="75C43BF2" w14:textId="77777777" w:rsidR="00CC6CDC" w:rsidRDefault="00C82284" w:rsidP="00E97351">
            <w:pPr>
              <w:spacing w:line="340" w:lineRule="atLeast"/>
              <w:jc w:val="both"/>
              <w:textAlignment w:val="center"/>
              <w:rPr>
                <w:rFonts w:ascii="SimSun"/>
              </w:rPr>
            </w:pPr>
            <w:r w:rsidRPr="00C82284">
              <w:rPr>
                <w:rFonts w:ascii="SimSun" w:hint="eastAsia"/>
              </w:rPr>
              <w:t>•硕士学位</w:t>
            </w:r>
          </w:p>
          <w:p w14:paraId="4E5C8A87" w14:textId="77777777" w:rsidR="00CC6CDC" w:rsidRDefault="00C82284" w:rsidP="00E97351">
            <w:pPr>
              <w:spacing w:line="340" w:lineRule="atLeast"/>
              <w:jc w:val="both"/>
              <w:textAlignment w:val="center"/>
              <w:rPr>
                <w:rFonts w:ascii="SimSun"/>
              </w:rPr>
            </w:pPr>
            <w:r w:rsidRPr="00C82284">
              <w:rPr>
                <w:rFonts w:ascii="SimSun" w:hint="eastAsia"/>
              </w:rPr>
              <w:t>•专业执照</w:t>
            </w:r>
          </w:p>
          <w:p w14:paraId="4BF959A4" w14:textId="77777777" w:rsidR="00CC6CDC" w:rsidRDefault="00C82284" w:rsidP="00E97351">
            <w:pPr>
              <w:spacing w:line="340" w:lineRule="atLeast"/>
              <w:jc w:val="both"/>
              <w:textAlignment w:val="center"/>
              <w:rPr>
                <w:rFonts w:ascii="SimSun"/>
              </w:rPr>
            </w:pPr>
            <w:r w:rsidRPr="00C82284">
              <w:rPr>
                <w:rFonts w:ascii="SimSun" w:hint="eastAsia"/>
              </w:rPr>
              <w:t>•资格证书</w:t>
            </w:r>
          </w:p>
          <w:p w14:paraId="32545529" w14:textId="44ECA1F6" w:rsidR="0059762F" w:rsidRPr="002B70E7" w:rsidRDefault="00C82284" w:rsidP="00E97351">
            <w:pPr>
              <w:spacing w:line="340" w:lineRule="atLeast"/>
              <w:jc w:val="both"/>
              <w:textAlignment w:val="center"/>
              <w:rPr>
                <w:rFonts w:ascii="SimSun" w:hAnsi="SimSun"/>
                <w:szCs w:val="22"/>
                <w:lang w:bidi="he-IL"/>
              </w:rPr>
            </w:pPr>
            <w:r w:rsidRPr="00C82284">
              <w:rPr>
                <w:rFonts w:ascii="SimSun" w:hint="eastAsia"/>
              </w:rPr>
              <w:t>•相关领域规定的培训小时数</w:t>
            </w:r>
          </w:p>
        </w:tc>
      </w:tr>
      <w:tr w:rsidR="0059762F" w:rsidRPr="00E47C64" w14:paraId="2A429D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757018D1" w14:textId="50A8558F"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电气/电子</w:t>
            </w:r>
            <w:r w:rsidR="00C82284" w:rsidRPr="00C82284">
              <w:rPr>
                <w:rFonts w:ascii="SimSun" w:hAnsi="SimSun" w:hint="eastAsia"/>
              </w:rPr>
              <w:t>和集成电路</w:t>
            </w:r>
          </w:p>
        </w:tc>
        <w:tc>
          <w:tcPr>
            <w:tcW w:w="2058" w:type="dxa"/>
            <w:tcBorders>
              <w:top w:val="single" w:sz="4" w:space="0" w:color="auto"/>
              <w:left w:val="single" w:sz="4" w:space="0" w:color="auto"/>
              <w:bottom w:val="single" w:sz="4" w:space="0" w:color="auto"/>
              <w:right w:val="single" w:sz="4" w:space="0" w:color="auto"/>
            </w:tcBorders>
          </w:tcPr>
          <w:p w14:paraId="68751298" w14:textId="3821A154" w:rsidR="0059762F" w:rsidRPr="002B70E7" w:rsidRDefault="00CC6CDC" w:rsidP="002B70E7">
            <w:pPr>
              <w:widowControl w:val="0"/>
              <w:spacing w:line="340" w:lineRule="atLeast"/>
              <w:jc w:val="center"/>
              <w:rPr>
                <w:rFonts w:ascii="SimSun" w:hAnsi="SimSun"/>
              </w:rPr>
            </w:pPr>
            <w:r>
              <w:rPr>
                <w:rFonts w:ascii="SimSun" w:hAnsi="SimSun" w:hint="eastAsia"/>
              </w:rPr>
              <w:t>35</w:t>
            </w:r>
          </w:p>
        </w:tc>
        <w:tc>
          <w:tcPr>
            <w:tcW w:w="2058" w:type="dxa"/>
            <w:tcBorders>
              <w:top w:val="single" w:sz="4" w:space="0" w:color="auto"/>
              <w:left w:val="single" w:sz="4" w:space="0" w:color="auto"/>
              <w:bottom w:val="single" w:sz="4" w:space="0" w:color="auto"/>
              <w:right w:val="single" w:sz="4" w:space="0" w:color="auto"/>
            </w:tcBorders>
          </w:tcPr>
          <w:p w14:paraId="6E57370B" w14:textId="32EE9AAB"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11</w:t>
            </w:r>
          </w:p>
        </w:tc>
        <w:tc>
          <w:tcPr>
            <w:tcW w:w="2405" w:type="dxa"/>
            <w:tcBorders>
              <w:top w:val="single" w:sz="4" w:space="0" w:color="auto"/>
              <w:left w:val="single" w:sz="4" w:space="0" w:color="auto"/>
              <w:bottom w:val="single" w:sz="4" w:space="0" w:color="auto"/>
              <w:right w:val="single" w:sz="4" w:space="0" w:color="auto"/>
            </w:tcBorders>
          </w:tcPr>
          <w:p w14:paraId="4B848C79" w14:textId="77777777" w:rsidR="00121439" w:rsidRDefault="00C82284" w:rsidP="002B70E7">
            <w:pPr>
              <w:spacing w:line="340" w:lineRule="atLeast"/>
              <w:jc w:val="both"/>
              <w:textAlignment w:val="center"/>
              <w:rPr>
                <w:rFonts w:ascii="SimSun"/>
              </w:rPr>
            </w:pPr>
            <w:r w:rsidRPr="00C82284">
              <w:rPr>
                <w:rFonts w:ascii="SimSun" w:hint="eastAsia"/>
              </w:rPr>
              <w:t>•理学学士毕业（技术领域专业）</w:t>
            </w:r>
          </w:p>
          <w:p w14:paraId="6271CBD5" w14:textId="77777777" w:rsidR="00121439" w:rsidRDefault="00C82284" w:rsidP="002B70E7">
            <w:pPr>
              <w:spacing w:line="340" w:lineRule="atLeast"/>
              <w:jc w:val="both"/>
              <w:textAlignment w:val="center"/>
              <w:rPr>
                <w:rFonts w:ascii="SimSun"/>
              </w:rPr>
            </w:pPr>
            <w:r w:rsidRPr="00C82284">
              <w:rPr>
                <w:rFonts w:ascii="SimSun" w:hint="eastAsia"/>
              </w:rPr>
              <w:t>•硕士学位</w:t>
            </w:r>
          </w:p>
          <w:p w14:paraId="38E0A7C3" w14:textId="77777777" w:rsidR="00121439" w:rsidRDefault="00C82284" w:rsidP="00121439">
            <w:pPr>
              <w:spacing w:line="340" w:lineRule="atLeast"/>
              <w:jc w:val="both"/>
              <w:textAlignment w:val="center"/>
              <w:rPr>
                <w:rFonts w:ascii="SimSun"/>
              </w:rPr>
            </w:pPr>
            <w:r w:rsidRPr="00C82284">
              <w:rPr>
                <w:rFonts w:ascii="SimSun" w:hint="eastAsia"/>
              </w:rPr>
              <w:t>•专业执照</w:t>
            </w:r>
          </w:p>
          <w:p w14:paraId="43B0C0A8" w14:textId="77777777" w:rsidR="00121439" w:rsidRDefault="00C82284" w:rsidP="00121439">
            <w:pPr>
              <w:spacing w:line="340" w:lineRule="atLeast"/>
              <w:jc w:val="both"/>
              <w:textAlignment w:val="center"/>
              <w:rPr>
                <w:rFonts w:ascii="SimSun"/>
              </w:rPr>
            </w:pPr>
            <w:r w:rsidRPr="00C82284">
              <w:rPr>
                <w:rFonts w:ascii="SimSun" w:hint="eastAsia"/>
              </w:rPr>
              <w:t>•资格证书</w:t>
            </w:r>
          </w:p>
          <w:p w14:paraId="22E79B6E" w14:textId="6EDBBD6D" w:rsidR="0059762F" w:rsidRPr="00121439" w:rsidRDefault="00C82284" w:rsidP="00121439">
            <w:pPr>
              <w:spacing w:line="340" w:lineRule="atLeast"/>
              <w:jc w:val="both"/>
              <w:textAlignment w:val="center"/>
              <w:rPr>
                <w:rFonts w:ascii="SimSun"/>
              </w:rPr>
            </w:pPr>
            <w:r w:rsidRPr="00C82284">
              <w:rPr>
                <w:rFonts w:ascii="SimSun" w:hint="eastAsia"/>
              </w:rPr>
              <w:t>•相关领域规定的培训小时数</w:t>
            </w:r>
          </w:p>
        </w:tc>
      </w:tr>
      <w:tr w:rsidR="00121439" w:rsidRPr="00E47C64" w14:paraId="3678F026"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99AB13" w14:textId="6644706C" w:rsidR="00121439" w:rsidRPr="002B70E7" w:rsidRDefault="00121439" w:rsidP="00121439">
            <w:pPr>
              <w:widowControl w:val="0"/>
              <w:spacing w:line="340" w:lineRule="atLeast"/>
              <w:jc w:val="both"/>
              <w:rPr>
                <w:rFonts w:ascii="SimSun" w:hAnsi="SimSun"/>
                <w:szCs w:val="22"/>
                <w:lang w:bidi="he-IL"/>
              </w:rPr>
            </w:pPr>
            <w:r w:rsidRPr="002B70E7">
              <w:rPr>
                <w:rFonts w:ascii="SimSun" w:hAnsi="SimSun" w:hint="eastAsia"/>
              </w:rPr>
              <w:t>化学</w:t>
            </w:r>
            <w:r w:rsidRPr="00537343">
              <w:rPr>
                <w:rFonts w:ascii="SimSun" w:hAnsi="SimSun" w:hint="eastAsia"/>
              </w:rPr>
              <w:t>和化学技术</w:t>
            </w:r>
          </w:p>
        </w:tc>
        <w:tc>
          <w:tcPr>
            <w:tcW w:w="2058" w:type="dxa"/>
            <w:tcBorders>
              <w:top w:val="single" w:sz="4" w:space="0" w:color="auto"/>
              <w:left w:val="single" w:sz="4" w:space="0" w:color="auto"/>
              <w:bottom w:val="single" w:sz="4" w:space="0" w:color="auto"/>
              <w:right w:val="single" w:sz="4" w:space="0" w:color="auto"/>
            </w:tcBorders>
          </w:tcPr>
          <w:p w14:paraId="1A44EDC4" w14:textId="31611BF1" w:rsidR="00121439" w:rsidRPr="002B70E7" w:rsidRDefault="00E859DE" w:rsidP="00121439">
            <w:pPr>
              <w:widowControl w:val="0"/>
              <w:spacing w:line="340" w:lineRule="atLeast"/>
              <w:jc w:val="center"/>
              <w:rPr>
                <w:rFonts w:ascii="SimSun" w:hAnsi="SimSun"/>
              </w:rPr>
            </w:pPr>
            <w:r>
              <w:rPr>
                <w:rFonts w:ascii="SimSun" w:hAnsi="SimSun" w:hint="eastAsia"/>
              </w:rPr>
              <w:t>30</w:t>
            </w:r>
          </w:p>
        </w:tc>
        <w:tc>
          <w:tcPr>
            <w:tcW w:w="2058" w:type="dxa"/>
            <w:tcBorders>
              <w:top w:val="single" w:sz="4" w:space="0" w:color="auto"/>
              <w:left w:val="single" w:sz="4" w:space="0" w:color="auto"/>
              <w:bottom w:val="single" w:sz="4" w:space="0" w:color="auto"/>
              <w:right w:val="single" w:sz="4" w:space="0" w:color="auto"/>
            </w:tcBorders>
          </w:tcPr>
          <w:p w14:paraId="61624753" w14:textId="5A442CF1" w:rsidR="00121439" w:rsidRPr="002B70E7" w:rsidRDefault="00121439" w:rsidP="00121439">
            <w:pPr>
              <w:widowControl w:val="0"/>
              <w:spacing w:line="340" w:lineRule="atLeast"/>
              <w:jc w:val="center"/>
              <w:rPr>
                <w:rFonts w:ascii="SimSun" w:hAnsi="SimSun"/>
                <w:szCs w:val="22"/>
                <w:lang w:bidi="he-IL"/>
              </w:rPr>
            </w:pPr>
            <w:r w:rsidRPr="002B70E7">
              <w:rPr>
                <w:rFonts w:ascii="SimSun" w:hAnsi="SimSun" w:hint="eastAsia"/>
              </w:rPr>
              <w:t>1</w:t>
            </w:r>
            <w:r w:rsidR="00E859DE">
              <w:rPr>
                <w:rFonts w:ascii="SimSun" w:hAnsi="SimSun" w:hint="eastAsia"/>
              </w:rPr>
              <w:t>4</w:t>
            </w:r>
          </w:p>
        </w:tc>
        <w:tc>
          <w:tcPr>
            <w:tcW w:w="2405" w:type="dxa"/>
            <w:tcBorders>
              <w:top w:val="single" w:sz="4" w:space="0" w:color="auto"/>
              <w:left w:val="single" w:sz="4" w:space="0" w:color="auto"/>
              <w:bottom w:val="single" w:sz="4" w:space="0" w:color="auto"/>
              <w:right w:val="single" w:sz="4" w:space="0" w:color="auto"/>
            </w:tcBorders>
          </w:tcPr>
          <w:p w14:paraId="61E1311D" w14:textId="77777777" w:rsidR="00121439" w:rsidRDefault="00121439" w:rsidP="00121439">
            <w:pPr>
              <w:spacing w:line="340" w:lineRule="atLeast"/>
              <w:jc w:val="both"/>
              <w:textAlignment w:val="center"/>
              <w:rPr>
                <w:rFonts w:ascii="SimSun"/>
              </w:rPr>
            </w:pPr>
            <w:r w:rsidRPr="00C82284">
              <w:rPr>
                <w:rFonts w:ascii="SimSun" w:hint="eastAsia"/>
              </w:rPr>
              <w:t>•理学学士毕业（技术领域专业）</w:t>
            </w:r>
          </w:p>
          <w:p w14:paraId="17261D33" w14:textId="77777777" w:rsidR="00121439" w:rsidRDefault="00121439" w:rsidP="00121439">
            <w:pPr>
              <w:spacing w:line="340" w:lineRule="atLeast"/>
              <w:jc w:val="both"/>
              <w:textAlignment w:val="center"/>
              <w:rPr>
                <w:rFonts w:ascii="SimSun"/>
              </w:rPr>
            </w:pPr>
            <w:r w:rsidRPr="00C82284">
              <w:rPr>
                <w:rFonts w:ascii="SimSun" w:hint="eastAsia"/>
              </w:rPr>
              <w:t>•硕士学位</w:t>
            </w:r>
          </w:p>
          <w:p w14:paraId="2C3AE414" w14:textId="77777777" w:rsidR="00121439" w:rsidRDefault="00121439" w:rsidP="00121439">
            <w:pPr>
              <w:spacing w:line="340" w:lineRule="atLeast"/>
              <w:jc w:val="both"/>
              <w:textAlignment w:val="center"/>
              <w:rPr>
                <w:rFonts w:ascii="SimSun"/>
              </w:rPr>
            </w:pPr>
            <w:r w:rsidRPr="00C82284">
              <w:rPr>
                <w:rFonts w:ascii="SimSun" w:hint="eastAsia"/>
              </w:rPr>
              <w:t>•专业执照</w:t>
            </w:r>
          </w:p>
          <w:p w14:paraId="6A4C8FBB" w14:textId="77777777" w:rsidR="00121439" w:rsidRDefault="00121439" w:rsidP="00121439">
            <w:pPr>
              <w:spacing w:line="340" w:lineRule="atLeast"/>
              <w:jc w:val="both"/>
              <w:textAlignment w:val="center"/>
              <w:rPr>
                <w:rFonts w:ascii="SimSun"/>
              </w:rPr>
            </w:pPr>
            <w:r w:rsidRPr="00C82284">
              <w:rPr>
                <w:rFonts w:ascii="SimSun" w:hint="eastAsia"/>
              </w:rPr>
              <w:lastRenderedPageBreak/>
              <w:t>•资格证书</w:t>
            </w:r>
          </w:p>
          <w:p w14:paraId="1257342A" w14:textId="1632E92E" w:rsidR="00121439" w:rsidRPr="002B70E7" w:rsidRDefault="00121439" w:rsidP="00121439">
            <w:pPr>
              <w:spacing w:line="340" w:lineRule="atLeast"/>
              <w:jc w:val="both"/>
              <w:textAlignment w:val="center"/>
              <w:rPr>
                <w:rFonts w:ascii="SimSun" w:hAnsi="SimSun"/>
                <w:szCs w:val="22"/>
                <w:lang w:bidi="he-IL"/>
              </w:rPr>
            </w:pPr>
            <w:r w:rsidRPr="00C82284">
              <w:rPr>
                <w:rFonts w:ascii="SimSun" w:hint="eastAsia"/>
              </w:rPr>
              <w:t>•相关领域规定的培训小时数</w:t>
            </w:r>
          </w:p>
        </w:tc>
      </w:tr>
      <w:tr w:rsidR="00121439" w:rsidRPr="00E47C64" w14:paraId="0910B5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A1A0D1" w14:textId="002AE05A" w:rsidR="00121439" w:rsidRPr="002B70E7" w:rsidRDefault="00121439" w:rsidP="00121439">
            <w:pPr>
              <w:widowControl w:val="0"/>
              <w:spacing w:line="340" w:lineRule="atLeast"/>
              <w:jc w:val="both"/>
              <w:rPr>
                <w:rFonts w:ascii="SimSun" w:hAnsi="SimSun"/>
                <w:szCs w:val="22"/>
                <w:lang w:bidi="he-IL"/>
              </w:rPr>
            </w:pPr>
            <w:r w:rsidRPr="002B70E7">
              <w:rPr>
                <w:rFonts w:ascii="SimSun" w:hAnsi="SimSun" w:hint="eastAsia"/>
              </w:rPr>
              <w:lastRenderedPageBreak/>
              <w:t>生物技术</w:t>
            </w:r>
            <w:r w:rsidRPr="00537343">
              <w:rPr>
                <w:rFonts w:ascii="SimSun" w:hAnsi="SimSun" w:hint="eastAsia"/>
              </w:rPr>
              <w:t>——制药、农业</w:t>
            </w:r>
          </w:p>
        </w:tc>
        <w:tc>
          <w:tcPr>
            <w:tcW w:w="2058" w:type="dxa"/>
            <w:tcBorders>
              <w:top w:val="single" w:sz="4" w:space="0" w:color="auto"/>
              <w:left w:val="single" w:sz="4" w:space="0" w:color="auto"/>
              <w:bottom w:val="single" w:sz="4" w:space="0" w:color="auto"/>
              <w:right w:val="single" w:sz="4" w:space="0" w:color="auto"/>
            </w:tcBorders>
          </w:tcPr>
          <w:p w14:paraId="4BA368E9" w14:textId="3FBA230B" w:rsidR="00121439" w:rsidRPr="002B70E7" w:rsidRDefault="00E859DE" w:rsidP="00121439">
            <w:pPr>
              <w:widowControl w:val="0"/>
              <w:spacing w:line="340" w:lineRule="atLeast"/>
              <w:jc w:val="center"/>
              <w:rPr>
                <w:rFonts w:ascii="SimSun" w:hAnsi="SimSun"/>
              </w:rPr>
            </w:pPr>
            <w:r>
              <w:rPr>
                <w:rFonts w:ascii="SimSun" w:hAnsi="SimSun" w:hint="eastAsia"/>
              </w:rPr>
              <w:t>28</w:t>
            </w:r>
          </w:p>
        </w:tc>
        <w:tc>
          <w:tcPr>
            <w:tcW w:w="2058" w:type="dxa"/>
            <w:tcBorders>
              <w:top w:val="single" w:sz="4" w:space="0" w:color="auto"/>
              <w:left w:val="single" w:sz="4" w:space="0" w:color="auto"/>
              <w:bottom w:val="single" w:sz="4" w:space="0" w:color="auto"/>
              <w:right w:val="single" w:sz="4" w:space="0" w:color="auto"/>
            </w:tcBorders>
          </w:tcPr>
          <w:p w14:paraId="56FC9D91" w14:textId="275411F5" w:rsidR="00121439" w:rsidRPr="002B70E7" w:rsidRDefault="00E859DE" w:rsidP="00121439">
            <w:pPr>
              <w:widowControl w:val="0"/>
              <w:spacing w:line="340" w:lineRule="atLeast"/>
              <w:jc w:val="center"/>
              <w:rPr>
                <w:rFonts w:ascii="SimSun" w:hAnsi="SimSun"/>
                <w:szCs w:val="22"/>
                <w:lang w:bidi="he-IL"/>
              </w:rPr>
            </w:pPr>
            <w:r>
              <w:rPr>
                <w:rFonts w:ascii="SimSun" w:hAnsi="SimSun" w:hint="eastAsia"/>
                <w:szCs w:val="22"/>
                <w:lang w:bidi="he-IL"/>
              </w:rPr>
              <w:t>12</w:t>
            </w:r>
          </w:p>
        </w:tc>
        <w:tc>
          <w:tcPr>
            <w:tcW w:w="2405" w:type="dxa"/>
            <w:tcBorders>
              <w:top w:val="single" w:sz="4" w:space="0" w:color="auto"/>
              <w:left w:val="single" w:sz="4" w:space="0" w:color="auto"/>
              <w:bottom w:val="single" w:sz="4" w:space="0" w:color="auto"/>
              <w:right w:val="single" w:sz="4" w:space="0" w:color="auto"/>
            </w:tcBorders>
          </w:tcPr>
          <w:p w14:paraId="2E16A4F6" w14:textId="77777777" w:rsidR="00121439" w:rsidRDefault="00121439" w:rsidP="00121439">
            <w:pPr>
              <w:spacing w:line="340" w:lineRule="atLeast"/>
              <w:jc w:val="both"/>
              <w:textAlignment w:val="center"/>
              <w:rPr>
                <w:rFonts w:ascii="SimSun"/>
              </w:rPr>
            </w:pPr>
            <w:r w:rsidRPr="00C82284">
              <w:rPr>
                <w:rFonts w:ascii="SimSun" w:hint="eastAsia"/>
              </w:rPr>
              <w:t>•理学学士毕业（技术领域专业）</w:t>
            </w:r>
          </w:p>
          <w:p w14:paraId="35C335B4" w14:textId="77777777" w:rsidR="00121439" w:rsidRDefault="00121439" w:rsidP="00121439">
            <w:pPr>
              <w:spacing w:line="340" w:lineRule="atLeast"/>
              <w:jc w:val="both"/>
              <w:textAlignment w:val="center"/>
              <w:rPr>
                <w:rFonts w:ascii="SimSun"/>
              </w:rPr>
            </w:pPr>
            <w:r w:rsidRPr="00C82284">
              <w:rPr>
                <w:rFonts w:ascii="SimSun" w:hint="eastAsia"/>
              </w:rPr>
              <w:t>•硕士学位</w:t>
            </w:r>
          </w:p>
          <w:p w14:paraId="1CF0070B" w14:textId="77777777" w:rsidR="00121439" w:rsidRDefault="00121439" w:rsidP="00121439">
            <w:pPr>
              <w:spacing w:line="340" w:lineRule="atLeast"/>
              <w:jc w:val="both"/>
              <w:textAlignment w:val="center"/>
              <w:rPr>
                <w:rFonts w:ascii="SimSun"/>
              </w:rPr>
            </w:pPr>
            <w:r w:rsidRPr="00C82284">
              <w:rPr>
                <w:rFonts w:ascii="SimSun" w:hint="eastAsia"/>
              </w:rPr>
              <w:t>•专业执照</w:t>
            </w:r>
          </w:p>
          <w:p w14:paraId="3F4B03DE" w14:textId="77777777" w:rsidR="00121439" w:rsidRDefault="00121439" w:rsidP="00121439">
            <w:pPr>
              <w:spacing w:line="340" w:lineRule="atLeast"/>
              <w:jc w:val="both"/>
              <w:textAlignment w:val="center"/>
              <w:rPr>
                <w:rFonts w:ascii="SimSun"/>
              </w:rPr>
            </w:pPr>
            <w:r w:rsidRPr="00C82284">
              <w:rPr>
                <w:rFonts w:ascii="SimSun" w:hint="eastAsia"/>
              </w:rPr>
              <w:t>•资格证书</w:t>
            </w:r>
          </w:p>
          <w:p w14:paraId="3435A53C" w14:textId="3BE03171" w:rsidR="00121439" w:rsidRPr="002B70E7" w:rsidRDefault="00121439" w:rsidP="00121439">
            <w:pPr>
              <w:spacing w:line="340" w:lineRule="atLeast"/>
              <w:jc w:val="both"/>
              <w:textAlignment w:val="center"/>
              <w:rPr>
                <w:rFonts w:ascii="SimSun" w:hAnsi="SimSun"/>
                <w:szCs w:val="22"/>
                <w:lang w:bidi="he-IL"/>
              </w:rPr>
            </w:pPr>
            <w:r w:rsidRPr="00C82284">
              <w:rPr>
                <w:rFonts w:ascii="SimSun" w:hint="eastAsia"/>
              </w:rPr>
              <w:t>•相关领域规定的培训小时数</w:t>
            </w:r>
          </w:p>
        </w:tc>
      </w:tr>
      <w:tr w:rsidR="00121439" w:rsidRPr="00E47C64" w14:paraId="6D5D2799"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121439" w:rsidRPr="00E47C64" w:rsidRDefault="00121439" w:rsidP="00121439">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34B62B33" w:rsidR="00121439" w:rsidRPr="00E47C64" w:rsidRDefault="00121439" w:rsidP="00121439">
            <w:pPr>
              <w:widowControl w:val="0"/>
              <w:spacing w:line="340" w:lineRule="atLeast"/>
              <w:jc w:val="center"/>
              <w:rPr>
                <w:rFonts w:ascii="KaiTi" w:eastAsia="KaiTi" w:hAnsi="KaiTi"/>
              </w:rPr>
            </w:pPr>
            <w:r w:rsidRPr="00152AEF">
              <w:rPr>
                <w:rFonts w:ascii="KaiTi" w:eastAsia="KaiTi" w:hAnsi="KaiTi" w:hint="eastAsia"/>
              </w:rPr>
              <w:t>1</w:t>
            </w:r>
            <w:r w:rsidR="00E859DE">
              <w:rPr>
                <w:rFonts w:ascii="KaiTi" w:eastAsia="KaiTi" w:hAnsi="KaiTi" w:hint="eastAsia"/>
              </w:rPr>
              <w:t>22</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121439" w:rsidRPr="00E47C64" w:rsidRDefault="00121439" w:rsidP="00121439">
            <w:pPr>
              <w:suppressAutoHyphens/>
              <w:spacing w:line="340" w:lineRule="atLeast"/>
              <w:jc w:val="center"/>
              <w:rPr>
                <w:rFonts w:ascii="KaiTi" w:eastAsia="KaiTi" w:hAnsi="KaiTi"/>
                <w:iCs/>
                <w:szCs w:val="22"/>
                <w:lang w:bidi="he-IL"/>
              </w:rPr>
            </w:pP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121439" w:rsidRPr="00E47C64" w:rsidRDefault="00121439" w:rsidP="00121439">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32F0241A" w14:textId="360473EC" w:rsidR="00B50A19" w:rsidRDefault="00E859DE" w:rsidP="000E23F2">
      <w:pPr>
        <w:spacing w:afterLines="100" w:after="240" w:line="340" w:lineRule="atLeast"/>
        <w:ind w:left="567"/>
        <w:jc w:val="both"/>
        <w:rPr>
          <w:rFonts w:ascii="KaiTi" w:eastAsia="KaiTi" w:hAnsi="KaiTi"/>
          <w:bCs/>
        </w:rPr>
      </w:pPr>
      <w:r w:rsidRPr="00E859DE">
        <w:rPr>
          <w:rFonts w:ascii="KaiTi" w:eastAsia="KaiTi" w:hAnsi="KaiTi" w:hint="eastAsia"/>
          <w:bCs/>
        </w:rPr>
        <w:t>关于PCT细则36.1(iii)和63.1(iii)</w:t>
      </w:r>
      <w:r w:rsidR="00B50A19" w:rsidRPr="00B50A19">
        <w:rPr>
          <w:rFonts w:ascii="KaiTi" w:eastAsia="KaiTi" w:hAnsi="KaiTi" w:hint="eastAsia"/>
          <w:bCs/>
        </w:rPr>
        <w:t>要求审查员具有至少能够理解用来撰写或者翻译细则34中所述最低限度文献的语言的语言能力，</w:t>
      </w:r>
      <w:r w:rsidR="00B50A19" w:rsidRPr="00E859DE">
        <w:rPr>
          <w:rFonts w:ascii="KaiTi" w:eastAsia="KaiTi" w:hAnsi="KaiTi" w:hint="eastAsia"/>
          <w:bCs/>
        </w:rPr>
        <w:t>菲律宾知识产权局</w:t>
      </w:r>
      <w:r w:rsidR="00B50A19" w:rsidRPr="00B50A19">
        <w:rPr>
          <w:rFonts w:ascii="KaiTi" w:eastAsia="KaiTi" w:hAnsi="KaiTi" w:hint="eastAsia"/>
          <w:bCs/>
        </w:rPr>
        <w:t>的审查员对于广泛使用的英</w:t>
      </w:r>
      <w:r w:rsidR="00B50A19">
        <w:rPr>
          <w:rFonts w:ascii="KaiTi" w:eastAsia="KaiTi" w:hAnsi="KaiTi" w:hint="eastAsia"/>
          <w:bCs/>
        </w:rPr>
        <w:t>文</w:t>
      </w:r>
      <w:r w:rsidR="00B50A19" w:rsidRPr="00B50A19">
        <w:rPr>
          <w:rFonts w:ascii="KaiTi" w:eastAsia="KaiTi" w:hAnsi="KaiTi" w:hint="eastAsia"/>
          <w:bCs/>
        </w:rPr>
        <w:t>具有很高的技能和理解力。</w:t>
      </w:r>
    </w:p>
    <w:p w14:paraId="45F63A99" w14:textId="7B447F51" w:rsidR="00E859DE" w:rsidRDefault="00E859DE" w:rsidP="000E23F2">
      <w:pPr>
        <w:spacing w:afterLines="100" w:after="240" w:line="340" w:lineRule="atLeast"/>
        <w:ind w:left="567"/>
        <w:jc w:val="both"/>
        <w:rPr>
          <w:rFonts w:ascii="SimSun" w:hAnsi="SimSun"/>
          <w:bCs/>
        </w:rPr>
      </w:pPr>
      <w:r w:rsidRPr="00E859DE">
        <w:rPr>
          <w:rFonts w:ascii="KaiTi" w:eastAsia="KaiTi" w:hAnsi="KaiTi" w:hint="eastAsia"/>
          <w:bCs/>
        </w:rPr>
        <w:t>菲律宾知识产权局的所有审查员均精通菲律宾文和英文的口语和</w:t>
      </w:r>
      <w:r w:rsidR="00B50A19">
        <w:rPr>
          <w:rFonts w:ascii="KaiTi" w:eastAsia="KaiTi" w:hAnsi="KaiTi" w:hint="eastAsia"/>
          <w:bCs/>
        </w:rPr>
        <w:t>书写</w:t>
      </w:r>
      <w:r w:rsidRPr="00E859DE">
        <w:rPr>
          <w:rFonts w:ascii="KaiTi" w:eastAsia="KaiTi" w:hAnsi="KaiTi" w:hint="eastAsia"/>
          <w:bCs/>
        </w:rPr>
        <w:t>。所有审查员均</w:t>
      </w:r>
      <w:r w:rsidR="00B50A19">
        <w:rPr>
          <w:rFonts w:ascii="KaiTi" w:eastAsia="KaiTi" w:hAnsi="KaiTi" w:hint="eastAsia"/>
          <w:bCs/>
        </w:rPr>
        <w:t>具备</w:t>
      </w:r>
      <w:r w:rsidRPr="00E859DE">
        <w:rPr>
          <w:rFonts w:ascii="KaiTi" w:eastAsia="KaiTi" w:hAnsi="KaiTi" w:hint="eastAsia"/>
          <w:bCs/>
        </w:rPr>
        <w:t>高水平的英文</w:t>
      </w:r>
      <w:r w:rsidR="00B50A19">
        <w:rPr>
          <w:rFonts w:ascii="KaiTi" w:eastAsia="KaiTi" w:hAnsi="KaiTi" w:hint="eastAsia"/>
          <w:bCs/>
        </w:rPr>
        <w:t>能力</w:t>
      </w:r>
      <w:r w:rsidRPr="00E859DE">
        <w:rPr>
          <w:rFonts w:ascii="KaiTi" w:eastAsia="KaiTi" w:hAnsi="KaiTi" w:hint="eastAsia"/>
          <w:bCs/>
        </w:rPr>
        <w:t>和技术理解能力，而英文是PCT申请所使用的主要</w:t>
      </w:r>
      <w:r w:rsidR="00B50A19">
        <w:rPr>
          <w:rFonts w:ascii="KaiTi" w:eastAsia="KaiTi" w:hAnsi="KaiTi" w:hint="eastAsia"/>
          <w:bCs/>
        </w:rPr>
        <w:t>语言</w:t>
      </w:r>
      <w:r w:rsidRPr="00E859DE">
        <w:rPr>
          <w:rFonts w:ascii="KaiTi" w:eastAsia="KaiTi" w:hAnsi="KaiTi" w:hint="eastAsia"/>
          <w:bCs/>
        </w:rPr>
        <w:t>之一。在菲律宾，英文作为官方</w:t>
      </w:r>
      <w:r w:rsidR="00B50A19">
        <w:rPr>
          <w:rFonts w:ascii="KaiTi" w:eastAsia="KaiTi" w:hAnsi="KaiTi" w:hint="eastAsia"/>
          <w:bCs/>
        </w:rPr>
        <w:t>语言</w:t>
      </w:r>
      <w:r w:rsidRPr="00E859DE">
        <w:rPr>
          <w:rFonts w:ascii="KaiTi" w:eastAsia="KaiTi" w:hAnsi="KaiTi" w:hint="eastAsia"/>
          <w:bCs/>
        </w:rPr>
        <w:t>，通常用于政府事务、商业通信和学术教学，从而确保审查员完全有能力以英文准确、清晰地进行检索、审查</w:t>
      </w:r>
      <w:r w:rsidR="00B50A19">
        <w:rPr>
          <w:rFonts w:ascii="KaiTi" w:eastAsia="KaiTi" w:hAnsi="KaiTi" w:hint="eastAsia"/>
          <w:bCs/>
        </w:rPr>
        <w:t>并</w:t>
      </w:r>
      <w:r w:rsidRPr="00E859DE">
        <w:rPr>
          <w:rFonts w:ascii="KaiTi" w:eastAsia="KaiTi" w:hAnsi="KaiTi" w:hint="eastAsia"/>
          <w:bCs/>
        </w:rPr>
        <w:t>编写报告。</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2B70099D"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"https://www.wipo.int/export/sites/www/pct/en/docs/circulars/2024/1672.pdf"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164305EB" w:rsidR="00E47C64" w:rsidRPr="00E47C64" w:rsidRDefault="00981770"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sidRPr="005F0E70">
        <w:rPr>
          <w:rFonts w:ascii="SimSun" w:hAnsi="SimSun"/>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r w:rsidR="006E0951">
        <w:rPr>
          <w:rFonts w:ascii="SimSun" w:hAnsi="SimSun" w:hint="eastAsia"/>
          <w:szCs w:val="22"/>
        </w:rPr>
        <w:t>，</w:t>
      </w:r>
      <w:r w:rsidR="006E0951" w:rsidRPr="006E0951">
        <w:rPr>
          <w:rFonts w:ascii="SimSun" w:hAnsi="SimSun" w:hint="eastAsia"/>
          <w:szCs w:val="22"/>
        </w:rPr>
        <w:t>并且一份更正已于2025年11月27日在《PCT公报》上</w:t>
      </w:r>
      <w:r w:rsidR="006E0951">
        <w:rPr>
          <w:rFonts w:ascii="SimSun" w:hAnsi="SimSun" w:hint="eastAsia"/>
          <w:szCs w:val="22"/>
        </w:rPr>
        <w:t>公布，网址分别是</w:t>
      </w:r>
      <w:r w:rsidR="00E47C64" w:rsidRPr="00E47C64">
        <w:rPr>
          <w:rFonts w:ascii="SimSun" w:hAnsi="SimSun" w:hint="eastAsia"/>
          <w:szCs w:val="22"/>
        </w:rPr>
        <w:t>：</w:t>
      </w:r>
      <w:hyperlink r:id="rId10" w:anchor="page=201" w:history="1">
        <w:r w:rsidR="006E0951" w:rsidRPr="005F0E70">
          <w:rPr>
            <w:rStyle w:val="Hyperlink"/>
            <w:rFonts w:ascii="SimSun" w:hAnsi="SimSun"/>
          </w:rPr>
          <w:t>https://www.wipo.int/documents/d/pct-system/docs-en-official-notices-officialnotices.pdf#page=201</w:t>
        </w:r>
      </w:hyperlink>
      <w:r w:rsidR="006E0951" w:rsidRPr="005F0E70">
        <w:rPr>
          <w:rFonts w:ascii="SimSun" w:hAnsi="SimSun" w:hint="eastAsia"/>
        </w:rPr>
        <w:t>和</w:t>
      </w:r>
      <w:r w:rsidR="006E0951" w:rsidRPr="005F0E70">
        <w:rPr>
          <w:rFonts w:ascii="SimSun" w:hAnsi="SimSun"/>
        </w:rPr>
        <w:fldChar w:fldCharType="begin"/>
      </w:r>
      <w:r w:rsidR="006E0951" w:rsidRPr="005F0E70">
        <w:rPr>
          <w:rFonts w:ascii="SimSun" w:hAnsi="SimSun"/>
        </w:rPr>
        <w:instrText>HYPERLINK "https://www.wipo.int/documents/d/pct-system/docs-en-official-notices-officialnotices.pdf" \l "page=247"</w:instrText>
      </w:r>
      <w:r w:rsidR="00003F18" w:rsidRPr="005F0E70">
        <w:rPr>
          <w:rFonts w:ascii="SimSun" w:hAnsi="SimSun"/>
        </w:rPr>
      </w:r>
      <w:r w:rsidR="006E0951" w:rsidRPr="005F0E70">
        <w:rPr>
          <w:rFonts w:ascii="SimSun" w:hAnsi="SimSun"/>
        </w:rPr>
        <w:fldChar w:fldCharType="separate"/>
      </w:r>
      <w:r w:rsidR="006E0951" w:rsidRPr="005F0E70">
        <w:rPr>
          <w:rStyle w:val="Hyperlink"/>
          <w:rFonts w:ascii="SimSun" w:hAnsi="SimSun"/>
        </w:rPr>
        <w:t>https://www.wipo.int/documents/d/pct-system/docs-en-official-notices-officialnotices.pdf#page=247</w:t>
      </w:r>
      <w:r w:rsidR="006E0951" w:rsidRPr="005F0E70">
        <w:rPr>
          <w:rFonts w:ascii="SimSun" w:hAnsi="SimSun"/>
        </w:rPr>
        <w:fldChar w:fldCharType="end"/>
      </w:r>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lastRenderedPageBreak/>
        <w:t>或者：</w:t>
      </w:r>
    </w:p>
    <w:p w14:paraId="54265A1E" w14:textId="04CD0B68" w:rsidR="00E47C64" w:rsidRPr="00E47C64" w:rsidRDefault="00981770"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rsidRPr="005F0E70">
        <w:rPr>
          <w:rFonts w:ascii="SimSun" w:hAnsi="SimSun"/>
        </w:rPr>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6F458B39" w14:textId="6C9C3C86" w:rsidR="006A091D" w:rsidRPr="006A091D" w:rsidRDefault="006A091D" w:rsidP="000E23F2">
      <w:pPr>
        <w:spacing w:afterLines="100" w:after="240" w:line="340" w:lineRule="atLeast"/>
        <w:ind w:left="567"/>
        <w:jc w:val="both"/>
        <w:rPr>
          <w:rFonts w:ascii="KaiTi" w:eastAsia="KaiTi" w:hAnsi="KaiTi"/>
          <w:bCs/>
          <w:lang w:val="fr-CH"/>
        </w:rPr>
      </w:pPr>
      <w:r w:rsidRPr="006A091D">
        <w:rPr>
          <w:rFonts w:ascii="KaiTi" w:eastAsia="KaiTi" w:hAnsi="KaiTi" w:hint="eastAsia"/>
          <w:bCs/>
          <w:lang w:val="fr-CH"/>
        </w:rPr>
        <w:t>菲律宾知识产权局致力于跟</w:t>
      </w:r>
      <w:r w:rsidR="00FA33DA">
        <w:rPr>
          <w:rFonts w:ascii="KaiTi" w:eastAsia="KaiTi" w:hAnsi="KaiTi" w:hint="eastAsia"/>
          <w:bCs/>
          <w:lang w:val="fr-CH"/>
        </w:rPr>
        <w:t>上</w:t>
      </w:r>
      <w:r w:rsidRPr="006A091D">
        <w:rPr>
          <w:rFonts w:ascii="KaiTi" w:eastAsia="KaiTi" w:hAnsi="KaiTi" w:hint="eastAsia"/>
          <w:bCs/>
          <w:lang w:val="fr-CH"/>
        </w:rPr>
        <w:t>信息技术的最新发展</w:t>
      </w:r>
      <w:r w:rsidR="00FA33DA">
        <w:rPr>
          <w:rFonts w:ascii="KaiTi" w:eastAsia="KaiTi" w:hAnsi="KaiTi" w:hint="eastAsia"/>
          <w:bCs/>
          <w:lang w:val="fr-CH"/>
        </w:rPr>
        <w:t>（</w:t>
      </w:r>
      <w:r w:rsidR="00FA33DA" w:rsidRPr="006A091D">
        <w:rPr>
          <w:rFonts w:ascii="KaiTi" w:eastAsia="KaiTi" w:hAnsi="KaiTi" w:hint="eastAsia"/>
          <w:bCs/>
          <w:lang w:val="fr-CH"/>
        </w:rPr>
        <w:t>例如先进的服务器和网络基础设施</w:t>
      </w:r>
      <w:r w:rsidR="00FA33DA">
        <w:rPr>
          <w:rFonts w:ascii="KaiTi" w:eastAsia="KaiTi" w:hAnsi="KaiTi" w:hint="eastAsia"/>
          <w:bCs/>
          <w:lang w:val="fr-CH"/>
        </w:rPr>
        <w:t>）</w:t>
      </w:r>
      <w:r w:rsidRPr="006A091D">
        <w:rPr>
          <w:rFonts w:ascii="KaiTi" w:eastAsia="KaiTi" w:hAnsi="KaiTi" w:hint="eastAsia"/>
          <w:bCs/>
          <w:lang w:val="fr-CH"/>
        </w:rPr>
        <w:t>，以支持其审查员开展检索和审查工作。除此之外，也使用定制的计算机软件来有效地执行检索和审查所涉及的流程。</w:t>
      </w:r>
    </w:p>
    <w:p w14:paraId="0DBB0CC6" w14:textId="4318009F" w:rsidR="006A091D" w:rsidRPr="006A091D" w:rsidRDefault="006A091D" w:rsidP="000E23F2">
      <w:pPr>
        <w:spacing w:afterLines="100" w:after="240" w:line="340" w:lineRule="atLeast"/>
        <w:ind w:left="567"/>
        <w:jc w:val="both"/>
        <w:rPr>
          <w:rFonts w:ascii="KaiTi" w:eastAsia="KaiTi" w:hAnsi="KaiTi"/>
          <w:bCs/>
          <w:lang w:val="fr-CH"/>
        </w:rPr>
      </w:pPr>
      <w:r w:rsidRPr="006A091D">
        <w:rPr>
          <w:rFonts w:ascii="KaiTi" w:eastAsia="KaiTi" w:hAnsi="KaiTi" w:hint="eastAsia"/>
          <w:bCs/>
          <w:lang w:val="fr-CH"/>
        </w:rPr>
        <w:t>在网络基础设施方面，菲律宾知识产权局</w:t>
      </w:r>
      <w:r w:rsidR="00FA33DA">
        <w:rPr>
          <w:rFonts w:ascii="KaiTi" w:eastAsia="KaiTi" w:hAnsi="KaiTi" w:hint="eastAsia"/>
          <w:bCs/>
          <w:lang w:val="fr-CH"/>
        </w:rPr>
        <w:t>部署</w:t>
      </w:r>
      <w:r w:rsidRPr="006A091D">
        <w:rPr>
          <w:rFonts w:ascii="KaiTi" w:eastAsia="KaiTi" w:hAnsi="KaiTi" w:hint="eastAsia"/>
          <w:bCs/>
          <w:lang w:val="fr-CH"/>
        </w:rPr>
        <w:t>了完整</w:t>
      </w:r>
      <w:r w:rsidR="00FA33DA">
        <w:rPr>
          <w:rFonts w:ascii="KaiTi" w:eastAsia="KaiTi" w:hAnsi="KaiTi" w:hint="eastAsia"/>
          <w:bCs/>
          <w:lang w:val="fr-CH"/>
        </w:rPr>
        <w:t>且集成</w:t>
      </w:r>
      <w:r w:rsidRPr="006A091D">
        <w:rPr>
          <w:rFonts w:ascii="KaiTi" w:eastAsia="KaiTi" w:hAnsi="KaiTi" w:hint="eastAsia"/>
          <w:bCs/>
          <w:lang w:val="fr-CH"/>
        </w:rPr>
        <w:t>的安全解决方案，包括安全防火墙设备</w:t>
      </w:r>
      <w:r w:rsidR="00FA33DA">
        <w:rPr>
          <w:rFonts w:ascii="KaiTi" w:eastAsia="KaiTi" w:hAnsi="KaiTi" w:hint="eastAsia"/>
          <w:bCs/>
          <w:lang w:val="fr-CH"/>
        </w:rPr>
        <w:t>以及</w:t>
      </w:r>
      <w:r w:rsidRPr="006A091D">
        <w:rPr>
          <w:rFonts w:ascii="KaiTi" w:eastAsia="KaiTi" w:hAnsi="KaiTi" w:hint="eastAsia"/>
          <w:bCs/>
          <w:lang w:val="fr-CH"/>
        </w:rPr>
        <w:t>具有防病毒、防僵尸网络和</w:t>
      </w:r>
      <w:r w:rsidR="00FA33DA">
        <w:rPr>
          <w:rFonts w:ascii="KaiTi" w:eastAsia="KaiTi" w:hAnsi="KaiTi" w:hint="eastAsia"/>
          <w:bCs/>
          <w:lang w:val="fr-CH"/>
        </w:rPr>
        <w:t>防</w:t>
      </w:r>
      <w:r w:rsidRPr="006A091D">
        <w:rPr>
          <w:rFonts w:ascii="KaiTi" w:eastAsia="KaiTi" w:hAnsi="KaiTi" w:hint="eastAsia"/>
          <w:bCs/>
          <w:lang w:val="fr-CH"/>
        </w:rPr>
        <w:t>垃圾邮件功能的入侵防御系统，</w:t>
      </w:r>
      <w:r w:rsidR="00FA33DA">
        <w:rPr>
          <w:rFonts w:ascii="KaiTi" w:eastAsia="KaiTi" w:hAnsi="KaiTi" w:hint="eastAsia"/>
          <w:bCs/>
          <w:lang w:val="fr-CH"/>
        </w:rPr>
        <w:t>并具备</w:t>
      </w:r>
      <w:r w:rsidRPr="006A091D">
        <w:rPr>
          <w:rFonts w:ascii="KaiTi" w:eastAsia="KaiTi" w:hAnsi="KaiTi" w:hint="eastAsia"/>
          <w:bCs/>
          <w:lang w:val="fr-CH"/>
        </w:rPr>
        <w:t>用于站点间安全连接的</w:t>
      </w:r>
      <w:proofErr w:type="spellStart"/>
      <w:r w:rsidRPr="006A091D">
        <w:rPr>
          <w:rFonts w:ascii="KaiTi" w:eastAsia="KaiTi" w:hAnsi="KaiTi" w:hint="eastAsia"/>
          <w:bCs/>
          <w:lang w:val="fr-CH"/>
        </w:rPr>
        <w:t>IPSec</w:t>
      </w:r>
      <w:proofErr w:type="spellEnd"/>
      <w:r w:rsidRPr="006A091D">
        <w:rPr>
          <w:rFonts w:ascii="KaiTi" w:eastAsia="KaiTi" w:hAnsi="KaiTi" w:hint="eastAsia"/>
          <w:bCs/>
          <w:lang w:val="fr-CH"/>
        </w:rPr>
        <w:t>虚拟专用网络能力。核心网络交换机由两个</w:t>
      </w:r>
      <w:r w:rsidR="00FA33DA">
        <w:rPr>
          <w:rFonts w:ascii="KaiTi" w:eastAsia="KaiTi" w:hAnsi="KaiTi" w:hint="eastAsia"/>
          <w:bCs/>
          <w:lang w:val="fr-CH"/>
        </w:rPr>
        <w:t>处于</w:t>
      </w:r>
      <w:r w:rsidRPr="006A091D">
        <w:rPr>
          <w:rFonts w:ascii="KaiTi" w:eastAsia="KaiTi" w:hAnsi="KaiTi" w:hint="eastAsia"/>
          <w:bCs/>
          <w:lang w:val="fr-CH"/>
        </w:rPr>
        <w:t>活跃</w:t>
      </w:r>
      <w:r w:rsidR="00FA33DA">
        <w:rPr>
          <w:rFonts w:ascii="KaiTi" w:eastAsia="KaiTi" w:hAnsi="KaiTi" w:hint="eastAsia"/>
          <w:bCs/>
          <w:lang w:val="fr-CH"/>
        </w:rPr>
        <w:t>状态</w:t>
      </w:r>
      <w:r w:rsidRPr="006A091D">
        <w:rPr>
          <w:rFonts w:ascii="KaiTi" w:eastAsia="KaiTi" w:hAnsi="KaiTi" w:hint="eastAsia"/>
          <w:bCs/>
          <w:lang w:val="fr-CH"/>
        </w:rPr>
        <w:t>的互联网节点提供支持，具有足够的带宽为整个网络提供服务，并在其中一个节点发生故障时具有故障转移能力。已实施服务器虚拟化，可提供更快的应用系统配置和部署，同时确保更高的可用性和运行时间。菲律宾知识产权局已签约基于云的数据备份服务，并定期进行数据备份和测试程序。</w:t>
      </w:r>
    </w:p>
    <w:p w14:paraId="5CE66CA6" w14:textId="0ADCB1CD" w:rsidR="006A091D" w:rsidRPr="006A091D" w:rsidRDefault="006A091D" w:rsidP="000E23F2">
      <w:pPr>
        <w:spacing w:afterLines="100" w:after="240" w:line="340" w:lineRule="atLeast"/>
        <w:jc w:val="both"/>
        <w:rPr>
          <w:rFonts w:ascii="KaiTi" w:eastAsia="KaiTi" w:hAnsi="KaiTi"/>
          <w:bCs/>
          <w:lang w:val="fr-CH"/>
        </w:rPr>
      </w:pPr>
      <w:r w:rsidRPr="006A091D">
        <w:rPr>
          <w:rFonts w:ascii="KaiTi" w:eastAsia="KaiTi" w:hAnsi="KaiTi" w:hint="eastAsia"/>
          <w:bCs/>
          <w:lang w:val="fr-CH"/>
        </w:rPr>
        <w:t>菲律宾知识产权局审查员目前可以访问以下专利和非专利数据库：</w:t>
      </w:r>
    </w:p>
    <w:p w14:paraId="0EE31551" w14:textId="7396DC3D" w:rsidR="006A091D" w:rsidRPr="006A091D" w:rsidRDefault="006A091D" w:rsidP="000E23F2">
      <w:pPr>
        <w:spacing w:afterLines="100" w:after="240" w:line="340" w:lineRule="atLeast"/>
        <w:ind w:left="567"/>
        <w:contextualSpacing/>
        <w:jc w:val="both"/>
        <w:rPr>
          <w:rFonts w:ascii="KaiTi" w:eastAsia="KaiTi" w:hAnsi="KaiTi"/>
          <w:bCs/>
          <w:lang w:val="fr-CH"/>
        </w:rPr>
      </w:pPr>
      <w:r w:rsidRPr="006A091D">
        <w:rPr>
          <w:rFonts w:ascii="KaiTi" w:eastAsia="KaiTi" w:hAnsi="KaiTi" w:hint="eastAsia"/>
          <w:bCs/>
          <w:lang w:val="fr-CH"/>
        </w:rPr>
        <w:t>a.公开可用的数据库，例如：(i)OPSIN（系统</w:t>
      </w:r>
      <w:r w:rsidR="00DF3437">
        <w:rPr>
          <w:rFonts w:ascii="KaiTi" w:eastAsia="KaiTi" w:hAnsi="KaiTi" w:hint="eastAsia"/>
          <w:bCs/>
          <w:lang w:val="fr-CH"/>
        </w:rPr>
        <w:t>化</w:t>
      </w:r>
      <w:r w:rsidRPr="006A091D">
        <w:rPr>
          <w:rFonts w:ascii="KaiTi" w:eastAsia="KaiTi" w:hAnsi="KaiTi" w:hint="eastAsia"/>
          <w:bCs/>
          <w:lang w:val="fr-CH"/>
        </w:rPr>
        <w:t>IUPAC命名法开放解析器）；(ii)NCBI（国家生物技术信息中心）；(iii)EMBL-EBI（欧洲分子生物学实验室-欧洲生物信息学研究所），用于序列表检索；(iv)3GPP（电信技术）；(v)WIPO CASE；</w:t>
      </w:r>
      <w:r w:rsidR="00395BDB">
        <w:rPr>
          <w:rFonts w:ascii="KaiTi" w:eastAsia="KaiTi" w:hAnsi="KaiTi" w:hint="eastAsia"/>
          <w:bCs/>
          <w:lang w:val="fr-CH"/>
        </w:rPr>
        <w:t>和</w:t>
      </w:r>
      <w:r w:rsidRPr="006A091D">
        <w:rPr>
          <w:rFonts w:ascii="KaiTi" w:eastAsia="KaiTi" w:hAnsi="KaiTi" w:hint="eastAsia"/>
          <w:bCs/>
          <w:lang w:val="fr-CH"/>
        </w:rPr>
        <w:t>(vi)PATENTSCOPE；</w:t>
      </w:r>
    </w:p>
    <w:p w14:paraId="26C83371" w14:textId="7D8C10F5" w:rsidR="006A091D" w:rsidRPr="006A091D" w:rsidRDefault="006A091D" w:rsidP="000E23F2">
      <w:pPr>
        <w:spacing w:afterLines="100" w:after="240" w:line="340" w:lineRule="atLeast"/>
        <w:ind w:left="567"/>
        <w:contextualSpacing/>
        <w:jc w:val="both"/>
        <w:rPr>
          <w:rFonts w:ascii="KaiTi" w:eastAsia="KaiTi" w:hAnsi="KaiTi"/>
          <w:bCs/>
          <w:lang w:val="fr-CH"/>
        </w:rPr>
      </w:pPr>
      <w:proofErr w:type="spellStart"/>
      <w:r w:rsidRPr="006A091D">
        <w:rPr>
          <w:rFonts w:ascii="KaiTi" w:eastAsia="KaiTi" w:hAnsi="KaiTi" w:hint="eastAsia"/>
          <w:bCs/>
          <w:lang w:val="fr-CH"/>
        </w:rPr>
        <w:t>b.PubMed</w:t>
      </w:r>
      <w:proofErr w:type="spellEnd"/>
      <w:r w:rsidRPr="006A091D">
        <w:rPr>
          <w:rFonts w:ascii="KaiTi" w:eastAsia="KaiTi" w:hAnsi="KaiTi" w:hint="eastAsia"/>
          <w:bCs/>
          <w:lang w:val="fr-CH"/>
        </w:rPr>
        <w:t>等数据库，提供化学、分子生物学和其他临床前科学领域的非专利文献，以及</w:t>
      </w:r>
      <w:r w:rsidR="00DF3437">
        <w:rPr>
          <w:rFonts w:ascii="KaiTi" w:eastAsia="KaiTi" w:hAnsi="KaiTi" w:hint="eastAsia"/>
          <w:bCs/>
          <w:lang w:val="fr-CH"/>
        </w:rPr>
        <w:t>The Lens数据库，</w:t>
      </w:r>
      <w:r w:rsidRPr="006A091D">
        <w:rPr>
          <w:rFonts w:ascii="KaiTi" w:eastAsia="KaiTi" w:hAnsi="KaiTi" w:hint="eastAsia"/>
          <w:bCs/>
          <w:lang w:val="fr-CH"/>
        </w:rPr>
        <w:t>用于</w:t>
      </w:r>
      <w:r w:rsidR="006D6AC9">
        <w:rPr>
          <w:rFonts w:ascii="KaiTi" w:eastAsia="KaiTi" w:hAnsi="KaiTi" w:hint="eastAsia"/>
          <w:bCs/>
          <w:lang w:val="fr-CH"/>
        </w:rPr>
        <w:t>全面的</w:t>
      </w:r>
      <w:r w:rsidRPr="006A091D">
        <w:rPr>
          <w:rFonts w:ascii="KaiTi" w:eastAsia="KaiTi" w:hAnsi="KaiTi" w:hint="eastAsia"/>
          <w:bCs/>
          <w:lang w:val="fr-CH"/>
        </w:rPr>
        <w:t>DNA和蛋白质序列检索；</w:t>
      </w:r>
    </w:p>
    <w:p w14:paraId="2D261F69" w14:textId="01739080" w:rsidR="006A091D" w:rsidRPr="006A091D" w:rsidRDefault="006A091D" w:rsidP="000E23F2">
      <w:pPr>
        <w:spacing w:afterLines="100" w:after="240" w:line="340" w:lineRule="atLeast"/>
        <w:ind w:left="567"/>
        <w:contextualSpacing/>
        <w:jc w:val="both"/>
        <w:rPr>
          <w:rFonts w:ascii="KaiTi" w:eastAsia="KaiTi" w:hAnsi="KaiTi"/>
          <w:bCs/>
          <w:lang w:val="fr-CH"/>
        </w:rPr>
      </w:pPr>
      <w:r w:rsidRPr="006A091D">
        <w:rPr>
          <w:rFonts w:ascii="KaiTi" w:eastAsia="KaiTi" w:hAnsi="KaiTi" w:hint="eastAsia"/>
          <w:bCs/>
          <w:lang w:val="fr-CH"/>
        </w:rPr>
        <w:t>c.菲律宾知识产权局工业产权数字图书馆（IPDL）和菲律宾知识产权局内部数据库IPAS（工业产权自动化系统）；</w:t>
      </w:r>
    </w:p>
    <w:p w14:paraId="66EC621C" w14:textId="497B3DF7" w:rsidR="006A091D" w:rsidRPr="006A091D" w:rsidRDefault="006A091D" w:rsidP="000E23F2">
      <w:pPr>
        <w:spacing w:afterLines="100" w:after="240" w:line="340" w:lineRule="atLeast"/>
        <w:ind w:left="567"/>
        <w:contextualSpacing/>
        <w:jc w:val="both"/>
        <w:rPr>
          <w:rFonts w:ascii="KaiTi" w:eastAsia="KaiTi" w:hAnsi="KaiTi"/>
          <w:bCs/>
          <w:lang w:val="fr-CH"/>
        </w:rPr>
      </w:pPr>
      <w:r w:rsidRPr="006A091D">
        <w:rPr>
          <w:rFonts w:ascii="KaiTi" w:eastAsia="KaiTi" w:hAnsi="KaiTi" w:hint="eastAsia"/>
          <w:bCs/>
          <w:lang w:val="fr-CH"/>
        </w:rPr>
        <w:t>d.通过与科学与工业研究理事会的访问协议</w:t>
      </w:r>
      <w:r w:rsidR="006D6AC9">
        <w:rPr>
          <w:rFonts w:ascii="KaiTi" w:eastAsia="KaiTi" w:hAnsi="KaiTi" w:hint="eastAsia"/>
          <w:bCs/>
          <w:lang w:val="fr-CH"/>
        </w:rPr>
        <w:t>，可访问</w:t>
      </w:r>
      <w:r w:rsidRPr="006A091D">
        <w:rPr>
          <w:rFonts w:ascii="KaiTi" w:eastAsia="KaiTi" w:hAnsi="KaiTi" w:hint="eastAsia"/>
          <w:bCs/>
          <w:lang w:val="fr-CH"/>
        </w:rPr>
        <w:t>传统知识数字图书馆（TKDL）；</w:t>
      </w:r>
    </w:p>
    <w:p w14:paraId="6699C283" w14:textId="180500CE" w:rsidR="006A091D" w:rsidRPr="006A091D" w:rsidRDefault="006A091D" w:rsidP="000E23F2">
      <w:pPr>
        <w:spacing w:afterLines="100" w:after="240" w:line="340" w:lineRule="atLeast"/>
        <w:ind w:left="567"/>
        <w:contextualSpacing/>
        <w:jc w:val="both"/>
        <w:rPr>
          <w:rFonts w:ascii="KaiTi" w:eastAsia="KaiTi" w:hAnsi="KaiTi"/>
          <w:bCs/>
          <w:lang w:val="fr-CH"/>
        </w:rPr>
      </w:pPr>
      <w:r w:rsidRPr="006A091D">
        <w:rPr>
          <w:rFonts w:ascii="KaiTi" w:eastAsia="KaiTi" w:hAnsi="KaiTi" w:hint="eastAsia"/>
          <w:bCs/>
          <w:lang w:val="fr-CH"/>
        </w:rPr>
        <w:t>e.其他知识产权局的国家专利数据库，例如USPTO、J-PATPLAT、AUSPAT、</w:t>
      </w:r>
      <w:proofErr w:type="spellStart"/>
      <w:r w:rsidRPr="006A091D">
        <w:rPr>
          <w:rFonts w:ascii="KaiTi" w:eastAsia="KaiTi" w:hAnsi="KaiTi" w:hint="eastAsia"/>
          <w:bCs/>
          <w:lang w:val="fr-CH"/>
        </w:rPr>
        <w:t>Espacenet</w:t>
      </w:r>
      <w:proofErr w:type="spellEnd"/>
      <w:r w:rsidRPr="006A091D">
        <w:rPr>
          <w:rFonts w:ascii="KaiTi" w:eastAsia="KaiTi" w:hAnsi="KaiTi" w:hint="eastAsia"/>
          <w:bCs/>
          <w:lang w:val="fr-CH"/>
        </w:rPr>
        <w:t>和AIPN；</w:t>
      </w:r>
    </w:p>
    <w:p w14:paraId="33C801B8" w14:textId="12FC9623" w:rsidR="006A091D" w:rsidRPr="006A091D" w:rsidRDefault="006A091D" w:rsidP="000E23F2">
      <w:pPr>
        <w:spacing w:afterLines="100" w:after="240" w:line="340" w:lineRule="atLeast"/>
        <w:ind w:left="567"/>
        <w:contextualSpacing/>
        <w:jc w:val="both"/>
        <w:rPr>
          <w:rFonts w:ascii="KaiTi" w:eastAsia="KaiTi" w:hAnsi="KaiTi"/>
          <w:bCs/>
          <w:lang w:val="fr-CH"/>
        </w:rPr>
      </w:pPr>
      <w:proofErr w:type="spellStart"/>
      <w:r w:rsidRPr="006A091D">
        <w:rPr>
          <w:rFonts w:ascii="KaiTi" w:eastAsia="KaiTi" w:hAnsi="KaiTi" w:hint="eastAsia"/>
          <w:bCs/>
          <w:lang w:val="fr-CH"/>
        </w:rPr>
        <w:t>f.EPOQUENet</w:t>
      </w:r>
      <w:proofErr w:type="spellEnd"/>
      <w:r w:rsidRPr="006A091D">
        <w:rPr>
          <w:rFonts w:ascii="KaiTi" w:eastAsia="KaiTi" w:hAnsi="KaiTi" w:hint="eastAsia"/>
          <w:bCs/>
          <w:lang w:val="fr-CH"/>
        </w:rPr>
        <w:t>、</w:t>
      </w:r>
      <w:proofErr w:type="spellStart"/>
      <w:r w:rsidRPr="006A091D">
        <w:rPr>
          <w:rFonts w:ascii="KaiTi" w:eastAsia="KaiTi" w:hAnsi="KaiTi" w:hint="eastAsia"/>
          <w:bCs/>
          <w:lang w:val="fr-CH"/>
        </w:rPr>
        <w:t>STNext</w:t>
      </w:r>
      <w:proofErr w:type="spellEnd"/>
      <w:r w:rsidRPr="006A091D">
        <w:rPr>
          <w:rFonts w:ascii="KaiTi" w:eastAsia="KaiTi" w:hAnsi="KaiTi" w:hint="eastAsia"/>
          <w:bCs/>
          <w:lang w:val="fr-CH"/>
        </w:rPr>
        <w:t>、IEEE Digital Xplore、</w:t>
      </w:r>
      <w:proofErr w:type="spellStart"/>
      <w:r w:rsidRPr="006A091D">
        <w:rPr>
          <w:rFonts w:ascii="KaiTi" w:eastAsia="KaiTi" w:hAnsi="KaiTi" w:hint="eastAsia"/>
          <w:bCs/>
          <w:lang w:val="fr-CH"/>
        </w:rPr>
        <w:t>Scopus</w:t>
      </w:r>
      <w:proofErr w:type="spellEnd"/>
      <w:r w:rsidRPr="006A091D">
        <w:rPr>
          <w:rFonts w:ascii="KaiTi" w:eastAsia="KaiTi" w:hAnsi="KaiTi" w:hint="eastAsia"/>
          <w:bCs/>
          <w:lang w:val="fr-CH"/>
        </w:rPr>
        <w:t>和Science Direct；以及</w:t>
      </w:r>
    </w:p>
    <w:p w14:paraId="1AC5248B" w14:textId="7F187223" w:rsidR="006A091D" w:rsidRPr="00E47C64" w:rsidRDefault="006A091D" w:rsidP="006A091D">
      <w:pPr>
        <w:spacing w:afterLines="100" w:after="240" w:line="340" w:lineRule="atLeast"/>
        <w:ind w:left="568"/>
        <w:jc w:val="both"/>
        <w:rPr>
          <w:rFonts w:ascii="SimSun" w:hAnsi="SimSun"/>
          <w:bCs/>
          <w:lang w:val="fr-CH"/>
        </w:rPr>
      </w:pPr>
      <w:r w:rsidRPr="006A091D">
        <w:rPr>
          <w:rFonts w:ascii="KaiTi" w:eastAsia="KaiTi" w:hAnsi="KaiTi" w:hint="eastAsia"/>
          <w:bCs/>
          <w:lang w:val="fr-CH"/>
        </w:rPr>
        <w:t>g.涵盖德温特世界专利索引（DWPI）的商业检索平台Thomson Innovation。</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067B2622" w14:textId="09B669C6" w:rsidR="000536FF" w:rsidRPr="000536FF" w:rsidRDefault="000536FF" w:rsidP="000E23F2">
      <w:pPr>
        <w:spacing w:afterLines="100" w:after="240" w:line="340" w:lineRule="atLeast"/>
        <w:ind w:left="567"/>
        <w:jc w:val="both"/>
        <w:rPr>
          <w:rFonts w:ascii="KaiTi" w:eastAsia="KaiTi" w:hAnsi="KaiTi"/>
          <w:bCs/>
        </w:rPr>
      </w:pPr>
      <w:r w:rsidRPr="000536FF">
        <w:rPr>
          <w:rFonts w:ascii="KaiTi" w:eastAsia="KaiTi" w:hAnsi="KaiTi" w:hint="eastAsia"/>
          <w:bCs/>
        </w:rPr>
        <w:t>菲律宾知识产权局维持其质量管理体系（QMS）符合国际标准化组织（ISO）9001:2015认证的要求，该认证主要涵盖专利授予和其他知识产权注册服务的流程。</w:t>
      </w:r>
      <w:r w:rsidR="00067080">
        <w:rPr>
          <w:rFonts w:ascii="KaiTi" w:eastAsia="KaiTi" w:hAnsi="KaiTi" w:hint="eastAsia"/>
          <w:bCs/>
        </w:rPr>
        <w:t>IQA</w:t>
      </w:r>
      <w:r w:rsidRPr="000536FF">
        <w:rPr>
          <w:rFonts w:ascii="KaiTi" w:eastAsia="KaiTi" w:hAnsi="KaiTi" w:hint="eastAsia"/>
          <w:bCs/>
        </w:rPr>
        <w:t>每年进行两次内部</w:t>
      </w:r>
      <w:r w:rsidR="009A68EE">
        <w:rPr>
          <w:rFonts w:ascii="KaiTi" w:eastAsia="KaiTi" w:hAnsi="KaiTi" w:hint="eastAsia"/>
          <w:bCs/>
        </w:rPr>
        <w:t>审计</w:t>
      </w:r>
      <w:r w:rsidRPr="000536FF">
        <w:rPr>
          <w:rFonts w:ascii="KaiTi" w:eastAsia="KaiTi" w:hAnsi="KaiTi" w:hint="eastAsia"/>
          <w:bCs/>
        </w:rPr>
        <w:t>（实际和验证），并每年进行一次符合ISO 9001:2015标准要求的第三方（外部）</w:t>
      </w:r>
      <w:r w:rsidR="003C45C2">
        <w:rPr>
          <w:rFonts w:ascii="KaiTi" w:eastAsia="KaiTi" w:hAnsi="KaiTi" w:hint="eastAsia"/>
          <w:bCs/>
        </w:rPr>
        <w:t>审计</w:t>
      </w:r>
      <w:r w:rsidRPr="000536FF">
        <w:rPr>
          <w:rFonts w:ascii="KaiTi" w:eastAsia="KaiTi" w:hAnsi="KaiTi" w:hint="eastAsia"/>
          <w:bCs/>
        </w:rPr>
        <w:t>，涵盖所有工作流程。</w:t>
      </w:r>
      <w:r w:rsidR="0099608A">
        <w:rPr>
          <w:rFonts w:ascii="KaiTi" w:eastAsia="KaiTi" w:hAnsi="KaiTi" w:hint="eastAsia"/>
          <w:bCs/>
        </w:rPr>
        <w:t>上述审计的</w:t>
      </w:r>
      <w:r w:rsidRPr="000536FF">
        <w:rPr>
          <w:rFonts w:ascii="KaiTi" w:eastAsia="KaiTi" w:hAnsi="KaiTi" w:hint="eastAsia"/>
          <w:bCs/>
        </w:rPr>
        <w:t>结果在管理</w:t>
      </w:r>
      <w:r w:rsidR="0099608A">
        <w:rPr>
          <w:rFonts w:ascii="KaiTi" w:eastAsia="KaiTi" w:hAnsi="KaiTi" w:hint="eastAsia"/>
          <w:bCs/>
        </w:rPr>
        <w:t>层审查</w:t>
      </w:r>
      <w:r w:rsidRPr="000536FF">
        <w:rPr>
          <w:rFonts w:ascii="KaiTi" w:eastAsia="KaiTi" w:hAnsi="KaiTi" w:hint="eastAsia"/>
          <w:bCs/>
        </w:rPr>
        <w:t>期间向菲律宾知识产权局最高管理层通报，以供</w:t>
      </w:r>
      <w:r w:rsidR="0099608A">
        <w:rPr>
          <w:rFonts w:ascii="KaiTi" w:eastAsia="KaiTi" w:hAnsi="KaiTi" w:hint="eastAsia"/>
          <w:bCs/>
        </w:rPr>
        <w:t>评价</w:t>
      </w:r>
      <w:r w:rsidRPr="000536FF">
        <w:rPr>
          <w:rFonts w:ascii="KaiTi" w:eastAsia="KaiTi" w:hAnsi="KaiTi" w:hint="eastAsia"/>
          <w:bCs/>
        </w:rPr>
        <w:t>。</w:t>
      </w:r>
    </w:p>
    <w:p w14:paraId="6F3F5A4C" w14:textId="5B0FEB33" w:rsidR="000536FF" w:rsidRPr="000536FF" w:rsidRDefault="000536FF" w:rsidP="000E23F2">
      <w:pPr>
        <w:spacing w:afterLines="100" w:after="240" w:line="340" w:lineRule="atLeast"/>
        <w:ind w:left="567"/>
        <w:jc w:val="both"/>
        <w:rPr>
          <w:rFonts w:ascii="KaiTi" w:eastAsia="KaiTi" w:hAnsi="KaiTi"/>
          <w:bCs/>
        </w:rPr>
      </w:pPr>
      <w:r w:rsidRPr="000536FF">
        <w:rPr>
          <w:rFonts w:ascii="KaiTi" w:eastAsia="KaiTi" w:hAnsi="KaiTi" w:hint="eastAsia"/>
          <w:bCs/>
        </w:rPr>
        <w:t>此外，质量管理服务股在专利局内实施专利质量审查制度（PQRS），并评估其有效性。质量目标</w:t>
      </w:r>
      <w:r w:rsidR="00482E4F">
        <w:rPr>
          <w:rFonts w:ascii="KaiTi" w:eastAsia="KaiTi" w:hAnsi="KaiTi" w:hint="eastAsia"/>
          <w:bCs/>
        </w:rPr>
        <w:t>有助于为</w:t>
      </w:r>
      <w:r w:rsidRPr="000536FF">
        <w:rPr>
          <w:rFonts w:ascii="KaiTi" w:eastAsia="KaiTi" w:hAnsi="KaiTi" w:hint="eastAsia"/>
          <w:bCs/>
        </w:rPr>
        <w:t>质量的含义</w:t>
      </w:r>
      <w:r w:rsidR="00482E4F">
        <w:rPr>
          <w:rFonts w:ascii="KaiTi" w:eastAsia="KaiTi" w:hAnsi="KaiTi" w:hint="eastAsia"/>
          <w:bCs/>
        </w:rPr>
        <w:t>提供清晰的理解</w:t>
      </w:r>
      <w:r w:rsidRPr="000536FF">
        <w:rPr>
          <w:rFonts w:ascii="KaiTi" w:eastAsia="KaiTi" w:hAnsi="KaiTi" w:hint="eastAsia"/>
          <w:bCs/>
        </w:rPr>
        <w:t>，并提供一个框架，使专利局能够</w:t>
      </w:r>
      <w:r w:rsidR="00A90A3C">
        <w:rPr>
          <w:rFonts w:ascii="KaiTi" w:eastAsia="KaiTi" w:hAnsi="KaiTi" w:hint="eastAsia"/>
          <w:bCs/>
        </w:rPr>
        <w:t>适用</w:t>
      </w:r>
      <w:r w:rsidRPr="000536FF">
        <w:rPr>
          <w:rFonts w:ascii="KaiTi" w:eastAsia="KaiTi" w:hAnsi="KaiTi" w:hint="eastAsia"/>
          <w:bCs/>
        </w:rPr>
        <w:t>质量标准并为审查实践的进一步发展提供指导。该股每六（6）个月对该制度进行一次评估，涵盖检索和审查的质量审查结果、审查中的问题和质量审查的程序，以及来自申请人或审查员的意见或建议。评估后，如有必要，将向质量管理委员会（QMC）建议纠正和预防措施以及对专利质量审查制度标准或政策的修订，以供审议和批准。质量管理服务股负责人向专利局助理局长和/或局长报告。</w:t>
      </w:r>
    </w:p>
    <w:p w14:paraId="622057AA" w14:textId="5D49102B" w:rsidR="005829E9" w:rsidRPr="00E47C64" w:rsidRDefault="000536FF" w:rsidP="000E23F2">
      <w:pPr>
        <w:spacing w:afterLines="100" w:after="240" w:line="340" w:lineRule="atLeast"/>
        <w:ind w:left="567"/>
        <w:jc w:val="both"/>
        <w:rPr>
          <w:rFonts w:ascii="SimSun" w:hAnsi="SimSun"/>
          <w:bCs/>
        </w:rPr>
      </w:pPr>
      <w:r w:rsidRPr="000536FF">
        <w:rPr>
          <w:rFonts w:ascii="KaiTi" w:eastAsia="KaiTi" w:hAnsi="KaiTi" w:hint="eastAsia"/>
          <w:bCs/>
        </w:rPr>
        <w:t>此外，质量管理服务股编制月度专利质量审查制度报告，该报告在每月</w:t>
      </w:r>
      <w:r w:rsidR="00482E4F">
        <w:rPr>
          <w:rFonts w:ascii="KaiTi" w:eastAsia="KaiTi" w:hAnsi="KaiTi" w:hint="eastAsia"/>
          <w:bCs/>
        </w:rPr>
        <w:t>的</w:t>
      </w:r>
      <w:r w:rsidRPr="000536FF">
        <w:rPr>
          <w:rFonts w:ascii="KaiTi" w:eastAsia="KaiTi" w:hAnsi="KaiTi" w:hint="eastAsia"/>
          <w:bCs/>
        </w:rPr>
        <w:t>管理</w:t>
      </w:r>
      <w:r w:rsidR="00482E4F">
        <w:rPr>
          <w:rFonts w:ascii="KaiTi" w:eastAsia="KaiTi" w:hAnsi="KaiTi" w:hint="eastAsia"/>
          <w:bCs/>
        </w:rPr>
        <w:t>层</w:t>
      </w:r>
      <w:r w:rsidRPr="000536FF">
        <w:rPr>
          <w:rFonts w:ascii="KaiTi" w:eastAsia="KaiTi" w:hAnsi="KaiTi" w:hint="eastAsia"/>
          <w:bCs/>
        </w:rPr>
        <w:t>委员会（Mancom）会议上提交，并构成内部和外部</w:t>
      </w:r>
      <w:r w:rsidR="00A90A3C">
        <w:rPr>
          <w:rFonts w:ascii="KaiTi" w:eastAsia="KaiTi" w:hAnsi="KaiTi" w:hint="eastAsia"/>
          <w:bCs/>
        </w:rPr>
        <w:t>审计</w:t>
      </w:r>
      <w:r w:rsidRPr="000536FF">
        <w:rPr>
          <w:rFonts w:ascii="KaiTi" w:eastAsia="KaiTi" w:hAnsi="KaiTi" w:hint="eastAsia"/>
          <w:bCs/>
        </w:rPr>
        <w:t>所涉文件的一部分。该报告包含对通过专利质量审查制度随机抽样获取的所有工作成果（包括检索和审查报告）的质量审查结果。报告还包括检索和审查过程中查明的差距和其他关切/问题，以及解决上述差距的建议。质量管理委员会每季度召开一次会议，或在必要时随时召开，处理符合和不符合标准的详细问题。</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0EB60A6B"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1" w:anchor="ISA" w:history="1">
        <w:r w:rsidR="00482E4F" w:rsidRPr="005F0E70">
          <w:rPr>
            <w:rStyle w:val="Hyperlink"/>
            <w:rFonts w:ascii="SimSun" w:hAnsi="SimSun"/>
          </w:rPr>
          <w:t>https://pctlegal.wipo.int/eGuide/view-doc.xhtml?doc-code=PH&amp;doc-lang=en#ISA</w:t>
        </w:r>
      </w:hyperlink>
      <w:r w:rsidRPr="00E47C64">
        <w:rPr>
          <w:rFonts w:ascii="SimSun" w:hAnsi="SimSun" w:hint="eastAsia"/>
          <w:szCs w:val="22"/>
        </w:rPr>
        <w:t>和</w:t>
      </w:r>
      <w:hyperlink r:id="rId12" w:anchor="IPEA" w:history="1">
        <w:r w:rsidR="00891664" w:rsidRPr="005F0E70">
          <w:rPr>
            <w:rStyle w:val="Hyperlink"/>
            <w:rFonts w:ascii="SimSun" w:hAnsi="SimSun"/>
          </w:rPr>
          <w:t>https://pctlegal.wipo.int/eGuide/view-doc.xhtml?doc-code=PH&amp;doc-lang=en#IPEA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lastRenderedPageBreak/>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6E943905" w14:textId="2FBBF021" w:rsidR="00A743D1" w:rsidRPr="00A743D1" w:rsidRDefault="00A743D1" w:rsidP="000E23F2">
      <w:pPr>
        <w:spacing w:afterLines="100" w:after="240" w:line="340" w:lineRule="atLeast"/>
        <w:ind w:left="567"/>
        <w:jc w:val="both"/>
        <w:rPr>
          <w:rFonts w:ascii="SimSun" w:hAnsi="SimSun"/>
          <w:szCs w:val="22"/>
        </w:rPr>
      </w:pPr>
      <w:r w:rsidRPr="00A743D1">
        <w:rPr>
          <w:rFonts w:ascii="KaiTi" w:eastAsia="KaiTi" w:hAnsi="KaiTi" w:hint="eastAsia"/>
          <w:szCs w:val="22"/>
        </w:rPr>
        <w:t>为履行对全球专利体系作出贡献的持续承诺，该局还在探索进一步指定的机会以及与其他国家和地区专利局加强合作</w:t>
      </w:r>
      <w:r w:rsidR="000A59DB">
        <w:rPr>
          <w:rFonts w:ascii="KaiTi" w:eastAsia="KaiTi" w:hAnsi="KaiTi" w:hint="eastAsia"/>
          <w:szCs w:val="22"/>
        </w:rPr>
        <w:t>的机会</w:t>
      </w:r>
      <w:r w:rsidRPr="00A743D1">
        <w:rPr>
          <w:rFonts w:ascii="KaiTi" w:eastAsia="KaiTi" w:hAnsi="KaiTi" w:hint="eastAsia"/>
          <w:szCs w:val="22"/>
        </w:rPr>
        <w:t>，以期扩大其服务</w:t>
      </w:r>
      <w:r w:rsidR="00D62A0E">
        <w:rPr>
          <w:rFonts w:ascii="KaiTi" w:eastAsia="KaiTi" w:hAnsi="KaiTi" w:hint="eastAsia"/>
          <w:szCs w:val="22"/>
        </w:rPr>
        <w:t>覆盖面</w:t>
      </w:r>
      <w:r w:rsidRPr="00A743D1">
        <w:rPr>
          <w:rFonts w:ascii="KaiTi" w:eastAsia="KaiTi" w:hAnsi="KaiTi" w:hint="eastAsia"/>
          <w:szCs w:val="22"/>
        </w:rPr>
        <w:t>并加强国际</w:t>
      </w:r>
      <w:r w:rsidR="000A59DB">
        <w:rPr>
          <w:rFonts w:ascii="KaiTi" w:eastAsia="KaiTi" w:hAnsi="KaiTi" w:hint="eastAsia"/>
          <w:szCs w:val="22"/>
        </w:rPr>
        <w:t>协作</w:t>
      </w:r>
      <w:r w:rsidRPr="00A743D1">
        <w:rPr>
          <w:rFonts w:ascii="SimSun" w:hAnsi="SimSun" w:hint="eastAsia"/>
          <w:szCs w:val="22"/>
        </w:rPr>
        <w:t>。</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7AC3C21C" w:rsidR="009A31F1" w:rsidRPr="00DA04C2" w:rsidRDefault="009A31F1" w:rsidP="009A31F1">
        <w:pPr>
          <w:jc w:val="right"/>
          <w:rPr>
            <w:rFonts w:ascii="SimSun" w:hAnsi="SimSun"/>
            <w:caps/>
            <w:lang w:val="fr-CH"/>
          </w:rPr>
        </w:pPr>
        <w:r w:rsidRPr="00DA04C2">
          <w:rPr>
            <w:rFonts w:ascii="SimSun" w:hAnsi="SimSun"/>
            <w:caps/>
            <w:lang w:val="fr-CH"/>
          </w:rPr>
          <w:t>PCT/CTC/33/</w:t>
        </w:r>
        <w:r w:rsidR="00F10BEA">
          <w:rPr>
            <w:rFonts w:ascii="SimSun" w:hAnsi="SimSun" w:hint="eastAsia"/>
            <w:caps/>
            <w:lang w:val="fr-CH"/>
          </w:rPr>
          <w:t>17</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D1F5FDF" w:rsidR="009A31F1" w:rsidRPr="00DA04C2" w:rsidRDefault="009A31F1" w:rsidP="009A31F1">
    <w:pPr>
      <w:pStyle w:val="Header"/>
      <w:jc w:val="right"/>
      <w:rPr>
        <w:rFonts w:ascii="SimSun" w:hAnsi="SimSun"/>
      </w:rPr>
    </w:pPr>
    <w:bookmarkStart w:id="6" w:name="Code2"/>
    <w:r w:rsidRPr="00DA04C2">
      <w:rPr>
        <w:rFonts w:ascii="SimSun" w:hAnsi="SimSun"/>
      </w:rPr>
      <w:t>PCT/CTC/33/</w:t>
    </w:r>
    <w:r w:rsidR="001F728B">
      <w:rPr>
        <w:rFonts w:ascii="SimSun" w:hAnsi="SimSun" w:hint="eastAsia"/>
      </w:rPr>
      <w:t>17</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3F18"/>
    <w:rsid w:val="00010C3A"/>
    <w:rsid w:val="00027CD7"/>
    <w:rsid w:val="00043CAA"/>
    <w:rsid w:val="000536FF"/>
    <w:rsid w:val="00056816"/>
    <w:rsid w:val="00067080"/>
    <w:rsid w:val="00075432"/>
    <w:rsid w:val="000756C6"/>
    <w:rsid w:val="000760CC"/>
    <w:rsid w:val="000968ED"/>
    <w:rsid w:val="000A3D97"/>
    <w:rsid w:val="000A59DB"/>
    <w:rsid w:val="000A6309"/>
    <w:rsid w:val="000B5F3F"/>
    <w:rsid w:val="000C649D"/>
    <w:rsid w:val="000D46FE"/>
    <w:rsid w:val="000E14AC"/>
    <w:rsid w:val="000E23F2"/>
    <w:rsid w:val="000F5E56"/>
    <w:rsid w:val="00111BB0"/>
    <w:rsid w:val="00121439"/>
    <w:rsid w:val="001362EE"/>
    <w:rsid w:val="00152AEF"/>
    <w:rsid w:val="001647D5"/>
    <w:rsid w:val="001702FA"/>
    <w:rsid w:val="00172583"/>
    <w:rsid w:val="00180294"/>
    <w:rsid w:val="001832A6"/>
    <w:rsid w:val="001875B1"/>
    <w:rsid w:val="001A194A"/>
    <w:rsid w:val="001B1201"/>
    <w:rsid w:val="001D4107"/>
    <w:rsid w:val="001F6F13"/>
    <w:rsid w:val="001F728B"/>
    <w:rsid w:val="00203D24"/>
    <w:rsid w:val="0021217E"/>
    <w:rsid w:val="00217002"/>
    <w:rsid w:val="00217FB1"/>
    <w:rsid w:val="002326AB"/>
    <w:rsid w:val="00234688"/>
    <w:rsid w:val="0024046B"/>
    <w:rsid w:val="00243430"/>
    <w:rsid w:val="002634C4"/>
    <w:rsid w:val="00284D97"/>
    <w:rsid w:val="002928D3"/>
    <w:rsid w:val="002B26A0"/>
    <w:rsid w:val="002B70E7"/>
    <w:rsid w:val="002E29C7"/>
    <w:rsid w:val="002F1FE6"/>
    <w:rsid w:val="002F39CD"/>
    <w:rsid w:val="002F4E68"/>
    <w:rsid w:val="00312F7F"/>
    <w:rsid w:val="003514C1"/>
    <w:rsid w:val="003605EF"/>
    <w:rsid w:val="00361450"/>
    <w:rsid w:val="003673CF"/>
    <w:rsid w:val="003845C1"/>
    <w:rsid w:val="00385D9A"/>
    <w:rsid w:val="00395BDB"/>
    <w:rsid w:val="003A6F89"/>
    <w:rsid w:val="003B38C1"/>
    <w:rsid w:val="003B39FD"/>
    <w:rsid w:val="003C34E9"/>
    <w:rsid w:val="003C45C2"/>
    <w:rsid w:val="003E5861"/>
    <w:rsid w:val="003F6F01"/>
    <w:rsid w:val="00423E3E"/>
    <w:rsid w:val="00427AF4"/>
    <w:rsid w:val="004417B3"/>
    <w:rsid w:val="00442A32"/>
    <w:rsid w:val="0045579E"/>
    <w:rsid w:val="004647DA"/>
    <w:rsid w:val="00466D9E"/>
    <w:rsid w:val="00474062"/>
    <w:rsid w:val="004769D1"/>
    <w:rsid w:val="00477D6B"/>
    <w:rsid w:val="00482E4F"/>
    <w:rsid w:val="00491601"/>
    <w:rsid w:val="004A2942"/>
    <w:rsid w:val="004B446A"/>
    <w:rsid w:val="004B6994"/>
    <w:rsid w:val="004C572F"/>
    <w:rsid w:val="005019FF"/>
    <w:rsid w:val="0052652C"/>
    <w:rsid w:val="0053057A"/>
    <w:rsid w:val="00537343"/>
    <w:rsid w:val="00556076"/>
    <w:rsid w:val="00560A29"/>
    <w:rsid w:val="00573F0D"/>
    <w:rsid w:val="005829E9"/>
    <w:rsid w:val="00596424"/>
    <w:rsid w:val="0059762F"/>
    <w:rsid w:val="005B3B09"/>
    <w:rsid w:val="005C6649"/>
    <w:rsid w:val="005C79F6"/>
    <w:rsid w:val="005F0E70"/>
    <w:rsid w:val="00605827"/>
    <w:rsid w:val="00635FFC"/>
    <w:rsid w:val="00646050"/>
    <w:rsid w:val="006713CA"/>
    <w:rsid w:val="00676C5C"/>
    <w:rsid w:val="006806D3"/>
    <w:rsid w:val="00687CDD"/>
    <w:rsid w:val="006A091D"/>
    <w:rsid w:val="006A5C36"/>
    <w:rsid w:val="006C238E"/>
    <w:rsid w:val="006C322C"/>
    <w:rsid w:val="006C5B74"/>
    <w:rsid w:val="006C712A"/>
    <w:rsid w:val="006D3315"/>
    <w:rsid w:val="006D6AC9"/>
    <w:rsid w:val="006E0951"/>
    <w:rsid w:val="006E65FA"/>
    <w:rsid w:val="006F04BC"/>
    <w:rsid w:val="0070049D"/>
    <w:rsid w:val="00705803"/>
    <w:rsid w:val="00720EFD"/>
    <w:rsid w:val="007578A4"/>
    <w:rsid w:val="00761CD8"/>
    <w:rsid w:val="00765A0C"/>
    <w:rsid w:val="007854AF"/>
    <w:rsid w:val="00786F89"/>
    <w:rsid w:val="00793A7C"/>
    <w:rsid w:val="007A37BA"/>
    <w:rsid w:val="007A398A"/>
    <w:rsid w:val="007A3EC4"/>
    <w:rsid w:val="007A778B"/>
    <w:rsid w:val="007D1613"/>
    <w:rsid w:val="007D570A"/>
    <w:rsid w:val="007E4593"/>
    <w:rsid w:val="007E4C0E"/>
    <w:rsid w:val="007F0346"/>
    <w:rsid w:val="00810838"/>
    <w:rsid w:val="008543C9"/>
    <w:rsid w:val="00882E14"/>
    <w:rsid w:val="00891664"/>
    <w:rsid w:val="008A134B"/>
    <w:rsid w:val="008B2CC1"/>
    <w:rsid w:val="008B60B2"/>
    <w:rsid w:val="008C660E"/>
    <w:rsid w:val="008D5EAB"/>
    <w:rsid w:val="008E0F72"/>
    <w:rsid w:val="0090731E"/>
    <w:rsid w:val="00916EE2"/>
    <w:rsid w:val="00934DF7"/>
    <w:rsid w:val="00941949"/>
    <w:rsid w:val="009551CD"/>
    <w:rsid w:val="00966A22"/>
    <w:rsid w:val="0096722F"/>
    <w:rsid w:val="00980843"/>
    <w:rsid w:val="0099237F"/>
    <w:rsid w:val="0099608A"/>
    <w:rsid w:val="009A31F1"/>
    <w:rsid w:val="009A53C9"/>
    <w:rsid w:val="009A68EE"/>
    <w:rsid w:val="009D340B"/>
    <w:rsid w:val="009E2791"/>
    <w:rsid w:val="009E3F6F"/>
    <w:rsid w:val="009F499F"/>
    <w:rsid w:val="00A0373A"/>
    <w:rsid w:val="00A0628B"/>
    <w:rsid w:val="00A37342"/>
    <w:rsid w:val="00A42DAF"/>
    <w:rsid w:val="00A45BD8"/>
    <w:rsid w:val="00A51438"/>
    <w:rsid w:val="00A53F2A"/>
    <w:rsid w:val="00A743D1"/>
    <w:rsid w:val="00A869B7"/>
    <w:rsid w:val="00A90A3C"/>
    <w:rsid w:val="00A90F0A"/>
    <w:rsid w:val="00AB6815"/>
    <w:rsid w:val="00AC205C"/>
    <w:rsid w:val="00AF0A6B"/>
    <w:rsid w:val="00B05A69"/>
    <w:rsid w:val="00B50A19"/>
    <w:rsid w:val="00B74BB7"/>
    <w:rsid w:val="00B75281"/>
    <w:rsid w:val="00B92F1F"/>
    <w:rsid w:val="00B9734B"/>
    <w:rsid w:val="00BA30E2"/>
    <w:rsid w:val="00BB1D82"/>
    <w:rsid w:val="00BB23EE"/>
    <w:rsid w:val="00BC039A"/>
    <w:rsid w:val="00BE1156"/>
    <w:rsid w:val="00C000FF"/>
    <w:rsid w:val="00C00276"/>
    <w:rsid w:val="00C02229"/>
    <w:rsid w:val="00C11BFE"/>
    <w:rsid w:val="00C27C58"/>
    <w:rsid w:val="00C411AD"/>
    <w:rsid w:val="00C42435"/>
    <w:rsid w:val="00C5047D"/>
    <w:rsid w:val="00C5068F"/>
    <w:rsid w:val="00C82284"/>
    <w:rsid w:val="00C84176"/>
    <w:rsid w:val="00C86D74"/>
    <w:rsid w:val="00CC6CDC"/>
    <w:rsid w:val="00CD04F1"/>
    <w:rsid w:val="00CF6256"/>
    <w:rsid w:val="00CF681A"/>
    <w:rsid w:val="00D07C78"/>
    <w:rsid w:val="00D3391E"/>
    <w:rsid w:val="00D409A4"/>
    <w:rsid w:val="00D45252"/>
    <w:rsid w:val="00D61EC6"/>
    <w:rsid w:val="00D62A0E"/>
    <w:rsid w:val="00D71B4D"/>
    <w:rsid w:val="00D93D4C"/>
    <w:rsid w:val="00D93D55"/>
    <w:rsid w:val="00DA04C2"/>
    <w:rsid w:val="00DA0584"/>
    <w:rsid w:val="00DB32CE"/>
    <w:rsid w:val="00DD7B7F"/>
    <w:rsid w:val="00DE190F"/>
    <w:rsid w:val="00DF28A3"/>
    <w:rsid w:val="00DF3437"/>
    <w:rsid w:val="00DF6203"/>
    <w:rsid w:val="00E131C5"/>
    <w:rsid w:val="00E14C7F"/>
    <w:rsid w:val="00E15015"/>
    <w:rsid w:val="00E31B4F"/>
    <w:rsid w:val="00E335FE"/>
    <w:rsid w:val="00E35192"/>
    <w:rsid w:val="00E47C64"/>
    <w:rsid w:val="00E824D6"/>
    <w:rsid w:val="00E827BF"/>
    <w:rsid w:val="00E827D3"/>
    <w:rsid w:val="00E82F6F"/>
    <w:rsid w:val="00E859DE"/>
    <w:rsid w:val="00E955BE"/>
    <w:rsid w:val="00E97351"/>
    <w:rsid w:val="00EA2A90"/>
    <w:rsid w:val="00EA7D6E"/>
    <w:rsid w:val="00EB2F76"/>
    <w:rsid w:val="00EB363F"/>
    <w:rsid w:val="00EC4E49"/>
    <w:rsid w:val="00ED77FB"/>
    <w:rsid w:val="00EE2539"/>
    <w:rsid w:val="00EE45FA"/>
    <w:rsid w:val="00EF044F"/>
    <w:rsid w:val="00EF486E"/>
    <w:rsid w:val="00F043DE"/>
    <w:rsid w:val="00F10BEA"/>
    <w:rsid w:val="00F23095"/>
    <w:rsid w:val="00F42E48"/>
    <w:rsid w:val="00F5510E"/>
    <w:rsid w:val="00F63809"/>
    <w:rsid w:val="00F66152"/>
    <w:rsid w:val="00F84CA5"/>
    <w:rsid w:val="00F9165B"/>
    <w:rsid w:val="00FA2FA2"/>
    <w:rsid w:val="00FA33DA"/>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PH&amp;doc-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PH&amp;doc-lan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documents/d/pct-system/docs-en-official-notices-officialnotic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7</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PCT/CTC/33/17</vt:lpstr>
    </vt:vector>
  </TitlesOfParts>
  <Company>WIPO</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PCT/CTC/33/17</dc:title>
  <dc:subject>延长对菲律宾知识产权局作为PCT国际检索和初步审查单位的指定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2026-01-08T14:56:00Z</dcterms:created>
  <dcterms:modified xsi:type="dcterms:W3CDTF">2026-01-08T14:56:00Z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