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23161" w:rsidRPr="00EB0B4A" w:rsidTr="00DC2A03">
        <w:trPr>
          <w:trHeight w:val="1977"/>
        </w:trPr>
        <w:tc>
          <w:tcPr>
            <w:tcW w:w="4594" w:type="dxa"/>
            <w:tcBorders>
              <w:bottom w:val="single" w:sz="4" w:space="0" w:color="auto"/>
            </w:tcBorders>
            <w:tcMar>
              <w:bottom w:w="170" w:type="dxa"/>
            </w:tcMar>
          </w:tcPr>
          <w:p w:rsidR="00E23161" w:rsidRPr="00EB0B4A" w:rsidRDefault="00E23161" w:rsidP="00DC2A03">
            <w:pPr>
              <w:rPr>
                <w:sz w:val="24"/>
              </w:rPr>
            </w:pPr>
            <w:r w:rsidRPr="00EB0B4A">
              <w:rPr>
                <w:noProof/>
              </w:rPr>
              <w:drawing>
                <wp:anchor distT="0" distB="0" distL="114300" distR="114300" simplePos="0" relativeHeight="251659264" behindDoc="1" locked="0" layoutInCell="0" allowOverlap="1" wp14:anchorId="1CF31892" wp14:editId="35024805">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E23161" w:rsidRPr="00EB0B4A" w:rsidRDefault="00E23161" w:rsidP="00DC2A03">
            <w:pPr>
              <w:rPr>
                <w:sz w:val="24"/>
              </w:rPr>
            </w:pPr>
          </w:p>
        </w:tc>
        <w:tc>
          <w:tcPr>
            <w:tcW w:w="425" w:type="dxa"/>
            <w:tcBorders>
              <w:bottom w:val="single" w:sz="4" w:space="0" w:color="auto"/>
            </w:tcBorders>
            <w:tcMar>
              <w:bottom w:w="170" w:type="dxa"/>
            </w:tcMar>
          </w:tcPr>
          <w:p w:rsidR="00E23161" w:rsidRPr="00EB0B4A" w:rsidRDefault="00E23161" w:rsidP="00DC2A03">
            <w:pPr>
              <w:jc w:val="right"/>
              <w:rPr>
                <w:sz w:val="24"/>
              </w:rPr>
            </w:pPr>
            <w:r w:rsidRPr="00EB0B4A">
              <w:rPr>
                <w:b/>
                <w:sz w:val="40"/>
                <w:szCs w:val="40"/>
              </w:rPr>
              <w:t>C</w:t>
            </w:r>
          </w:p>
        </w:tc>
      </w:tr>
      <w:tr w:rsidR="00E23161" w:rsidRPr="00EB0B4A" w:rsidTr="00DC2A03">
        <w:trPr>
          <w:trHeight w:hRule="exact" w:val="340"/>
        </w:trPr>
        <w:tc>
          <w:tcPr>
            <w:tcW w:w="9356" w:type="dxa"/>
            <w:gridSpan w:val="3"/>
            <w:tcBorders>
              <w:top w:val="single" w:sz="4" w:space="0" w:color="auto"/>
            </w:tcBorders>
            <w:tcMar>
              <w:top w:w="170" w:type="dxa"/>
              <w:left w:w="0" w:type="dxa"/>
              <w:right w:w="0" w:type="dxa"/>
            </w:tcMar>
            <w:vAlign w:val="bottom"/>
          </w:tcPr>
          <w:p w:rsidR="00E23161" w:rsidRPr="00EB0B4A" w:rsidRDefault="00E23161" w:rsidP="009E3A3C">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sidR="009E3A3C">
              <w:rPr>
                <w:rFonts w:ascii="Arial Black" w:hAnsi="Arial Black" w:hint="eastAsia"/>
                <w:caps/>
                <w:sz w:val="15"/>
              </w:rPr>
              <w:t>24</w:t>
            </w:r>
          </w:p>
        </w:tc>
      </w:tr>
      <w:tr w:rsidR="00E23161" w:rsidRPr="00EB0B4A" w:rsidTr="00DC2A03">
        <w:trPr>
          <w:trHeight w:hRule="exact" w:val="170"/>
        </w:trPr>
        <w:tc>
          <w:tcPr>
            <w:tcW w:w="9356" w:type="dxa"/>
            <w:gridSpan w:val="3"/>
            <w:noWrap/>
            <w:tcMar>
              <w:left w:w="0" w:type="dxa"/>
              <w:right w:w="0" w:type="dxa"/>
            </w:tcMar>
            <w:vAlign w:val="bottom"/>
          </w:tcPr>
          <w:p w:rsidR="00E23161" w:rsidRPr="00EB0B4A" w:rsidRDefault="00E23161" w:rsidP="00DC2A03">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E23161" w:rsidRPr="00EB0B4A" w:rsidTr="00DC2A03">
        <w:trPr>
          <w:trHeight w:hRule="exact" w:val="198"/>
        </w:trPr>
        <w:tc>
          <w:tcPr>
            <w:tcW w:w="9356" w:type="dxa"/>
            <w:gridSpan w:val="3"/>
            <w:tcMar>
              <w:left w:w="0" w:type="dxa"/>
              <w:right w:w="0" w:type="dxa"/>
            </w:tcMar>
            <w:vAlign w:val="bottom"/>
          </w:tcPr>
          <w:p w:rsidR="00E23161" w:rsidRPr="00EB0B4A" w:rsidRDefault="00E23161" w:rsidP="00DC2A03">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E23161" w:rsidRPr="00EB0B4A" w:rsidRDefault="00E23161" w:rsidP="00E23161">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E23161" w:rsidRPr="00EB0B4A" w:rsidRDefault="00E23161" w:rsidP="00E23161">
      <w:pPr>
        <w:rPr>
          <w:szCs w:val="22"/>
        </w:rPr>
      </w:pPr>
    </w:p>
    <w:p w:rsidR="00E23161" w:rsidRPr="00EB0B4A" w:rsidRDefault="00E23161" w:rsidP="00E23161">
      <w:pPr>
        <w:rPr>
          <w:szCs w:val="22"/>
        </w:rPr>
      </w:pPr>
    </w:p>
    <w:p w:rsidR="00E23161" w:rsidRPr="00EB0B4A" w:rsidRDefault="00E23161" w:rsidP="00E23161">
      <w:pPr>
        <w:rPr>
          <w:szCs w:val="22"/>
        </w:rPr>
      </w:pPr>
    </w:p>
    <w:p w:rsidR="00E23161" w:rsidRPr="004843B8" w:rsidRDefault="00E23161" w:rsidP="00E23161">
      <w:pPr>
        <w:rPr>
          <w:rFonts w:ascii="KaiTi" w:eastAsia="KaiTi" w:hAnsi="KaiTi"/>
          <w:sz w:val="24"/>
          <w:szCs w:val="24"/>
        </w:rPr>
      </w:pPr>
      <w:bookmarkStart w:id="3" w:name="TitleOfDoc"/>
      <w:bookmarkEnd w:id="3"/>
      <w:r w:rsidRPr="00E23161">
        <w:rPr>
          <w:rFonts w:ascii="KaiTi" w:eastAsia="KaiTi" w:hAnsi="KaiTi" w:hint="eastAsia"/>
          <w:sz w:val="24"/>
          <w:szCs w:val="32"/>
        </w:rPr>
        <w:t>延长对维谢格拉德专利局作为PCT国际检索和初步审查单位的指定</w:t>
      </w:r>
    </w:p>
    <w:p w:rsidR="00E23161" w:rsidRPr="00EB0B4A" w:rsidRDefault="00E23161" w:rsidP="00E23161">
      <w:pPr>
        <w:rPr>
          <w:szCs w:val="22"/>
        </w:rPr>
      </w:pPr>
    </w:p>
    <w:p w:rsidR="00E23161" w:rsidRPr="00963EFC" w:rsidRDefault="00E23161" w:rsidP="00E23161">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E23161" w:rsidRDefault="00E23161" w:rsidP="00E23161"/>
    <w:p w:rsidR="00E23161" w:rsidRDefault="00E23161" w:rsidP="00E23161"/>
    <w:p w:rsidR="00E23161" w:rsidRDefault="00E23161" w:rsidP="00E23161"/>
    <w:p w:rsidR="00E23161" w:rsidRDefault="00E23161" w:rsidP="00E23161"/>
    <w:bookmarkStart w:id="5" w:name="_Ref447032909"/>
    <w:p w:rsidR="0046454C" w:rsidRPr="00925747" w:rsidRDefault="00927786" w:rsidP="00927786">
      <w:pPr>
        <w:pStyle w:val="ONUME"/>
        <w:tabs>
          <w:tab w:val="clear" w:pos="567"/>
        </w:tabs>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211F9A" w:rsidRPr="00925747">
        <w:rPr>
          <w:rFonts w:ascii="SimSun" w:hAnsi="SimSun"/>
          <w:sz w:val="21"/>
        </w:rPr>
        <w:t>PCT大会对所有现有国际单位的指定将于2017年12月31日到期。因此在2017年，大会需要首先征求本委员会的意见，然后对是否延长指定那些希望其指定被延长的现有国际单位</w:t>
      </w:r>
      <w:proofErr w:type="gramStart"/>
      <w:r w:rsidR="00211F9A" w:rsidRPr="00925747">
        <w:rPr>
          <w:rFonts w:ascii="SimSun" w:hAnsi="SimSun"/>
          <w:sz w:val="21"/>
        </w:rPr>
        <w:t>作出</w:t>
      </w:r>
      <w:proofErr w:type="gramEnd"/>
      <w:r w:rsidR="00211F9A" w:rsidRPr="00925747">
        <w:rPr>
          <w:rFonts w:ascii="SimSun" w:hAnsi="SimSun"/>
          <w:sz w:val="21"/>
        </w:rPr>
        <w:t>决定（见《专利合作条约》第16条第(3)款(e)项和第32条第(3)款）。</w:t>
      </w:r>
      <w:bookmarkEnd w:id="5"/>
      <w:r w:rsidR="00211F9A" w:rsidRPr="00925747">
        <w:rPr>
          <w:rFonts w:ascii="SimSun" w:hAnsi="SimSun"/>
          <w:sz w:val="21"/>
        </w:rPr>
        <w:t>关于该程序以及委员会作用的信息载于文件PCT/CTC/30/INF/1。</w:t>
      </w:r>
    </w:p>
    <w:p w:rsidR="0046454C" w:rsidRPr="00925747" w:rsidRDefault="00927786" w:rsidP="00927786">
      <w:pPr>
        <w:pStyle w:val="ONUME"/>
        <w:tabs>
          <w:tab w:val="clear" w:pos="567"/>
        </w:tabs>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211F9A" w:rsidRPr="00925747">
        <w:rPr>
          <w:rFonts w:ascii="SimSun" w:hAnsi="SimSun"/>
          <w:sz w:val="21"/>
        </w:rPr>
        <w:t>2017年3月8日，维谢格拉德专利局提交了关于延长对其作为PCT国际检索单位和国际初步审查单位指定的申请。该申请转录于本文件附件。</w:t>
      </w:r>
    </w:p>
    <w:p w:rsidR="0046454C" w:rsidRPr="00927786" w:rsidRDefault="00927786" w:rsidP="00927786">
      <w:pPr>
        <w:pStyle w:val="ONUME"/>
        <w:tabs>
          <w:tab w:val="clear" w:pos="567"/>
        </w:tabs>
        <w:overflowPunct w:val="0"/>
        <w:spacing w:afterLines="50" w:after="120" w:line="340" w:lineRule="atLeast"/>
        <w:ind w:left="5534"/>
        <w:jc w:val="both"/>
        <w:rPr>
          <w:rFonts w:ascii="KaiTi" w:eastAsia="KaiTi" w:hAnsi="KaiTi"/>
          <w:sz w:val="21"/>
        </w:rPr>
      </w:pPr>
      <w:r w:rsidRPr="00927786">
        <w:rPr>
          <w:rFonts w:ascii="KaiTi" w:eastAsia="KaiTi" w:hAnsi="KaiTi"/>
          <w:sz w:val="21"/>
        </w:rPr>
        <w:fldChar w:fldCharType="begin"/>
      </w:r>
      <w:r w:rsidRPr="00927786">
        <w:rPr>
          <w:rFonts w:ascii="KaiTi" w:eastAsia="KaiTi" w:hAnsi="KaiTi"/>
          <w:sz w:val="21"/>
        </w:rPr>
        <w:instrText xml:space="preserve"> </w:instrText>
      </w:r>
      <w:r w:rsidRPr="00927786">
        <w:rPr>
          <w:rFonts w:ascii="KaiTi" w:eastAsia="KaiTi" w:hAnsi="KaiTi" w:hint="eastAsia"/>
          <w:sz w:val="21"/>
        </w:rPr>
        <w:instrText>AUTONUM  \* Arabic</w:instrText>
      </w:r>
      <w:r w:rsidRPr="00927786">
        <w:rPr>
          <w:rFonts w:ascii="KaiTi" w:eastAsia="KaiTi" w:hAnsi="KaiTi"/>
          <w:sz w:val="21"/>
        </w:rPr>
        <w:instrText xml:space="preserve"> </w:instrText>
      </w:r>
      <w:r w:rsidRPr="00927786">
        <w:rPr>
          <w:rFonts w:ascii="KaiTi" w:eastAsia="KaiTi" w:hAnsi="KaiTi"/>
          <w:sz w:val="21"/>
        </w:rPr>
        <w:fldChar w:fldCharType="end"/>
      </w:r>
      <w:r w:rsidRPr="00927786">
        <w:rPr>
          <w:rFonts w:ascii="KaiTi" w:eastAsia="KaiTi" w:hAnsi="KaiTi" w:hint="eastAsia"/>
          <w:sz w:val="21"/>
        </w:rPr>
        <w:t>.</w:t>
      </w:r>
      <w:r w:rsidRPr="00927786">
        <w:rPr>
          <w:rFonts w:ascii="KaiTi" w:eastAsia="KaiTi" w:hAnsi="KaiTi" w:hint="eastAsia"/>
          <w:sz w:val="21"/>
        </w:rPr>
        <w:tab/>
      </w:r>
      <w:r w:rsidR="00211F9A" w:rsidRPr="00927786">
        <w:rPr>
          <w:rFonts w:ascii="KaiTi" w:eastAsia="KaiTi" w:hAnsi="KaiTi" w:hint="eastAsia"/>
          <w:sz w:val="21"/>
        </w:rPr>
        <w:t>请委员会就此事项提出意见。</w:t>
      </w:r>
    </w:p>
    <w:p w:rsidR="0046454C" w:rsidRPr="00927786" w:rsidRDefault="0046454C" w:rsidP="00927786">
      <w:pPr>
        <w:pStyle w:val="ONUME"/>
        <w:tabs>
          <w:tab w:val="clear" w:pos="567"/>
        </w:tabs>
        <w:overflowPunct w:val="0"/>
        <w:spacing w:afterLines="50" w:after="120" w:line="340" w:lineRule="atLeast"/>
        <w:ind w:left="5534"/>
        <w:jc w:val="both"/>
        <w:rPr>
          <w:rFonts w:ascii="KaiTi" w:eastAsia="KaiTi" w:hAnsi="KaiTi"/>
          <w:sz w:val="21"/>
        </w:rPr>
      </w:pPr>
    </w:p>
    <w:p w:rsidR="0046454C" w:rsidRDefault="00211F9A" w:rsidP="00927786">
      <w:pPr>
        <w:pStyle w:val="ONUME"/>
        <w:tabs>
          <w:tab w:val="clear" w:pos="567"/>
        </w:tabs>
        <w:overflowPunct w:val="0"/>
        <w:spacing w:afterLines="50" w:after="120" w:line="340" w:lineRule="atLeast"/>
        <w:ind w:left="5534"/>
        <w:jc w:val="both"/>
        <w:rPr>
          <w:rFonts w:ascii="KaiTi" w:eastAsia="KaiTi" w:hAnsi="KaiTi"/>
          <w:sz w:val="21"/>
        </w:rPr>
      </w:pPr>
      <w:r w:rsidRPr="00927786">
        <w:rPr>
          <w:rFonts w:ascii="KaiTi" w:eastAsia="KaiTi" w:hAnsi="KaiTi"/>
          <w:sz w:val="21"/>
        </w:rPr>
        <w:t>[后接附件]</w:t>
      </w:r>
    </w:p>
    <w:p w:rsidR="00927786" w:rsidRPr="00927786" w:rsidRDefault="00927786" w:rsidP="00927786">
      <w:pPr>
        <w:pStyle w:val="ONUME"/>
        <w:tabs>
          <w:tab w:val="clear" w:pos="567"/>
        </w:tabs>
        <w:overflowPunct w:val="0"/>
        <w:spacing w:afterLines="50" w:after="120" w:line="340" w:lineRule="atLeast"/>
        <w:ind w:left="5534"/>
        <w:jc w:val="both"/>
        <w:rPr>
          <w:rFonts w:ascii="KaiTi" w:eastAsia="KaiTi" w:hAnsi="KaiTi"/>
          <w:sz w:val="21"/>
        </w:rPr>
        <w:sectPr w:rsidR="00927786" w:rsidRPr="00927786">
          <w:headerReference w:type="default" r:id="rId11"/>
          <w:endnotePr>
            <w:numFmt w:val="decimal"/>
          </w:endnotePr>
          <w:pgSz w:w="11907" w:h="16840"/>
          <w:pgMar w:top="567" w:right="1134" w:bottom="1418" w:left="1418" w:header="510" w:footer="1021" w:gutter="0"/>
          <w:cols w:space="720"/>
          <w:titlePg/>
          <w:docGrid w:linePitch="299"/>
        </w:sectPr>
      </w:pPr>
    </w:p>
    <w:p w:rsidR="0046454C" w:rsidRPr="00927786" w:rsidRDefault="00211F9A" w:rsidP="00927786">
      <w:pPr>
        <w:pStyle w:val="ONUME"/>
        <w:tabs>
          <w:tab w:val="clear" w:pos="567"/>
        </w:tabs>
        <w:spacing w:beforeLines="100" w:before="240" w:afterLines="300" w:after="720" w:line="340" w:lineRule="atLeast"/>
        <w:jc w:val="center"/>
        <w:rPr>
          <w:rFonts w:ascii="SimSun" w:hAnsi="SimSun"/>
          <w:b/>
          <w:caps/>
          <w:sz w:val="21"/>
        </w:rPr>
      </w:pPr>
      <w:r w:rsidRPr="00927786">
        <w:rPr>
          <w:rFonts w:ascii="SimSun" w:hAnsi="SimSun"/>
          <w:b/>
          <w:caps/>
          <w:sz w:val="21"/>
        </w:rPr>
        <w:lastRenderedPageBreak/>
        <w:t>维谢格拉德专利局关于延长对其作为PCT国际检索和初步审查单位指定的申请</w:t>
      </w:r>
    </w:p>
    <w:p w:rsidR="0046454C" w:rsidRPr="00927786" w:rsidRDefault="00927786" w:rsidP="00927786">
      <w:pPr>
        <w:pStyle w:val="1"/>
        <w:spacing w:beforeLines="100" w:afterLines="50" w:after="120" w:line="340" w:lineRule="atLeast"/>
        <w:rPr>
          <w:rFonts w:ascii="SimHei" w:eastAsia="SimHei" w:hAnsi="SimHei"/>
          <w:b w:val="0"/>
          <w:sz w:val="21"/>
        </w:rPr>
      </w:pPr>
      <w:r w:rsidRPr="00927786">
        <w:rPr>
          <w:rFonts w:ascii="SimHei" w:eastAsia="SimHei" w:hAnsi="SimHei" w:hint="eastAsia"/>
          <w:b w:val="0"/>
          <w:sz w:val="21"/>
        </w:rPr>
        <w:t>一、</w:t>
      </w:r>
      <w:r w:rsidR="00211F9A" w:rsidRPr="00927786">
        <w:rPr>
          <w:rFonts w:ascii="SimHei" w:eastAsia="SimHei" w:hAnsi="SimHei"/>
          <w:b w:val="0"/>
          <w:sz w:val="21"/>
        </w:rPr>
        <w:t>维谢格拉德专利局介绍</w:t>
      </w:r>
    </w:p>
    <w:p w:rsidR="0046454C" w:rsidRPr="00927786" w:rsidRDefault="00211F9A" w:rsidP="00927786">
      <w:pPr>
        <w:pStyle w:val="4"/>
        <w:overflowPunct w:val="0"/>
        <w:spacing w:beforeLines="100" w:afterLines="50" w:after="120" w:line="340" w:lineRule="atLeast"/>
        <w:rPr>
          <w:rFonts w:ascii="KaiTi" w:eastAsia="KaiTi" w:hAnsi="KaiTi"/>
          <w:sz w:val="21"/>
        </w:rPr>
      </w:pPr>
      <w:r w:rsidRPr="00927786">
        <w:rPr>
          <w:rFonts w:ascii="KaiTi" w:eastAsia="KaiTi" w:hAnsi="KaiTi"/>
          <w:i w:val="0"/>
          <w:iCs/>
          <w:sz w:val="21"/>
        </w:rPr>
        <w:t>1.1.</w:t>
      </w:r>
      <w:r w:rsidRPr="00927786">
        <w:rPr>
          <w:rFonts w:ascii="KaiTi" w:eastAsia="KaiTi" w:hAnsi="KaiTi" w:cs="KaiTi" w:hint="eastAsia"/>
          <w:i w:val="0"/>
          <w:iCs/>
          <w:sz w:val="21"/>
        </w:rPr>
        <w:t>维谢格拉德专利局的主要目标</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维谢格拉德专利局</w:t>
      </w:r>
      <w:r w:rsidRPr="00925747">
        <w:rPr>
          <w:rFonts w:ascii="SimSun" w:hAnsi="SimSun" w:hint="eastAsia"/>
          <w:sz w:val="21"/>
        </w:rPr>
        <w:t>（</w:t>
      </w:r>
      <w:r w:rsidRPr="00925747">
        <w:rPr>
          <w:rFonts w:ascii="SimSun" w:hAnsi="SimSun"/>
          <w:sz w:val="21"/>
        </w:rPr>
        <w:t>以下称为</w:t>
      </w:r>
      <w:r w:rsidRPr="00925747">
        <w:rPr>
          <w:rFonts w:ascii="SimSun" w:hAnsi="SimSun" w:hint="eastAsia"/>
          <w:sz w:val="21"/>
        </w:rPr>
        <w:t>“</w:t>
      </w:r>
      <w:r w:rsidRPr="00925747">
        <w:rPr>
          <w:rFonts w:ascii="SimSun" w:hAnsi="SimSun"/>
          <w:sz w:val="21"/>
        </w:rPr>
        <w:t>VPI</w:t>
      </w:r>
      <w:r w:rsidRPr="00925747">
        <w:rPr>
          <w:rFonts w:ascii="SimSun" w:hAnsi="SimSun" w:hint="eastAsia"/>
          <w:sz w:val="21"/>
        </w:rPr>
        <w:t>”）</w:t>
      </w:r>
      <w:r w:rsidRPr="00925747">
        <w:rPr>
          <w:rFonts w:ascii="SimSun" w:hAnsi="SimSun"/>
          <w:sz w:val="21"/>
        </w:rPr>
        <w:t>是一家在专利领域进行合作的政府间组织，由四个维谢格拉德国家建立</w:t>
      </w:r>
      <w:r w:rsidRPr="00925747">
        <w:rPr>
          <w:rFonts w:ascii="SimSun" w:hAnsi="SimSun" w:hint="eastAsia"/>
          <w:sz w:val="21"/>
        </w:rPr>
        <w:t>，即</w:t>
      </w:r>
      <w:r w:rsidRPr="00925747">
        <w:rPr>
          <w:rFonts w:ascii="SimSun" w:hAnsi="SimSun"/>
          <w:sz w:val="21"/>
        </w:rPr>
        <w:t>捷克共和国、匈牙利、波兰共和国和斯洛伐克共和国</w:t>
      </w:r>
      <w:r w:rsidRPr="00925747">
        <w:rPr>
          <w:rFonts w:ascii="SimSun" w:hAnsi="SimSun" w:hint="eastAsia"/>
          <w:sz w:val="21"/>
        </w:rPr>
        <w:t>（</w:t>
      </w:r>
      <w:r w:rsidRPr="00925747">
        <w:rPr>
          <w:rFonts w:ascii="SimSun" w:hAnsi="SimSun"/>
          <w:sz w:val="21"/>
        </w:rPr>
        <w:t>以下称为</w:t>
      </w:r>
      <w:r w:rsidRPr="00925747">
        <w:rPr>
          <w:rFonts w:ascii="SimSun" w:hAnsi="SimSun" w:hint="eastAsia"/>
          <w:sz w:val="21"/>
        </w:rPr>
        <w:t>“</w:t>
      </w:r>
      <w:r w:rsidRPr="00925747">
        <w:rPr>
          <w:rFonts w:ascii="SimSun" w:hAnsi="SimSun"/>
          <w:sz w:val="21"/>
        </w:rPr>
        <w:t>V4国家</w:t>
      </w:r>
      <w:r w:rsidRPr="00925747">
        <w:rPr>
          <w:rFonts w:ascii="SimSun" w:hAnsi="SimSun" w:hint="eastAsia"/>
          <w:sz w:val="21"/>
        </w:rPr>
        <w:t>”）</w:t>
      </w:r>
      <w:r w:rsidRPr="00925747">
        <w:rPr>
          <w:rFonts w:ascii="SimSun" w:hAnsi="SimSun"/>
          <w:sz w:val="21"/>
        </w:rPr>
        <w:t>。</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VPI希望被重新指定为《专利合作条约》</w:t>
      </w:r>
      <w:r w:rsidRPr="00925747">
        <w:rPr>
          <w:rFonts w:ascii="SimSun" w:hAnsi="SimSun" w:hint="eastAsia"/>
          <w:sz w:val="21"/>
        </w:rPr>
        <w:t>（</w:t>
      </w:r>
      <w:r w:rsidRPr="00925747">
        <w:rPr>
          <w:rFonts w:ascii="SimSun" w:hAnsi="SimSun"/>
          <w:sz w:val="21"/>
        </w:rPr>
        <w:t>PCT</w:t>
      </w:r>
      <w:r w:rsidRPr="00925747">
        <w:rPr>
          <w:rFonts w:ascii="SimSun" w:hAnsi="SimSun" w:hint="eastAsia"/>
          <w:sz w:val="21"/>
        </w:rPr>
        <w:t>）</w:t>
      </w:r>
      <w:r w:rsidRPr="00925747">
        <w:rPr>
          <w:rFonts w:ascii="SimSun" w:hAnsi="SimSun"/>
          <w:sz w:val="21"/>
        </w:rPr>
        <w:t>国际检索单位和国际初步审查单位，以在不同层面</w:t>
      </w:r>
      <w:r w:rsidRPr="00925747">
        <w:rPr>
          <w:rFonts w:ascii="SimSun" w:hAnsi="SimSun" w:hint="eastAsia"/>
          <w:sz w:val="21"/>
        </w:rPr>
        <w:t>（</w:t>
      </w:r>
      <w:r w:rsidRPr="00925747">
        <w:rPr>
          <w:rFonts w:ascii="SimSun" w:hAnsi="SimSun"/>
          <w:sz w:val="21"/>
        </w:rPr>
        <w:t>全球、欧洲、地区和国家</w:t>
      </w:r>
      <w:r w:rsidRPr="00925747">
        <w:rPr>
          <w:rFonts w:ascii="SimSun" w:hAnsi="SimSun" w:hint="eastAsia"/>
          <w:sz w:val="21"/>
        </w:rPr>
        <w:t>）</w:t>
      </w:r>
      <w:r w:rsidRPr="00925747">
        <w:rPr>
          <w:rFonts w:ascii="SimSun" w:hAnsi="SimSun"/>
          <w:sz w:val="21"/>
        </w:rPr>
        <w:t>实现一个广泛的重要目标。</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专利体系是通过创新促进经济发展的一个基本要素。尽管专利是最基本的法律工具，但</w:t>
      </w:r>
      <w:proofErr w:type="gramStart"/>
      <w:r w:rsidRPr="00925747">
        <w:rPr>
          <w:rFonts w:ascii="SimSun" w:hAnsi="SimSun"/>
          <w:sz w:val="21"/>
        </w:rPr>
        <w:t>也服务</w:t>
      </w:r>
      <w:proofErr w:type="gramEnd"/>
      <w:r w:rsidRPr="00925747">
        <w:rPr>
          <w:rFonts w:ascii="SimSun" w:hAnsi="SimSun"/>
          <w:sz w:val="21"/>
        </w:rPr>
        <w:t>于重要的经济目标，即促进创新和经济增长。一个国家</w:t>
      </w:r>
      <w:r w:rsidRPr="00925747">
        <w:rPr>
          <w:rFonts w:ascii="SimSun" w:hAnsi="SimSun" w:hint="eastAsia"/>
          <w:sz w:val="21"/>
        </w:rPr>
        <w:t>（</w:t>
      </w:r>
      <w:r w:rsidRPr="00925747">
        <w:rPr>
          <w:rFonts w:ascii="SimSun" w:hAnsi="SimSun"/>
          <w:sz w:val="21"/>
        </w:rPr>
        <w:t>或地区</w:t>
      </w:r>
      <w:r w:rsidRPr="00925747">
        <w:rPr>
          <w:rFonts w:ascii="SimSun" w:hAnsi="SimSun" w:hint="eastAsia"/>
          <w:sz w:val="21"/>
        </w:rPr>
        <w:t>）</w:t>
      </w:r>
      <w:r w:rsidRPr="00925747">
        <w:rPr>
          <w:rFonts w:ascii="SimSun" w:hAnsi="SimSun"/>
          <w:sz w:val="21"/>
        </w:rPr>
        <w:t>的创新水平和该国家</w:t>
      </w:r>
      <w:r w:rsidRPr="00925747">
        <w:rPr>
          <w:rFonts w:ascii="SimSun" w:hAnsi="SimSun" w:hint="eastAsia"/>
          <w:sz w:val="21"/>
        </w:rPr>
        <w:t>（</w:t>
      </w:r>
      <w:r w:rsidRPr="00925747">
        <w:rPr>
          <w:rFonts w:ascii="SimSun" w:hAnsi="SimSun"/>
          <w:sz w:val="21"/>
        </w:rPr>
        <w:t>或地区</w:t>
      </w:r>
      <w:r w:rsidRPr="00925747">
        <w:rPr>
          <w:rFonts w:ascii="SimSun" w:hAnsi="SimSun" w:hint="eastAsia"/>
          <w:sz w:val="21"/>
        </w:rPr>
        <w:t>）</w:t>
      </w:r>
      <w:r w:rsidRPr="00925747">
        <w:rPr>
          <w:rFonts w:ascii="SimSun" w:hAnsi="SimSun"/>
          <w:sz w:val="21"/>
        </w:rPr>
        <w:t>专利保护框架条件的质量也有直接的关系，而国家知识产权局和PCT单位</w:t>
      </w:r>
      <w:r w:rsidRPr="00925747">
        <w:rPr>
          <w:rFonts w:ascii="SimSun" w:hAnsi="SimSun" w:hint="eastAsia"/>
          <w:sz w:val="21"/>
        </w:rPr>
        <w:t>是</w:t>
      </w:r>
      <w:r w:rsidRPr="00925747">
        <w:rPr>
          <w:rFonts w:ascii="SimSun" w:hAnsi="SimSun"/>
          <w:sz w:val="21"/>
        </w:rPr>
        <w:t>这些框架条件的重要</w:t>
      </w:r>
      <w:r w:rsidRPr="00925747">
        <w:rPr>
          <w:rFonts w:ascii="SimSun" w:hAnsi="SimSun" w:hint="eastAsia"/>
          <w:sz w:val="21"/>
        </w:rPr>
        <w:t>组成</w:t>
      </w:r>
      <w:r w:rsidRPr="00925747">
        <w:rPr>
          <w:rFonts w:ascii="SimSun" w:hAnsi="SimSun"/>
          <w:sz w:val="21"/>
        </w:rPr>
        <w:t>部分。</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在以前沿技术、竞争加剧和提升竞争力需求为特点的21世纪知识经济和信息社会中，全球范围内的专利保护愈发重要。因此，对提供高质量产品和服务的高效专利体系的需求也在日益增长。PCT为创造和维持这样的全球专利体系提供了卓越的平台，并且已经是国际专利保护的高效提供者。</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VPI作为</w:t>
      </w:r>
      <w:r w:rsidRPr="00925747">
        <w:rPr>
          <w:rFonts w:ascii="SimSun" w:hAnsi="SimSun" w:hint="eastAsia"/>
          <w:sz w:val="21"/>
        </w:rPr>
        <w:t>中东欧地区</w:t>
      </w:r>
      <w:r w:rsidRPr="00925747">
        <w:rPr>
          <w:rFonts w:ascii="SimSun" w:hAnsi="SimSun"/>
          <w:sz w:val="21"/>
        </w:rPr>
        <w:t>国际单位填补了PCT全球体系</w:t>
      </w:r>
      <w:r w:rsidRPr="00925747">
        <w:rPr>
          <w:rFonts w:ascii="SimSun" w:hAnsi="SimSun" w:hint="eastAsia"/>
          <w:sz w:val="21"/>
        </w:rPr>
        <w:t>内的</w:t>
      </w:r>
      <w:r w:rsidRPr="00925747">
        <w:rPr>
          <w:rFonts w:ascii="SimSun" w:hAnsi="SimSun"/>
          <w:sz w:val="21"/>
        </w:rPr>
        <w:t>空白。值得注意的是，VPI</w:t>
      </w:r>
      <w:r w:rsidR="005F1213" w:rsidRPr="00925747">
        <w:rPr>
          <w:rFonts w:ascii="SimSun" w:hAnsi="SimSun"/>
          <w:sz w:val="21"/>
        </w:rPr>
        <w:t>是中欧和波罗的海国家地区集团中唯一正在</w:t>
      </w:r>
      <w:r w:rsidR="005F1213" w:rsidRPr="00925747">
        <w:rPr>
          <w:rFonts w:ascii="SimSun" w:hAnsi="SimSun" w:hint="eastAsia"/>
          <w:sz w:val="21"/>
        </w:rPr>
        <w:t>运营</w:t>
      </w:r>
      <w:r w:rsidRPr="00925747">
        <w:rPr>
          <w:rFonts w:ascii="SimSun" w:hAnsi="SimSun"/>
          <w:sz w:val="21"/>
        </w:rPr>
        <w:t>的PCT国际单位。VPI</w:t>
      </w:r>
      <w:r w:rsidRPr="00925747">
        <w:rPr>
          <w:rFonts w:ascii="SimSun" w:hAnsi="SimSun" w:hint="eastAsia"/>
          <w:sz w:val="21"/>
        </w:rPr>
        <w:t>还</w:t>
      </w:r>
      <w:r w:rsidRPr="00925747">
        <w:rPr>
          <w:rFonts w:ascii="SimSun" w:hAnsi="SimSun"/>
          <w:sz w:val="21"/>
        </w:rPr>
        <w:t>弥补了欧洲PCT单位网络中缺少的一环。因此，VPI</w:t>
      </w:r>
      <w:r w:rsidR="00BA62DE" w:rsidRPr="00925747">
        <w:rPr>
          <w:rFonts w:ascii="SimSun" w:hAnsi="SimSun"/>
          <w:sz w:val="21"/>
        </w:rPr>
        <w:t>在已有的基础上进一步增加</w:t>
      </w:r>
      <w:r w:rsidR="00BA62DE" w:rsidRPr="00925747">
        <w:rPr>
          <w:rFonts w:ascii="SimSun" w:hAnsi="SimSun" w:hint="eastAsia"/>
          <w:sz w:val="21"/>
        </w:rPr>
        <w:t>合格的</w:t>
      </w:r>
      <w:r w:rsidRPr="00925747">
        <w:rPr>
          <w:rFonts w:ascii="SimSun" w:hAnsi="SimSun"/>
          <w:sz w:val="21"/>
        </w:rPr>
        <w:t>资源，</w:t>
      </w:r>
      <w:r w:rsidRPr="00925747">
        <w:rPr>
          <w:rFonts w:ascii="SimSun" w:hAnsi="SimSun" w:hint="eastAsia"/>
          <w:sz w:val="21"/>
        </w:rPr>
        <w:t>为</w:t>
      </w:r>
      <w:r w:rsidRPr="00925747">
        <w:rPr>
          <w:rFonts w:ascii="SimSun" w:hAnsi="SimSun"/>
          <w:sz w:val="21"/>
        </w:rPr>
        <w:t>PCT体系的发展和实用性</w:t>
      </w:r>
      <w:r w:rsidRPr="00925747">
        <w:rPr>
          <w:rFonts w:ascii="SimSun" w:hAnsi="SimSun" w:hint="eastAsia"/>
          <w:sz w:val="21"/>
        </w:rPr>
        <w:t>提供了支持</w:t>
      </w:r>
      <w:r w:rsidRPr="00925747">
        <w:rPr>
          <w:rFonts w:ascii="SimSun" w:hAnsi="SimSun"/>
          <w:sz w:val="21"/>
        </w:rPr>
        <w:t>，特别是在目前尚无自己的国际单位的地区。通过填补国际单位的全球范围覆盖，VPI为在中东欧地区更好地理解和更广泛地利用PCT</w:t>
      </w:r>
      <w:proofErr w:type="gramStart"/>
      <w:r w:rsidRPr="00925747">
        <w:rPr>
          <w:rFonts w:ascii="SimSun" w:hAnsi="SimSun"/>
          <w:sz w:val="21"/>
        </w:rPr>
        <w:t>作出</w:t>
      </w:r>
      <w:proofErr w:type="gramEnd"/>
      <w:r w:rsidRPr="00925747">
        <w:rPr>
          <w:rFonts w:ascii="SimSun" w:hAnsi="SimSun"/>
          <w:sz w:val="21"/>
        </w:rPr>
        <w:t>了贡献，这也</w:t>
      </w:r>
      <w:r w:rsidRPr="00925747">
        <w:rPr>
          <w:rFonts w:ascii="SimSun" w:hAnsi="SimSun" w:hint="eastAsia"/>
          <w:sz w:val="21"/>
        </w:rPr>
        <w:t>将</w:t>
      </w:r>
      <w:r w:rsidRPr="00925747">
        <w:rPr>
          <w:rFonts w:ascii="SimSun" w:hAnsi="SimSun"/>
          <w:sz w:val="21"/>
        </w:rPr>
        <w:t>提升来自这一地区国际申请的质量。</w:t>
      </w:r>
      <w:r w:rsidRPr="00925747">
        <w:rPr>
          <w:rFonts w:ascii="SimSun" w:hAnsi="SimSun" w:hint="eastAsia"/>
          <w:sz w:val="21"/>
        </w:rPr>
        <w:t>基于</w:t>
      </w:r>
      <w:r w:rsidRPr="00925747">
        <w:rPr>
          <w:rFonts w:ascii="SimSun" w:hAnsi="SimSun"/>
          <w:sz w:val="21"/>
        </w:rPr>
        <w:t>参与VPI合作的国家局长期以来的传统和专业技能，以及在质量管理方面已有的和VPI预期的良好记录，VPI</w:t>
      </w:r>
      <w:r w:rsidRPr="00925747">
        <w:rPr>
          <w:rFonts w:ascii="SimSun" w:hAnsi="SimSun" w:hint="eastAsia"/>
          <w:sz w:val="21"/>
        </w:rPr>
        <w:t>力争</w:t>
      </w:r>
      <w:r w:rsidRPr="00925747">
        <w:rPr>
          <w:rFonts w:ascii="SimSun" w:hAnsi="SimSun"/>
          <w:sz w:val="21"/>
        </w:rPr>
        <w:t>成为一个可靠、高效和建设性伙伴，努力进一步提高全球专利体系的运营质量和效率。VPI</w:t>
      </w:r>
      <w:r w:rsidRPr="00925747">
        <w:rPr>
          <w:rFonts w:ascii="SimSun" w:hAnsi="SimSun" w:hint="eastAsia"/>
          <w:sz w:val="21"/>
        </w:rPr>
        <w:t>计划</w:t>
      </w:r>
      <w:r w:rsidRPr="00925747">
        <w:rPr>
          <w:rFonts w:ascii="SimSun" w:hAnsi="SimSun"/>
          <w:sz w:val="21"/>
        </w:rPr>
        <w:t>对其它国际活动和项目保持开放态度，如有可能</w:t>
      </w:r>
      <w:r w:rsidRPr="00925747">
        <w:rPr>
          <w:rFonts w:ascii="SimSun" w:hAnsi="SimSun" w:hint="eastAsia"/>
          <w:sz w:val="21"/>
        </w:rPr>
        <w:t>，愿意</w:t>
      </w:r>
      <w:r w:rsidRPr="00925747">
        <w:rPr>
          <w:rFonts w:ascii="SimSun" w:hAnsi="SimSun"/>
          <w:sz w:val="21"/>
        </w:rPr>
        <w:t>积极参与其中。这些活动和项目旨在分担工作量、提高质量、进一步协调和为用户提供更好的定制服务，例如全球专利审查高速路</w:t>
      </w:r>
      <w:r w:rsidRPr="00925747">
        <w:rPr>
          <w:rFonts w:ascii="SimSun" w:hAnsi="SimSun" w:hint="eastAsia"/>
          <w:sz w:val="21"/>
        </w:rPr>
        <w:t>（</w:t>
      </w:r>
      <w:r w:rsidRPr="00925747">
        <w:rPr>
          <w:rFonts w:ascii="SimSun" w:hAnsi="SimSun"/>
          <w:sz w:val="21"/>
        </w:rPr>
        <w:t>GPPH</w:t>
      </w:r>
      <w:r w:rsidRPr="00925747">
        <w:rPr>
          <w:rFonts w:ascii="SimSun" w:hAnsi="SimSun" w:hint="eastAsia"/>
          <w:sz w:val="21"/>
        </w:rPr>
        <w:t>）</w:t>
      </w:r>
      <w:r w:rsidRPr="00925747">
        <w:rPr>
          <w:rFonts w:ascii="SimSun" w:hAnsi="SimSun"/>
          <w:sz w:val="21"/>
        </w:rPr>
        <w:t>或者在检索和审查方面的双边合作协议。</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此外，重新指定VPI符合在欧洲专利组织内构建欧洲专利网络的概念，并且将确保与新出现的欧盟单一专利保护制度</w:t>
      </w:r>
      <w:r w:rsidRPr="00925747">
        <w:rPr>
          <w:rFonts w:ascii="SimSun" w:hAnsi="SimSun" w:hint="eastAsia"/>
          <w:sz w:val="21"/>
        </w:rPr>
        <w:t>的</w:t>
      </w:r>
      <w:r w:rsidRPr="00925747">
        <w:rPr>
          <w:rFonts w:ascii="SimSun" w:hAnsi="SimSun"/>
          <w:sz w:val="21"/>
        </w:rPr>
        <w:t>顺畅互动。因此，VPI的另一个重要目标是为</w:t>
      </w:r>
      <w:r w:rsidRPr="00925747">
        <w:rPr>
          <w:rFonts w:ascii="SimSun" w:hAnsi="SimSun" w:hint="eastAsia"/>
          <w:sz w:val="21"/>
        </w:rPr>
        <w:t>基于</w:t>
      </w:r>
      <w:r w:rsidRPr="00925747">
        <w:rPr>
          <w:rFonts w:ascii="SimSun" w:hAnsi="SimSun"/>
          <w:sz w:val="21"/>
        </w:rPr>
        <w:t>《欧洲专利公约》</w:t>
      </w:r>
      <w:r w:rsidRPr="00925747">
        <w:rPr>
          <w:rFonts w:ascii="SimSun" w:hAnsi="SimSun" w:hint="eastAsia"/>
          <w:sz w:val="21"/>
        </w:rPr>
        <w:t>（</w:t>
      </w:r>
      <w:r w:rsidRPr="00925747">
        <w:rPr>
          <w:rFonts w:ascii="SimSun" w:hAnsi="SimSun"/>
          <w:sz w:val="21"/>
        </w:rPr>
        <w:t>EPC</w:t>
      </w:r>
      <w:r w:rsidRPr="00925747">
        <w:rPr>
          <w:rFonts w:ascii="SimSun" w:hAnsi="SimSun" w:hint="eastAsia"/>
          <w:sz w:val="21"/>
        </w:rPr>
        <w:t>）</w:t>
      </w:r>
      <w:r w:rsidRPr="00925747">
        <w:rPr>
          <w:rFonts w:ascii="SimSun" w:hAnsi="SimSun"/>
          <w:sz w:val="21"/>
        </w:rPr>
        <w:t>以及欧洲专利局与国家</w:t>
      </w:r>
      <w:proofErr w:type="gramStart"/>
      <w:r w:rsidRPr="00925747">
        <w:rPr>
          <w:rFonts w:ascii="SimSun" w:hAnsi="SimSun"/>
          <w:sz w:val="21"/>
        </w:rPr>
        <w:t>局良好</w:t>
      </w:r>
      <w:proofErr w:type="gramEnd"/>
      <w:r w:rsidRPr="00925747">
        <w:rPr>
          <w:rFonts w:ascii="SimSun" w:hAnsi="SimSun"/>
          <w:sz w:val="21"/>
        </w:rPr>
        <w:t>合作的一致和高效的欧洲专利制度发展做出积极贡献</w:t>
      </w:r>
      <w:r w:rsidRPr="00925747">
        <w:rPr>
          <w:rFonts w:ascii="SimSun" w:hAnsi="SimSun" w:hint="eastAsia"/>
          <w:sz w:val="21"/>
        </w:rPr>
        <w:t>，并</w:t>
      </w:r>
      <w:r w:rsidRPr="00925747">
        <w:rPr>
          <w:rFonts w:ascii="SimSun" w:hAnsi="SimSun"/>
          <w:sz w:val="21"/>
        </w:rPr>
        <w:t>为中东欧用户提供最好的平台，以充分利用这一欧洲合作机制。</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VPI致力于鼓励创新和创造</w:t>
      </w:r>
      <w:r w:rsidRPr="00925747">
        <w:rPr>
          <w:rFonts w:ascii="SimSun" w:hAnsi="SimSun" w:hint="eastAsia"/>
          <w:sz w:val="21"/>
        </w:rPr>
        <w:t>，</w:t>
      </w:r>
      <w:r w:rsidRPr="00925747">
        <w:rPr>
          <w:rFonts w:ascii="SimSun" w:hAnsi="SimSun"/>
          <w:sz w:val="21"/>
        </w:rPr>
        <w:t>以及促进中东欧地区的经济发展和竞争力的提升。为了实现这些目标，VPI打算：</w:t>
      </w:r>
    </w:p>
    <w:p w:rsidR="0046454C" w:rsidRPr="00925747" w:rsidRDefault="00211F9A" w:rsidP="006F4246">
      <w:pPr>
        <w:pStyle w:val="ONUME"/>
        <w:spacing w:afterLines="50" w:after="120" w:line="340" w:lineRule="atLeast"/>
        <w:ind w:left="567"/>
        <w:jc w:val="both"/>
        <w:rPr>
          <w:rFonts w:ascii="SimSun" w:hAnsi="SimSun"/>
          <w:sz w:val="21"/>
        </w:rPr>
      </w:pPr>
      <w:r w:rsidRPr="00925747">
        <w:rPr>
          <w:rFonts w:ascii="SimSun" w:hAnsi="SimSun" w:hint="eastAsia"/>
          <w:sz w:val="21"/>
        </w:rPr>
        <w:t>-</w:t>
      </w:r>
      <w:r w:rsidRPr="00925747">
        <w:rPr>
          <w:rFonts w:ascii="SimSun" w:hAnsi="SimSun" w:hint="eastAsia"/>
          <w:sz w:val="21"/>
        </w:rPr>
        <w:tab/>
      </w:r>
      <w:r w:rsidRPr="00925747">
        <w:rPr>
          <w:rFonts w:ascii="SimSun" w:hAnsi="SimSun"/>
          <w:sz w:val="21"/>
        </w:rPr>
        <w:t>为申请人进入PCT体系提供便利、高效的选择</w:t>
      </w:r>
      <w:r w:rsidRPr="00925747">
        <w:rPr>
          <w:rFonts w:ascii="SimSun" w:hAnsi="SimSun" w:hint="eastAsia"/>
          <w:sz w:val="21"/>
        </w:rPr>
        <w:t>（</w:t>
      </w:r>
      <w:r w:rsidRPr="00925747">
        <w:rPr>
          <w:rFonts w:ascii="SimSun" w:hAnsi="SimSun"/>
          <w:sz w:val="21"/>
        </w:rPr>
        <w:t>通过使用当地语言的可能性以及更贴近用户来实现，特别是对中小企业、个人发明者等</w:t>
      </w:r>
      <w:r w:rsidRPr="00925747">
        <w:rPr>
          <w:rFonts w:ascii="SimSun" w:hAnsi="SimSun" w:hint="eastAsia"/>
          <w:sz w:val="21"/>
        </w:rPr>
        <w:t>）；</w:t>
      </w:r>
      <w:r w:rsidRPr="00925747">
        <w:rPr>
          <w:rFonts w:ascii="SimSun" w:hAnsi="SimSun"/>
          <w:sz w:val="21"/>
        </w:rPr>
        <w:t>和</w:t>
      </w:r>
    </w:p>
    <w:p w:rsidR="0046454C" w:rsidRPr="00925747" w:rsidRDefault="00211F9A" w:rsidP="006F4246">
      <w:pPr>
        <w:pStyle w:val="ONUME"/>
        <w:spacing w:afterLines="50" w:after="120" w:line="340" w:lineRule="atLeast"/>
        <w:ind w:left="567"/>
        <w:jc w:val="both"/>
        <w:rPr>
          <w:rFonts w:ascii="SimSun" w:hAnsi="SimSun"/>
          <w:sz w:val="21"/>
        </w:rPr>
      </w:pPr>
      <w:r w:rsidRPr="00925747">
        <w:rPr>
          <w:rFonts w:ascii="SimSun" w:hAnsi="SimSun" w:hint="eastAsia"/>
          <w:sz w:val="21"/>
        </w:rPr>
        <w:t>-</w:t>
      </w:r>
      <w:r w:rsidRPr="00925747">
        <w:rPr>
          <w:rFonts w:ascii="SimSun" w:hAnsi="SimSun" w:hint="eastAsia"/>
          <w:sz w:val="21"/>
        </w:rPr>
        <w:tab/>
      </w:r>
      <w:r w:rsidRPr="00925747">
        <w:rPr>
          <w:rFonts w:ascii="SimSun" w:hAnsi="SimSun"/>
          <w:sz w:val="21"/>
        </w:rPr>
        <w:t>在为本国发明者和产业界提供服务过程中，保持并进一步提高参加的国家局与专利相关的专业技能。</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lastRenderedPageBreak/>
        <w:t>1.2.VPI取得的成果</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VPI于2016年7月1日开始作为国际单位</w:t>
      </w:r>
      <w:r w:rsidRPr="00925747">
        <w:rPr>
          <w:rFonts w:ascii="SimSun" w:hAnsi="SimSun" w:hint="eastAsia"/>
          <w:sz w:val="21"/>
        </w:rPr>
        <w:t>运营</w:t>
      </w:r>
      <w:r w:rsidRPr="00925747">
        <w:rPr>
          <w:rFonts w:ascii="SimSun" w:hAnsi="SimSun"/>
          <w:sz w:val="21"/>
        </w:rPr>
        <w:t>。在最初</w:t>
      </w:r>
      <w:r w:rsidRPr="00925747">
        <w:rPr>
          <w:rFonts w:ascii="SimSun" w:hAnsi="SimSun" w:hint="eastAsia"/>
          <w:sz w:val="21"/>
        </w:rPr>
        <w:t>运营</w:t>
      </w:r>
      <w:r w:rsidRPr="00925747">
        <w:rPr>
          <w:rFonts w:ascii="SimSun" w:hAnsi="SimSun"/>
          <w:sz w:val="21"/>
        </w:rPr>
        <w:t>的六个月里，VPI在70个案子中被申请人选为ISA。</w:t>
      </w:r>
      <w:r w:rsidRPr="00925747">
        <w:rPr>
          <w:rFonts w:ascii="SimSun" w:hAnsi="SimSun" w:hint="eastAsia"/>
          <w:sz w:val="21"/>
        </w:rPr>
        <w:t>其中</w:t>
      </w:r>
      <w:r w:rsidRPr="00925747">
        <w:rPr>
          <w:rFonts w:ascii="SimSun" w:hAnsi="SimSun"/>
          <w:sz w:val="21"/>
        </w:rPr>
        <w:t>四分之三的申请是以本国语言（捷克语、匈牙利语、波兰语和斯洛伐克语）提交的，仅四分之一为英文提交，这</w:t>
      </w:r>
      <w:r w:rsidRPr="00925747">
        <w:rPr>
          <w:rFonts w:ascii="SimSun" w:hAnsi="SimSun" w:hint="eastAsia"/>
          <w:sz w:val="21"/>
        </w:rPr>
        <w:t>确认</w:t>
      </w:r>
      <w:r w:rsidRPr="00925747">
        <w:rPr>
          <w:rFonts w:ascii="SimSun" w:hAnsi="SimSun"/>
          <w:sz w:val="21"/>
        </w:rPr>
        <w:t>了</w:t>
      </w:r>
      <w:r w:rsidRPr="00925747">
        <w:rPr>
          <w:rFonts w:ascii="SimSun" w:hAnsi="SimSun" w:hint="eastAsia"/>
          <w:sz w:val="21"/>
        </w:rPr>
        <w:t>在</w:t>
      </w:r>
      <w:r w:rsidRPr="00925747">
        <w:rPr>
          <w:rFonts w:ascii="SimSun" w:hAnsi="SimSun"/>
          <w:sz w:val="21"/>
        </w:rPr>
        <w:t>中东欧地区</w:t>
      </w:r>
      <w:r w:rsidRPr="00925747">
        <w:rPr>
          <w:rFonts w:ascii="SimSun" w:hAnsi="SimSun" w:hint="eastAsia"/>
          <w:sz w:val="21"/>
        </w:rPr>
        <w:t>设立</w:t>
      </w:r>
      <w:r w:rsidRPr="00925747">
        <w:rPr>
          <w:rFonts w:ascii="SimSun" w:hAnsi="SimSun"/>
          <w:sz w:val="21"/>
        </w:rPr>
        <w:t>国际单位的必要性。</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截至2016年</w:t>
      </w:r>
      <w:r w:rsidRPr="00925747">
        <w:rPr>
          <w:rFonts w:ascii="SimSun" w:hAnsi="SimSun" w:hint="eastAsia"/>
          <w:sz w:val="21"/>
        </w:rPr>
        <w:t>年</w:t>
      </w:r>
      <w:r w:rsidRPr="00925747">
        <w:rPr>
          <w:rFonts w:ascii="SimSun" w:hAnsi="SimSun"/>
          <w:sz w:val="21"/>
        </w:rPr>
        <w:t>末，VPI</w:t>
      </w:r>
      <w:r w:rsidRPr="00925747">
        <w:rPr>
          <w:rFonts w:ascii="SimSun" w:hAnsi="SimSun" w:hint="eastAsia"/>
          <w:sz w:val="21"/>
        </w:rPr>
        <w:t>发出了</w:t>
      </w:r>
      <w:r w:rsidRPr="00925747">
        <w:rPr>
          <w:rFonts w:ascii="SimSun" w:hAnsi="SimSun"/>
          <w:sz w:val="21"/>
        </w:rPr>
        <w:t>14份国际检索报告，均在规定的时限内，并符合所有PCT相关规定。</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2017年1月，VPI收到了第一个国际初步审查报告</w:t>
      </w:r>
      <w:r w:rsidRPr="00925747">
        <w:rPr>
          <w:rFonts w:ascii="SimSun" w:hAnsi="SimSun" w:hint="eastAsia"/>
          <w:sz w:val="21"/>
        </w:rPr>
        <w:t>（IPER）</w:t>
      </w:r>
      <w:r w:rsidRPr="00925747">
        <w:rPr>
          <w:rFonts w:ascii="SimSun" w:hAnsi="SimSun"/>
          <w:sz w:val="21"/>
        </w:rPr>
        <w:t>的请求。</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1.3.VPI在维谢格拉德集团中的作用</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维谢格拉德国家能够很好地在国际专利体系中发挥更大作用。它们代表经济产量不断增长的新兴经济体，在欧洲和全球贸易中参与度</w:t>
      </w:r>
      <w:r w:rsidRPr="00925747">
        <w:rPr>
          <w:rFonts w:ascii="SimSun" w:hAnsi="SimSun" w:hint="eastAsia"/>
          <w:sz w:val="21"/>
        </w:rPr>
        <w:t>增强</w:t>
      </w:r>
      <w:r w:rsidRPr="00925747">
        <w:rPr>
          <w:rFonts w:ascii="SimSun" w:hAnsi="SimSun"/>
          <w:sz w:val="21"/>
        </w:rPr>
        <w:t>，竞争力</w:t>
      </w:r>
      <w:r w:rsidRPr="00925747">
        <w:rPr>
          <w:rFonts w:ascii="SimSun" w:hAnsi="SimSun" w:hint="eastAsia"/>
          <w:sz w:val="21"/>
        </w:rPr>
        <w:t>不断提高，并且</w:t>
      </w:r>
      <w:r w:rsidRPr="00925747">
        <w:rPr>
          <w:rFonts w:ascii="SimSun" w:hAnsi="SimSun"/>
          <w:sz w:val="21"/>
        </w:rPr>
        <w:t>高度专注创新。此外，VPI的建立以及指定</w:t>
      </w:r>
      <w:r w:rsidRPr="00925747">
        <w:rPr>
          <w:rFonts w:ascii="SimSun" w:hAnsi="SimSun" w:hint="eastAsia"/>
          <w:sz w:val="21"/>
        </w:rPr>
        <w:t>其</w:t>
      </w:r>
      <w:r w:rsidRPr="00925747">
        <w:rPr>
          <w:rFonts w:ascii="SimSun" w:hAnsi="SimSun"/>
          <w:sz w:val="21"/>
        </w:rPr>
        <w:t>为ISA和IPEA的请求遵循</w:t>
      </w:r>
      <w:r w:rsidRPr="00925747">
        <w:rPr>
          <w:rFonts w:ascii="SimSun" w:hAnsi="SimSun" w:hint="eastAsia"/>
          <w:sz w:val="21"/>
        </w:rPr>
        <w:t>了</w:t>
      </w:r>
      <w:r w:rsidRPr="00925747">
        <w:rPr>
          <w:rFonts w:ascii="SimSun" w:hAnsi="SimSun"/>
          <w:sz w:val="21"/>
        </w:rPr>
        <w:t>维谢格拉德合作</w:t>
      </w:r>
      <w:r w:rsidRPr="00925747">
        <w:rPr>
          <w:rFonts w:ascii="SimSun" w:hAnsi="SimSun" w:hint="eastAsia"/>
          <w:sz w:val="21"/>
        </w:rPr>
        <w:t>的</w:t>
      </w:r>
      <w:r w:rsidRPr="00925747">
        <w:rPr>
          <w:rFonts w:ascii="SimSun" w:hAnsi="SimSun"/>
          <w:sz w:val="21"/>
        </w:rPr>
        <w:t>整体和高层政治目标。</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维谢格拉德集团</w:t>
      </w:r>
      <w:r w:rsidRPr="00925747">
        <w:rPr>
          <w:rFonts w:ascii="SimSun" w:hAnsi="SimSun" w:hint="eastAsia"/>
          <w:sz w:val="21"/>
        </w:rPr>
        <w:t>（</w:t>
      </w:r>
      <w:r w:rsidRPr="00925747">
        <w:rPr>
          <w:rFonts w:ascii="SimSun" w:hAnsi="SimSun"/>
          <w:sz w:val="21"/>
        </w:rPr>
        <w:t>也称为</w:t>
      </w:r>
      <w:r w:rsidRPr="00925747">
        <w:rPr>
          <w:rFonts w:ascii="SimSun" w:hAnsi="SimSun" w:hint="eastAsia"/>
          <w:sz w:val="21"/>
        </w:rPr>
        <w:t>“</w:t>
      </w:r>
      <w:r w:rsidRPr="00925747">
        <w:rPr>
          <w:rFonts w:ascii="SimSun" w:hAnsi="SimSun"/>
          <w:sz w:val="21"/>
        </w:rPr>
        <w:t>维谢格拉德四国</w:t>
      </w:r>
      <w:r w:rsidRPr="00925747">
        <w:rPr>
          <w:rFonts w:ascii="SimSun" w:hAnsi="SimSun" w:hint="eastAsia"/>
          <w:sz w:val="21"/>
        </w:rPr>
        <w:t>”</w:t>
      </w:r>
      <w:r w:rsidRPr="00925747">
        <w:rPr>
          <w:rFonts w:ascii="SimSun" w:hAnsi="SimSun"/>
          <w:sz w:val="21"/>
        </w:rPr>
        <w:t>或者简称</w:t>
      </w:r>
      <w:r w:rsidRPr="00925747">
        <w:rPr>
          <w:rFonts w:ascii="SimSun" w:hAnsi="SimSun" w:hint="eastAsia"/>
          <w:sz w:val="21"/>
        </w:rPr>
        <w:t>“</w:t>
      </w:r>
      <w:r w:rsidRPr="00925747">
        <w:rPr>
          <w:rFonts w:ascii="SimSun" w:hAnsi="SimSun"/>
          <w:sz w:val="21"/>
        </w:rPr>
        <w:t>V4</w:t>
      </w:r>
      <w:r w:rsidRPr="00925747">
        <w:rPr>
          <w:rFonts w:ascii="SimSun" w:hAnsi="SimSun" w:hint="eastAsia"/>
          <w:sz w:val="21"/>
        </w:rPr>
        <w:t>”）</w:t>
      </w:r>
      <w:r w:rsidRPr="00925747">
        <w:rPr>
          <w:rFonts w:ascii="SimSun" w:hAnsi="SimSun"/>
          <w:sz w:val="21"/>
        </w:rPr>
        <w:t>反映</w:t>
      </w:r>
      <w:r w:rsidRPr="00925747">
        <w:rPr>
          <w:rFonts w:ascii="SimSun" w:hAnsi="SimSun" w:hint="eastAsia"/>
          <w:sz w:val="21"/>
        </w:rPr>
        <w:t>了</w:t>
      </w:r>
      <w:r w:rsidRPr="00925747">
        <w:rPr>
          <w:rFonts w:ascii="SimSun" w:hAnsi="SimSun"/>
          <w:sz w:val="21"/>
        </w:rPr>
        <w:t>中欧地区国家在全欧洲一体化进程中</w:t>
      </w:r>
      <w:r w:rsidRPr="00925747">
        <w:rPr>
          <w:rFonts w:ascii="SimSun" w:hAnsi="SimSun" w:hint="eastAsia"/>
          <w:sz w:val="21"/>
        </w:rPr>
        <w:t>，</w:t>
      </w:r>
      <w:r w:rsidRPr="00925747">
        <w:rPr>
          <w:rFonts w:ascii="SimSun" w:hAnsi="SimSun"/>
          <w:sz w:val="21"/>
        </w:rPr>
        <w:t>在诸多拥有共同利益的领域进行合作</w:t>
      </w:r>
      <w:r w:rsidRPr="00925747">
        <w:rPr>
          <w:rFonts w:ascii="SimSun" w:hAnsi="SimSun" w:hint="eastAsia"/>
          <w:sz w:val="21"/>
        </w:rPr>
        <w:t>的努力</w:t>
      </w:r>
      <w:r w:rsidRPr="00925747">
        <w:rPr>
          <w:rFonts w:ascii="SimSun" w:hAnsi="SimSun"/>
          <w:sz w:val="21"/>
        </w:rPr>
        <w:t>。捷克共和国、匈牙利、波兰共和国和斯洛伐克共和国一直以来都是单一文明的组成部分，共享文化和智慧价值，同根同源，这是</w:t>
      </w:r>
      <w:r w:rsidRPr="00925747">
        <w:rPr>
          <w:rFonts w:ascii="SimSun" w:hAnsi="SimSun" w:hint="eastAsia"/>
          <w:sz w:val="21"/>
        </w:rPr>
        <w:t>它们</w:t>
      </w:r>
      <w:r w:rsidRPr="00925747">
        <w:rPr>
          <w:rFonts w:ascii="SimSun" w:hAnsi="SimSun"/>
          <w:sz w:val="21"/>
        </w:rPr>
        <w:t>希望延续和进一步加强的。</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所有的V4国家</w:t>
      </w:r>
      <w:r w:rsidRPr="00925747">
        <w:rPr>
          <w:rFonts w:ascii="SimSun" w:hAnsi="SimSun" w:hint="eastAsia"/>
          <w:sz w:val="21"/>
        </w:rPr>
        <w:t>都</w:t>
      </w:r>
      <w:r w:rsidRPr="00925747">
        <w:rPr>
          <w:rFonts w:ascii="SimSun" w:hAnsi="SimSun"/>
          <w:sz w:val="21"/>
        </w:rPr>
        <w:t>渴望成为欧盟成员，将融入欧盟</w:t>
      </w:r>
      <w:r w:rsidRPr="00925747">
        <w:rPr>
          <w:rFonts w:ascii="SimSun" w:hAnsi="SimSun" w:hint="eastAsia"/>
          <w:sz w:val="21"/>
        </w:rPr>
        <w:t>视为</w:t>
      </w:r>
      <w:r w:rsidRPr="00925747">
        <w:rPr>
          <w:rFonts w:ascii="SimSun" w:hAnsi="SimSun"/>
          <w:sz w:val="21"/>
        </w:rPr>
        <w:t>通过互相支持克服欧洲人为分割线进程中向前迈进的又一步。它们于2004年实现了这一目标，均成为了欧盟成员。</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维谢格拉德集团旨在鼓励同所有国家进行最佳合作，特别是其邻国，它的最终利益是欧洲所有地区的民主发展。</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维谢格拉德集团成员：</w:t>
      </w:r>
    </w:p>
    <w:p w:rsidR="0046454C" w:rsidRPr="00925747" w:rsidRDefault="00211F9A" w:rsidP="006F4246">
      <w:pPr>
        <w:pStyle w:val="ONUME"/>
        <w:tabs>
          <w:tab w:val="clear" w:pos="567"/>
        </w:tabs>
        <w:spacing w:afterLines="50" w:after="120" w:line="340" w:lineRule="atLeast"/>
        <w:ind w:left="567"/>
        <w:rPr>
          <w:rFonts w:ascii="SimSun" w:hAnsi="SimSun"/>
          <w:sz w:val="21"/>
        </w:rPr>
      </w:pPr>
      <w:r w:rsidRPr="00925747">
        <w:rPr>
          <w:rFonts w:ascii="SimSun" w:hAnsi="SimSun"/>
          <w:sz w:val="21"/>
        </w:rPr>
        <w:t>•</w:t>
      </w:r>
      <w:r w:rsidRPr="00925747">
        <w:rPr>
          <w:rFonts w:ascii="SimSun" w:hAnsi="SimSun"/>
          <w:sz w:val="21"/>
        </w:rPr>
        <w:tab/>
        <w:t>匈牙利</w:t>
      </w:r>
      <w:r w:rsidRPr="00925747">
        <w:rPr>
          <w:rFonts w:ascii="SimSun" w:hAnsi="SimSun" w:hint="eastAsia"/>
          <w:sz w:val="21"/>
        </w:rPr>
        <w:t>（</w:t>
      </w:r>
      <w:r w:rsidRPr="00925747">
        <w:rPr>
          <w:rFonts w:ascii="SimSun" w:hAnsi="SimSun"/>
          <w:sz w:val="21"/>
        </w:rPr>
        <w:t>自1991年</w:t>
      </w:r>
      <w:r w:rsidRPr="00925747">
        <w:rPr>
          <w:rFonts w:ascii="SimSun" w:hAnsi="SimSun" w:hint="eastAsia"/>
          <w:sz w:val="21"/>
        </w:rPr>
        <w:t>起）</w:t>
      </w:r>
      <w:r w:rsidRPr="00925747">
        <w:rPr>
          <w:rFonts w:ascii="SimSun" w:hAnsi="SimSun"/>
          <w:sz w:val="21"/>
        </w:rPr>
        <w:t>；</w:t>
      </w:r>
    </w:p>
    <w:p w:rsidR="0046454C" w:rsidRPr="00925747" w:rsidRDefault="00211F9A" w:rsidP="006F4246">
      <w:pPr>
        <w:pStyle w:val="ONUME"/>
        <w:tabs>
          <w:tab w:val="clear" w:pos="567"/>
        </w:tabs>
        <w:spacing w:afterLines="50" w:after="120" w:line="340" w:lineRule="atLeast"/>
        <w:ind w:left="567"/>
        <w:rPr>
          <w:rFonts w:ascii="SimSun" w:hAnsi="SimSun"/>
          <w:sz w:val="21"/>
        </w:rPr>
      </w:pPr>
      <w:r w:rsidRPr="00925747">
        <w:rPr>
          <w:rFonts w:ascii="SimSun" w:hAnsi="SimSun"/>
          <w:sz w:val="21"/>
        </w:rPr>
        <w:t>•</w:t>
      </w:r>
      <w:r w:rsidRPr="00925747">
        <w:rPr>
          <w:rFonts w:ascii="SimSun" w:hAnsi="SimSun"/>
          <w:sz w:val="21"/>
        </w:rPr>
        <w:tab/>
        <w:t>波兰共和国</w:t>
      </w:r>
      <w:r w:rsidRPr="00925747">
        <w:rPr>
          <w:rFonts w:ascii="SimSun" w:hAnsi="SimSun" w:hint="eastAsia"/>
          <w:sz w:val="21"/>
        </w:rPr>
        <w:t>（</w:t>
      </w:r>
      <w:r w:rsidRPr="00925747">
        <w:rPr>
          <w:rFonts w:ascii="SimSun" w:hAnsi="SimSun"/>
          <w:sz w:val="21"/>
        </w:rPr>
        <w:t>1991年</w:t>
      </w:r>
      <w:r w:rsidRPr="00925747">
        <w:rPr>
          <w:rFonts w:ascii="SimSun" w:hAnsi="SimSun" w:hint="eastAsia"/>
          <w:sz w:val="21"/>
        </w:rPr>
        <w:t>起）</w:t>
      </w:r>
      <w:r w:rsidRPr="00925747">
        <w:rPr>
          <w:rFonts w:ascii="SimSun" w:hAnsi="SimSun"/>
          <w:sz w:val="21"/>
        </w:rPr>
        <w:t>；</w:t>
      </w:r>
    </w:p>
    <w:p w:rsidR="0046454C" w:rsidRPr="00925747" w:rsidRDefault="00211F9A" w:rsidP="006F4246">
      <w:pPr>
        <w:pStyle w:val="ONUME"/>
        <w:tabs>
          <w:tab w:val="clear" w:pos="567"/>
        </w:tabs>
        <w:spacing w:afterLines="50" w:after="120" w:line="340" w:lineRule="atLeast"/>
        <w:ind w:left="567"/>
        <w:rPr>
          <w:rFonts w:ascii="SimSun" w:hAnsi="SimSun"/>
          <w:sz w:val="21"/>
        </w:rPr>
      </w:pPr>
      <w:r w:rsidRPr="00925747">
        <w:rPr>
          <w:rFonts w:ascii="SimSun" w:hAnsi="SimSun"/>
          <w:sz w:val="21"/>
        </w:rPr>
        <w:t>•</w:t>
      </w:r>
      <w:r w:rsidRPr="00925747">
        <w:rPr>
          <w:rFonts w:ascii="SimSun" w:hAnsi="SimSun"/>
          <w:sz w:val="21"/>
        </w:rPr>
        <w:tab/>
        <w:t>捷克斯洛伐克</w:t>
      </w:r>
      <w:r w:rsidRPr="00925747">
        <w:rPr>
          <w:rFonts w:ascii="SimSun" w:hAnsi="SimSun" w:hint="eastAsia"/>
          <w:sz w:val="21"/>
        </w:rPr>
        <w:t>（</w:t>
      </w:r>
      <w:r w:rsidRPr="00925747">
        <w:rPr>
          <w:rFonts w:ascii="SimSun" w:hAnsi="SimSun"/>
          <w:sz w:val="21"/>
        </w:rPr>
        <w:t>1991-1993年</w:t>
      </w:r>
      <w:r w:rsidRPr="00925747">
        <w:rPr>
          <w:rFonts w:ascii="SimSun" w:hAnsi="SimSun" w:hint="eastAsia"/>
          <w:sz w:val="21"/>
        </w:rPr>
        <w:t>）</w:t>
      </w:r>
      <w:proofErr w:type="gramStart"/>
      <w:r w:rsidRPr="00925747">
        <w:rPr>
          <w:rFonts w:ascii="SimSun" w:hAnsi="SimSun"/>
          <w:sz w:val="21"/>
        </w:rPr>
        <w:t>被以下</w:t>
      </w:r>
      <w:proofErr w:type="gramEnd"/>
      <w:r w:rsidRPr="00925747">
        <w:rPr>
          <w:rFonts w:ascii="SimSun" w:hAnsi="SimSun"/>
          <w:sz w:val="21"/>
        </w:rPr>
        <w:t>继承国取代：</w:t>
      </w:r>
    </w:p>
    <w:p w:rsidR="0046454C" w:rsidRPr="00925747" w:rsidRDefault="00211F9A" w:rsidP="00A078C2">
      <w:pPr>
        <w:pStyle w:val="ONUME"/>
        <w:tabs>
          <w:tab w:val="clear" w:pos="567"/>
        </w:tabs>
        <w:spacing w:afterLines="50" w:after="120" w:line="340" w:lineRule="atLeast"/>
        <w:ind w:left="1134"/>
        <w:rPr>
          <w:rFonts w:ascii="SimSun" w:hAnsi="SimSun"/>
          <w:sz w:val="21"/>
        </w:rPr>
      </w:pPr>
      <w:r w:rsidRPr="00925747">
        <w:rPr>
          <w:rFonts w:ascii="SimSun" w:hAnsi="SimSun"/>
          <w:sz w:val="21"/>
        </w:rPr>
        <w:t>•</w:t>
      </w:r>
      <w:r w:rsidRPr="00925747">
        <w:rPr>
          <w:rFonts w:ascii="SimSun" w:hAnsi="SimSun"/>
          <w:sz w:val="21"/>
        </w:rPr>
        <w:tab/>
        <w:t>斯洛伐克共和国</w:t>
      </w:r>
      <w:r w:rsidRPr="00925747">
        <w:rPr>
          <w:rFonts w:ascii="SimSun" w:hAnsi="SimSun" w:hint="eastAsia"/>
          <w:sz w:val="21"/>
        </w:rPr>
        <w:t>（自</w:t>
      </w:r>
      <w:r w:rsidRPr="00925747">
        <w:rPr>
          <w:rFonts w:ascii="SimSun" w:hAnsi="SimSun"/>
          <w:sz w:val="21"/>
        </w:rPr>
        <w:t>1993年</w:t>
      </w:r>
      <w:r w:rsidRPr="00925747">
        <w:rPr>
          <w:rFonts w:ascii="SimSun" w:hAnsi="SimSun" w:hint="eastAsia"/>
          <w:sz w:val="21"/>
        </w:rPr>
        <w:t>起）</w:t>
      </w:r>
      <w:r w:rsidRPr="00925747">
        <w:rPr>
          <w:rFonts w:ascii="SimSun" w:hAnsi="SimSun"/>
          <w:sz w:val="21"/>
        </w:rPr>
        <w:t>；</w:t>
      </w:r>
    </w:p>
    <w:p w:rsidR="0046454C" w:rsidRPr="00925747" w:rsidRDefault="00211F9A" w:rsidP="00A078C2">
      <w:pPr>
        <w:pStyle w:val="ONUME"/>
        <w:tabs>
          <w:tab w:val="clear" w:pos="567"/>
        </w:tabs>
        <w:spacing w:afterLines="50" w:after="120" w:line="340" w:lineRule="atLeast"/>
        <w:ind w:left="1134"/>
        <w:rPr>
          <w:rFonts w:ascii="SimSun" w:hAnsi="SimSun"/>
          <w:sz w:val="21"/>
        </w:rPr>
      </w:pPr>
      <w:r w:rsidRPr="00925747">
        <w:rPr>
          <w:rFonts w:ascii="SimSun" w:hAnsi="SimSun"/>
          <w:sz w:val="21"/>
        </w:rPr>
        <w:t>•</w:t>
      </w:r>
      <w:r w:rsidRPr="00925747">
        <w:rPr>
          <w:rFonts w:ascii="SimSun" w:hAnsi="SimSun"/>
          <w:sz w:val="21"/>
        </w:rPr>
        <w:tab/>
        <w:t>捷克共和国</w:t>
      </w:r>
      <w:r w:rsidRPr="00925747">
        <w:rPr>
          <w:rFonts w:ascii="SimSun" w:hAnsi="SimSun" w:hint="eastAsia"/>
          <w:sz w:val="21"/>
        </w:rPr>
        <w:t>（</w:t>
      </w:r>
      <w:r w:rsidRPr="00925747">
        <w:rPr>
          <w:rFonts w:ascii="SimSun" w:hAnsi="SimSun"/>
          <w:sz w:val="21"/>
        </w:rPr>
        <w:t>自1993年</w:t>
      </w:r>
      <w:r w:rsidRPr="00925747">
        <w:rPr>
          <w:rFonts w:ascii="SimSun" w:hAnsi="SimSun" w:hint="eastAsia"/>
          <w:sz w:val="21"/>
        </w:rPr>
        <w:t>起）</w:t>
      </w:r>
      <w:r w:rsidRPr="00925747">
        <w:rPr>
          <w:rFonts w:ascii="SimSun" w:hAnsi="SimSun"/>
          <w:sz w:val="21"/>
        </w:rPr>
        <w:t>。</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V4合作目前可以被称为中欧最清晰成型的行动。该合作的支柱是参与国不同层级代表举行的定期会议，从</w:t>
      </w:r>
      <w:proofErr w:type="gramStart"/>
      <w:r w:rsidRPr="00925747">
        <w:rPr>
          <w:rFonts w:ascii="SimSun" w:hAnsi="SimSun"/>
          <w:sz w:val="21"/>
        </w:rPr>
        <w:t>最</w:t>
      </w:r>
      <w:proofErr w:type="gramEnd"/>
      <w:r w:rsidRPr="00925747">
        <w:rPr>
          <w:rFonts w:ascii="SimSun" w:hAnsi="SimSun"/>
          <w:sz w:val="21"/>
        </w:rPr>
        <w:t>高层的政治峰会到专家咨询会和外交会议，再到地区非政府协会、智库、研究机构、文化机构或者众多个人网络举办的活动。</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上述例会的一个很好的例子是每年举办的V4总理正式峰会。在峰会期间，</w:t>
      </w:r>
      <w:r w:rsidRPr="00925747">
        <w:rPr>
          <w:rFonts w:ascii="SimSun" w:hAnsi="SimSun" w:hint="eastAsia"/>
          <w:sz w:val="21"/>
        </w:rPr>
        <w:t>一个</w:t>
      </w:r>
      <w:r w:rsidRPr="00925747">
        <w:rPr>
          <w:rFonts w:ascii="SimSun" w:hAnsi="SimSun"/>
          <w:sz w:val="21"/>
        </w:rPr>
        <w:t>V4国家担任主席国，职责之一是起草一年的行动计划。此外，V4各国政府部门之间的合作是V4框架下活动的重要组成部分，不管是部长层级的还是以联合专家组的形式进行。目前正在实施很多联合项目，特别是在文化、环境、内部安全、国防、科学和教育领域。同时，在司法、交通、旅游、能源或者信息技术领域的合作也在加强。</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V4在布拉迪斯拉发创设了国际维谢格拉德基金，使得该项区域合作在2000年6月得到了进一步的加强和制度化。该国际组织的目的是便利和促进区域内的公民和机构之间、V4地区和其他国家之</w:t>
      </w:r>
      <w:r w:rsidRPr="00925747">
        <w:rPr>
          <w:rFonts w:ascii="SimSun" w:hAnsi="SimSun"/>
          <w:sz w:val="21"/>
        </w:rPr>
        <w:lastRenderedPageBreak/>
        <w:t>间</w:t>
      </w:r>
      <w:r w:rsidRPr="00925747">
        <w:rPr>
          <w:rFonts w:ascii="SimSun" w:hAnsi="SimSun" w:hint="eastAsia"/>
          <w:sz w:val="21"/>
        </w:rPr>
        <w:t>，</w:t>
      </w:r>
      <w:r w:rsidRPr="00925747">
        <w:rPr>
          <w:rFonts w:ascii="SimSun" w:hAnsi="SimSun"/>
          <w:sz w:val="21"/>
        </w:rPr>
        <w:t>特别是西巴尔干半岛和东部</w:t>
      </w:r>
      <w:r w:rsidRPr="00925747">
        <w:rPr>
          <w:rFonts w:ascii="SimSun" w:hAnsi="SimSun" w:hint="eastAsia"/>
          <w:sz w:val="21"/>
        </w:rPr>
        <w:t>伙伴关系国家</w:t>
      </w:r>
      <w:r w:rsidRPr="00925747">
        <w:rPr>
          <w:rFonts w:ascii="SimSun" w:hAnsi="SimSun"/>
          <w:sz w:val="21"/>
        </w:rPr>
        <w:t>的紧密合作。该基金通过支持共同文化、科学和教育项目、青年交换、跨境项目和旅游推广，以及通过个人出行项目</w:t>
      </w:r>
      <w:r w:rsidRPr="00925747">
        <w:rPr>
          <w:rFonts w:ascii="SimSun" w:hAnsi="SimSun" w:hint="eastAsia"/>
          <w:sz w:val="21"/>
        </w:rPr>
        <w:t>（</w:t>
      </w:r>
      <w:r w:rsidRPr="00925747">
        <w:rPr>
          <w:rFonts w:ascii="SimSun" w:hAnsi="SimSun"/>
          <w:sz w:val="21"/>
        </w:rPr>
        <w:t>奖学金、居留</w:t>
      </w:r>
      <w:r w:rsidRPr="00925747">
        <w:rPr>
          <w:rFonts w:ascii="SimSun" w:hAnsi="SimSun" w:hint="eastAsia"/>
          <w:sz w:val="21"/>
        </w:rPr>
        <w:t>）</w:t>
      </w:r>
      <w:r w:rsidRPr="00925747">
        <w:rPr>
          <w:rFonts w:ascii="SimSun" w:hAnsi="SimSun"/>
          <w:sz w:val="21"/>
        </w:rPr>
        <w:t>来努力实现其目标。</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维谢格拉德集团也有其自身知识产权方面的活动。自1992年</w:t>
      </w:r>
      <w:r w:rsidRPr="00925747">
        <w:rPr>
          <w:rFonts w:ascii="SimSun" w:hAnsi="SimSun" w:hint="eastAsia"/>
          <w:sz w:val="21"/>
        </w:rPr>
        <w:t>起</w:t>
      </w:r>
      <w:r w:rsidRPr="00925747">
        <w:rPr>
          <w:rFonts w:ascii="SimSun" w:hAnsi="SimSun"/>
          <w:sz w:val="21"/>
        </w:rPr>
        <w:t>，V4的工业产权局局长每年都召开会议。这些会议提供了</w:t>
      </w:r>
      <w:r w:rsidRPr="00925747">
        <w:rPr>
          <w:rFonts w:ascii="SimSun" w:hAnsi="SimSun" w:hint="eastAsia"/>
          <w:sz w:val="21"/>
        </w:rPr>
        <w:t>一个机会，来</w:t>
      </w:r>
      <w:r w:rsidRPr="00925747">
        <w:rPr>
          <w:rFonts w:ascii="SimSun" w:hAnsi="SimSun"/>
          <w:sz w:val="21"/>
        </w:rPr>
        <w:t>交流对当前知识产权问题的观点</w:t>
      </w:r>
      <w:r w:rsidRPr="00925747">
        <w:rPr>
          <w:rFonts w:ascii="SimSun" w:hAnsi="SimSun" w:hint="eastAsia"/>
          <w:sz w:val="21"/>
        </w:rPr>
        <w:t>和</w:t>
      </w:r>
      <w:r w:rsidRPr="00925747">
        <w:rPr>
          <w:rFonts w:ascii="SimSun" w:hAnsi="SimSun"/>
          <w:sz w:val="21"/>
        </w:rPr>
        <w:t>评估地区、欧洲和世界范围内新发展</w:t>
      </w:r>
      <w:r w:rsidRPr="00925747">
        <w:rPr>
          <w:rFonts w:ascii="SimSun" w:hAnsi="SimSun" w:hint="eastAsia"/>
          <w:sz w:val="21"/>
        </w:rPr>
        <w:t>。</w:t>
      </w:r>
      <w:r w:rsidRPr="00925747">
        <w:rPr>
          <w:rFonts w:ascii="SimSun" w:hAnsi="SimSun"/>
          <w:sz w:val="21"/>
        </w:rPr>
        <w:t>这样的讨论往往会形成在全球和欧洲不同论坛上</w:t>
      </w:r>
      <w:r w:rsidRPr="00925747">
        <w:rPr>
          <w:rFonts w:ascii="SimSun" w:hAnsi="SimSun" w:hint="eastAsia"/>
          <w:sz w:val="21"/>
        </w:rPr>
        <w:t>，</w:t>
      </w:r>
      <w:r w:rsidRPr="00925747">
        <w:rPr>
          <w:rFonts w:ascii="SimSun" w:hAnsi="SimSun"/>
          <w:sz w:val="21"/>
        </w:rPr>
        <w:t>对重要的战略性问题</w:t>
      </w:r>
      <w:proofErr w:type="gramStart"/>
      <w:r w:rsidRPr="00925747">
        <w:rPr>
          <w:rFonts w:ascii="SimSun" w:hAnsi="SimSun" w:hint="eastAsia"/>
          <w:sz w:val="21"/>
        </w:rPr>
        <w:t>持共同</w:t>
      </w:r>
      <w:proofErr w:type="gramEnd"/>
      <w:r w:rsidRPr="00925747">
        <w:rPr>
          <w:rFonts w:ascii="SimSun" w:hAnsi="SimSun" w:hint="eastAsia"/>
          <w:sz w:val="21"/>
        </w:rPr>
        <w:t>立场</w:t>
      </w:r>
      <w:r w:rsidRPr="00925747">
        <w:rPr>
          <w:rFonts w:ascii="SimSun" w:hAnsi="SimSun"/>
          <w:sz w:val="21"/>
        </w:rPr>
        <w:t>。V4国家知识产权局的合作也扩展到</w:t>
      </w:r>
      <w:r w:rsidRPr="00925747">
        <w:rPr>
          <w:rFonts w:ascii="SimSun" w:hAnsi="SimSun" w:hint="eastAsia"/>
          <w:sz w:val="21"/>
        </w:rPr>
        <w:t>了</w:t>
      </w:r>
      <w:r w:rsidRPr="00925747">
        <w:rPr>
          <w:rFonts w:ascii="SimSun" w:hAnsi="SimSun"/>
          <w:sz w:val="21"/>
        </w:rPr>
        <w:t>奥地利、克罗地亚、罗马尼亚和斯洛文尼亚，形式是每年紧接着知识产权局局长会召开的被称为</w:t>
      </w:r>
      <w:r w:rsidRPr="00925747">
        <w:rPr>
          <w:rFonts w:ascii="SimSun" w:hAnsi="SimSun" w:hint="eastAsia"/>
          <w:sz w:val="21"/>
        </w:rPr>
        <w:t>“</w:t>
      </w:r>
      <w:r w:rsidRPr="00925747">
        <w:rPr>
          <w:rFonts w:ascii="SimSun" w:hAnsi="SimSun"/>
          <w:sz w:val="21"/>
        </w:rPr>
        <w:t>V4+朋友</w:t>
      </w:r>
      <w:r w:rsidRPr="00925747">
        <w:rPr>
          <w:rFonts w:ascii="SimSun" w:hAnsi="SimSun" w:hint="eastAsia"/>
          <w:sz w:val="21"/>
        </w:rPr>
        <w:t>”</w:t>
      </w:r>
      <w:r w:rsidRPr="00925747">
        <w:rPr>
          <w:rFonts w:ascii="SimSun" w:hAnsi="SimSun"/>
          <w:sz w:val="21"/>
        </w:rPr>
        <w:t>会议。</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维谢格拉德集团国家在知识产权领域的合作逐渐跨越</w:t>
      </w:r>
      <w:r w:rsidRPr="00925747">
        <w:rPr>
          <w:rFonts w:ascii="SimSun" w:hAnsi="SimSun" w:hint="eastAsia"/>
          <w:sz w:val="21"/>
        </w:rPr>
        <w:t>了</w:t>
      </w:r>
      <w:r w:rsidRPr="00925747">
        <w:rPr>
          <w:rFonts w:ascii="SimSun" w:hAnsi="SimSun"/>
          <w:sz w:val="21"/>
        </w:rPr>
        <w:t>地区的界限，呈现出更加国际化的趋势。这一趋势的一个例子是一系列名为</w:t>
      </w:r>
      <w:r w:rsidRPr="00925747">
        <w:rPr>
          <w:rFonts w:ascii="SimSun" w:hAnsi="SimSun" w:hint="eastAsia"/>
          <w:sz w:val="21"/>
        </w:rPr>
        <w:t>“</w:t>
      </w:r>
      <w:r w:rsidRPr="00925747">
        <w:rPr>
          <w:rFonts w:ascii="SimSun" w:hAnsi="SimSun"/>
          <w:sz w:val="21"/>
        </w:rPr>
        <w:t>维谢格拉德集团</w:t>
      </w:r>
      <w:r w:rsidRPr="00925747">
        <w:rPr>
          <w:rFonts w:ascii="SimSun" w:hAnsi="SimSun" w:hint="eastAsia"/>
          <w:sz w:val="21"/>
        </w:rPr>
        <w:t>（</w:t>
      </w:r>
      <w:r w:rsidRPr="00925747">
        <w:rPr>
          <w:rFonts w:ascii="SimSun" w:hAnsi="SimSun"/>
          <w:sz w:val="21"/>
        </w:rPr>
        <w:t>V4</w:t>
      </w:r>
      <w:r w:rsidRPr="00925747">
        <w:rPr>
          <w:rFonts w:ascii="SimSun" w:hAnsi="SimSun" w:hint="eastAsia"/>
          <w:sz w:val="21"/>
        </w:rPr>
        <w:t>）——</w:t>
      </w:r>
      <w:r w:rsidRPr="00925747">
        <w:rPr>
          <w:rFonts w:ascii="SimSun" w:hAnsi="SimSun"/>
          <w:sz w:val="21"/>
        </w:rPr>
        <w:t>中国知识产权与产业论坛</w:t>
      </w:r>
      <w:r w:rsidRPr="00925747">
        <w:rPr>
          <w:rFonts w:ascii="SimSun" w:hAnsi="SimSun" w:hint="eastAsia"/>
          <w:sz w:val="21"/>
        </w:rPr>
        <w:t>”</w:t>
      </w:r>
      <w:r w:rsidRPr="00925747">
        <w:rPr>
          <w:rFonts w:ascii="SimSun" w:hAnsi="SimSun"/>
          <w:sz w:val="21"/>
        </w:rPr>
        <w:t>活动，由中国国家知识产权局</w:t>
      </w:r>
      <w:r w:rsidRPr="00925747">
        <w:rPr>
          <w:rFonts w:ascii="SimSun" w:hAnsi="SimSun" w:hint="eastAsia"/>
          <w:sz w:val="21"/>
        </w:rPr>
        <w:t>（</w:t>
      </w:r>
      <w:r w:rsidRPr="00925747">
        <w:rPr>
          <w:rFonts w:ascii="SimSun" w:hAnsi="SimSun"/>
          <w:sz w:val="21"/>
        </w:rPr>
        <w:t>SIPO</w:t>
      </w:r>
      <w:r w:rsidRPr="00925747">
        <w:rPr>
          <w:rFonts w:ascii="SimSun" w:hAnsi="SimSun" w:hint="eastAsia"/>
          <w:sz w:val="21"/>
        </w:rPr>
        <w:t>）</w:t>
      </w:r>
      <w:r w:rsidRPr="00925747">
        <w:rPr>
          <w:rFonts w:ascii="SimSun" w:hAnsi="SimSun"/>
          <w:sz w:val="21"/>
        </w:rPr>
        <w:t>与波兰共和国知识产权局共同</w:t>
      </w:r>
      <w:r w:rsidRPr="00925747">
        <w:rPr>
          <w:rFonts w:ascii="SimSun" w:hAnsi="SimSun" w:hint="eastAsia"/>
          <w:sz w:val="21"/>
        </w:rPr>
        <w:t>主办</w:t>
      </w:r>
      <w:r w:rsidRPr="00925747">
        <w:rPr>
          <w:rFonts w:ascii="SimSun" w:hAnsi="SimSun"/>
          <w:sz w:val="21"/>
        </w:rPr>
        <w:t>，V4知识产权局协办。该论坛在华沙</w:t>
      </w:r>
      <w:r w:rsidRPr="00925747">
        <w:rPr>
          <w:rFonts w:ascii="SimSun" w:hAnsi="SimSun" w:hint="eastAsia"/>
          <w:sz w:val="21"/>
        </w:rPr>
        <w:t>（</w:t>
      </w:r>
      <w:r w:rsidRPr="00925747">
        <w:rPr>
          <w:rFonts w:ascii="SimSun" w:hAnsi="SimSun"/>
          <w:sz w:val="21"/>
        </w:rPr>
        <w:t>2012年和2014年</w:t>
      </w:r>
      <w:r w:rsidRPr="00925747">
        <w:rPr>
          <w:rFonts w:ascii="SimSun" w:hAnsi="SimSun" w:hint="eastAsia"/>
          <w:sz w:val="21"/>
        </w:rPr>
        <w:t>）</w:t>
      </w:r>
      <w:r w:rsidRPr="00925747">
        <w:rPr>
          <w:rFonts w:ascii="SimSun" w:hAnsi="SimSun"/>
          <w:sz w:val="21"/>
        </w:rPr>
        <w:t>和北京</w:t>
      </w:r>
      <w:r w:rsidRPr="00925747">
        <w:rPr>
          <w:rFonts w:ascii="SimSun" w:hAnsi="SimSun" w:hint="eastAsia"/>
          <w:sz w:val="21"/>
        </w:rPr>
        <w:t>（</w:t>
      </w:r>
      <w:r w:rsidRPr="00925747">
        <w:rPr>
          <w:rFonts w:ascii="SimSun" w:hAnsi="SimSun"/>
          <w:sz w:val="21"/>
        </w:rPr>
        <w:t>2013年和2015年</w:t>
      </w:r>
      <w:r w:rsidRPr="00925747">
        <w:rPr>
          <w:rFonts w:ascii="SimSun" w:hAnsi="SimSun" w:hint="eastAsia"/>
          <w:sz w:val="21"/>
        </w:rPr>
        <w:t>）</w:t>
      </w:r>
      <w:r w:rsidRPr="00925747">
        <w:rPr>
          <w:rFonts w:ascii="SimSun" w:hAnsi="SimSun"/>
          <w:sz w:val="21"/>
        </w:rPr>
        <w:t>举办，企业家、产业支持机构以及中国和V4国家大使馆和知识产权局的代表参加。这一活动的主要目标是致力于进一步</w:t>
      </w:r>
      <w:r w:rsidRPr="00925747">
        <w:rPr>
          <w:rFonts w:ascii="SimSun" w:hAnsi="SimSun" w:hint="eastAsia"/>
          <w:sz w:val="21"/>
        </w:rPr>
        <w:t>增加</w:t>
      </w:r>
      <w:r w:rsidRPr="00925747">
        <w:rPr>
          <w:rFonts w:ascii="SimSun" w:hAnsi="SimSun"/>
          <w:sz w:val="21"/>
        </w:rPr>
        <w:t>中国和V4的</w:t>
      </w:r>
      <w:r w:rsidRPr="00925747">
        <w:rPr>
          <w:rFonts w:ascii="SimSun" w:hAnsi="SimSun" w:hint="eastAsia"/>
          <w:sz w:val="21"/>
        </w:rPr>
        <w:t>商业</w:t>
      </w:r>
      <w:r w:rsidRPr="00925747">
        <w:rPr>
          <w:rFonts w:ascii="SimSun" w:hAnsi="SimSun"/>
          <w:sz w:val="21"/>
        </w:rPr>
        <w:t>实体之间投资和合作的</w:t>
      </w:r>
      <w:r w:rsidRPr="00925747">
        <w:rPr>
          <w:rFonts w:ascii="SimSun" w:hAnsi="SimSun" w:hint="eastAsia"/>
          <w:sz w:val="21"/>
        </w:rPr>
        <w:t>规模</w:t>
      </w:r>
      <w:r w:rsidRPr="00925747">
        <w:rPr>
          <w:rFonts w:ascii="SimSun" w:hAnsi="SimSun"/>
          <w:sz w:val="21"/>
        </w:rPr>
        <w:t>，并加强</w:t>
      </w:r>
      <w:r w:rsidRPr="00925747">
        <w:rPr>
          <w:rFonts w:ascii="SimSun" w:hAnsi="SimSun" w:hint="eastAsia"/>
          <w:sz w:val="21"/>
        </w:rPr>
        <w:t>其</w:t>
      </w:r>
      <w:r w:rsidRPr="00925747">
        <w:rPr>
          <w:rFonts w:ascii="SimSun" w:hAnsi="SimSun"/>
          <w:sz w:val="21"/>
        </w:rPr>
        <w:t>知识产权</w:t>
      </w:r>
      <w:r w:rsidRPr="00925747">
        <w:rPr>
          <w:rFonts w:ascii="SimSun" w:hAnsi="SimSun" w:hint="eastAsia"/>
          <w:sz w:val="21"/>
        </w:rPr>
        <w:t>的</w:t>
      </w:r>
      <w:r w:rsidRPr="00925747">
        <w:rPr>
          <w:rFonts w:ascii="SimSun" w:hAnsi="SimSun"/>
          <w:sz w:val="21"/>
        </w:rPr>
        <w:t>活动。</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另一个例子是V4各国工业产权局与日本特许厅</w:t>
      </w:r>
      <w:r w:rsidRPr="00925747">
        <w:rPr>
          <w:rFonts w:ascii="SimSun" w:hAnsi="SimSun" w:hint="eastAsia"/>
          <w:sz w:val="21"/>
        </w:rPr>
        <w:t>（</w:t>
      </w:r>
      <w:r w:rsidRPr="00925747">
        <w:rPr>
          <w:rFonts w:ascii="SimSun" w:hAnsi="SimSun"/>
          <w:sz w:val="21"/>
        </w:rPr>
        <w:t>JPO</w:t>
      </w:r>
      <w:r w:rsidRPr="00925747">
        <w:rPr>
          <w:rFonts w:ascii="SimSun" w:hAnsi="SimSun" w:hint="eastAsia"/>
          <w:sz w:val="21"/>
        </w:rPr>
        <w:t>）</w:t>
      </w:r>
      <w:r w:rsidRPr="00925747">
        <w:rPr>
          <w:rFonts w:ascii="SimSun" w:hAnsi="SimSun"/>
          <w:sz w:val="21"/>
        </w:rPr>
        <w:t>之间关于知识产权领域合作的备忘录。该备忘录于2014年9月23日签署，设想了除其他领域外，未来VPI作为ISA/IPEA相关的合作，并且规定JPO将与V4</w:t>
      </w:r>
      <w:r w:rsidRPr="00925747">
        <w:rPr>
          <w:rFonts w:ascii="SimSun" w:hAnsi="SimSun" w:hint="eastAsia"/>
          <w:sz w:val="21"/>
        </w:rPr>
        <w:t>主管局</w:t>
      </w:r>
      <w:r w:rsidRPr="00925747">
        <w:rPr>
          <w:rFonts w:ascii="SimSun" w:hAnsi="SimSun"/>
          <w:sz w:val="21"/>
        </w:rPr>
        <w:t>分享其作为国际单位的经验和知识，之后也将与VPI分享。这类合作的目的之一是共同保证</w:t>
      </w:r>
      <w:proofErr w:type="gramStart"/>
      <w:r w:rsidRPr="00925747">
        <w:rPr>
          <w:rFonts w:ascii="SimSun" w:hAnsi="SimSun"/>
          <w:sz w:val="21"/>
        </w:rPr>
        <w:t>作出</w:t>
      </w:r>
      <w:proofErr w:type="gramEnd"/>
      <w:r w:rsidRPr="00925747">
        <w:rPr>
          <w:rFonts w:ascii="SimSun" w:hAnsi="SimSun"/>
          <w:sz w:val="21"/>
        </w:rPr>
        <w:t>国际检索报告的及时性并提高质量。</w:t>
      </w:r>
      <w:r w:rsidRPr="00925747">
        <w:rPr>
          <w:rFonts w:ascii="SimSun" w:hAnsi="SimSun" w:hint="eastAsia"/>
          <w:sz w:val="21"/>
        </w:rPr>
        <w:t>依照</w:t>
      </w:r>
      <w:r w:rsidRPr="00925747">
        <w:rPr>
          <w:rFonts w:ascii="SimSun" w:hAnsi="SimSun"/>
          <w:sz w:val="21"/>
        </w:rPr>
        <w:t>类似目标，北欧专利局</w:t>
      </w:r>
      <w:r w:rsidRPr="00925747">
        <w:rPr>
          <w:rFonts w:ascii="SimSun" w:hAnsi="SimSun" w:hint="eastAsia"/>
          <w:sz w:val="21"/>
        </w:rPr>
        <w:t>（</w:t>
      </w:r>
      <w:r w:rsidRPr="00925747">
        <w:rPr>
          <w:rFonts w:ascii="SimSun" w:hAnsi="SimSun"/>
          <w:sz w:val="21"/>
        </w:rPr>
        <w:t>NPI</w:t>
      </w:r>
      <w:r w:rsidRPr="00925747">
        <w:rPr>
          <w:rFonts w:ascii="SimSun" w:hAnsi="SimSun" w:hint="eastAsia"/>
          <w:sz w:val="21"/>
        </w:rPr>
        <w:t>）</w:t>
      </w:r>
      <w:r w:rsidRPr="00925747">
        <w:rPr>
          <w:rFonts w:ascii="SimSun" w:hAnsi="SimSun"/>
          <w:sz w:val="21"/>
        </w:rPr>
        <w:t>与VPI之间事实上的合作已具雏形，V4国家希望进一步深化与NPI的合作并固定其形式</w:t>
      </w:r>
      <w:r w:rsidRPr="00925747">
        <w:rPr>
          <w:rFonts w:ascii="SimSun" w:hAnsi="SimSun" w:hint="eastAsia"/>
          <w:sz w:val="21"/>
        </w:rPr>
        <w:t>。</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维谢格拉德（V4）国家工业产权局和韩国特许厅（KIPO）也签署了知识产权领域的合作备忘录。该备忘录于2016年10月5日签署。其目标是进一步加强各主管局之间的合作，包括有关作为ISA/IPEA的合作。</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维谢格拉德国家在其所在地区内推进创新、激励研发、提高竞争力以及促进专利增长方面具有巨大的潜力。VPI要实现的目标以及VPI的建立本身就是</w:t>
      </w:r>
      <w:r w:rsidRPr="00925747">
        <w:rPr>
          <w:rFonts w:ascii="SimSun" w:hAnsi="SimSun" w:hint="eastAsia"/>
          <w:sz w:val="21"/>
        </w:rPr>
        <w:t>缔约国</w:t>
      </w:r>
      <w:r w:rsidRPr="00925747">
        <w:rPr>
          <w:rFonts w:ascii="SimSun" w:hAnsi="SimSun"/>
          <w:sz w:val="21"/>
        </w:rPr>
        <w:t>国家经济、创新和知识产权战略的</w:t>
      </w:r>
      <w:r w:rsidRPr="00925747">
        <w:rPr>
          <w:rFonts w:ascii="SimSun" w:hAnsi="SimSun" w:hint="eastAsia"/>
          <w:sz w:val="21"/>
        </w:rPr>
        <w:t>要素</w:t>
      </w:r>
      <w:r w:rsidRPr="00925747">
        <w:rPr>
          <w:rFonts w:ascii="SimSun" w:hAnsi="SimSun"/>
          <w:sz w:val="21"/>
        </w:rPr>
        <w:t>。</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V4更深层</w:t>
      </w:r>
      <w:r w:rsidRPr="00925747">
        <w:rPr>
          <w:rFonts w:ascii="SimSun" w:hAnsi="SimSun" w:hint="eastAsia"/>
          <w:sz w:val="21"/>
        </w:rPr>
        <w:t>的实力</w:t>
      </w:r>
      <w:r w:rsidRPr="00925747">
        <w:rPr>
          <w:rFonts w:ascii="SimSun" w:hAnsi="SimSun"/>
          <w:sz w:val="21"/>
        </w:rPr>
        <w:t>和共同特点是知识产权法律和机构根深蒂固的传统，以及它们深入而广泛地参与</w:t>
      </w:r>
      <w:r w:rsidRPr="00925747">
        <w:rPr>
          <w:rFonts w:ascii="SimSun" w:hAnsi="SimSun" w:hint="eastAsia"/>
          <w:sz w:val="21"/>
        </w:rPr>
        <w:t>WIPO</w:t>
      </w:r>
      <w:r w:rsidRPr="00925747">
        <w:rPr>
          <w:rFonts w:ascii="SimSun" w:hAnsi="SimSun"/>
          <w:sz w:val="21"/>
        </w:rPr>
        <w:t>支持的全球合作。捷克共和国、波兰共和国和斯洛伐克共和国</w:t>
      </w:r>
      <w:r w:rsidRPr="00925747">
        <w:rPr>
          <w:rFonts w:ascii="SimSun" w:hAnsi="SimSun" w:hint="eastAsia"/>
          <w:sz w:val="21"/>
        </w:rPr>
        <w:t>设立</w:t>
      </w:r>
      <w:r w:rsidRPr="00925747">
        <w:rPr>
          <w:rFonts w:ascii="SimSun" w:hAnsi="SimSun"/>
          <w:sz w:val="21"/>
        </w:rPr>
        <w:t>专利法律制度</w:t>
      </w:r>
      <w:r w:rsidRPr="00925747">
        <w:rPr>
          <w:rFonts w:ascii="SimSun" w:hAnsi="SimSun" w:hint="eastAsia"/>
          <w:sz w:val="21"/>
        </w:rPr>
        <w:t>和国家局的历史可追溯到</w:t>
      </w:r>
      <w:r w:rsidRPr="00925747">
        <w:rPr>
          <w:rFonts w:ascii="SimSun" w:hAnsi="SimSun"/>
          <w:sz w:val="21"/>
        </w:rPr>
        <w:t>1918</w:t>
      </w:r>
      <w:r w:rsidRPr="00925747">
        <w:rPr>
          <w:rFonts w:ascii="SimSun" w:hAnsi="SimSun" w:hint="eastAsia"/>
          <w:sz w:val="21"/>
        </w:rPr>
        <w:t>年至</w:t>
      </w:r>
      <w:r w:rsidRPr="00925747">
        <w:rPr>
          <w:rFonts w:ascii="SimSun" w:hAnsi="SimSun"/>
          <w:sz w:val="21"/>
        </w:rPr>
        <w:t>1919年，而匈牙利通过第一部专利法和建立国家局是在1895到1896年。所有这些国家局都是全面完备的工业产权局，负责广泛的知识产权主题，并作为公共机构职能之一</w:t>
      </w:r>
      <w:r w:rsidRPr="00925747">
        <w:rPr>
          <w:rFonts w:ascii="SimSun" w:hAnsi="SimSun" w:hint="eastAsia"/>
          <w:sz w:val="21"/>
        </w:rPr>
        <w:t>（</w:t>
      </w:r>
      <w:r w:rsidRPr="00925747">
        <w:rPr>
          <w:rFonts w:ascii="SimSun" w:hAnsi="SimSun"/>
          <w:sz w:val="21"/>
        </w:rPr>
        <w:t>并且也以提供专利相关服务的形式</w:t>
      </w:r>
      <w:r w:rsidRPr="00925747">
        <w:rPr>
          <w:rFonts w:ascii="SimSun" w:hAnsi="SimSun" w:hint="eastAsia"/>
          <w:sz w:val="21"/>
        </w:rPr>
        <w:t>）</w:t>
      </w:r>
      <w:r w:rsidRPr="00925747">
        <w:rPr>
          <w:rFonts w:ascii="SimSun" w:hAnsi="SimSun"/>
          <w:sz w:val="21"/>
        </w:rPr>
        <w:t>进行专利检索和审查。</w:t>
      </w:r>
      <w:r w:rsidRPr="00925747">
        <w:rPr>
          <w:rFonts w:ascii="SimSun" w:hAnsi="SimSun" w:hint="eastAsia"/>
          <w:sz w:val="21"/>
        </w:rPr>
        <w:t>它们负责并</w:t>
      </w:r>
      <w:r w:rsidRPr="00925747">
        <w:rPr>
          <w:rFonts w:ascii="SimSun" w:hAnsi="SimSun"/>
          <w:sz w:val="21"/>
        </w:rPr>
        <w:t>积极主动地运用各种知识产权工具提升公众的知识产权意识、传播专利信息和激励创新创造。所有的维谢格拉德国家都是WIPO管理的主要国际文书、WTO《与贸易有关的知识产权协定》和《欧洲专利公约》的成员。他们参与PCT以及专利领域其他形式国际合作的情况将在</w:t>
      </w:r>
      <w:r w:rsidRPr="00925747">
        <w:rPr>
          <w:rFonts w:ascii="SimSun" w:hAnsi="SimSun" w:hint="eastAsia"/>
          <w:sz w:val="21"/>
        </w:rPr>
        <w:t>下一</w:t>
      </w:r>
      <w:r w:rsidRPr="00925747">
        <w:rPr>
          <w:rFonts w:ascii="SimSun" w:hAnsi="SimSun"/>
          <w:sz w:val="21"/>
        </w:rPr>
        <w:t>节详细阐述。</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1.4.维谢格拉德国家参与PCT体系和其它专利相关的国际活动</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1991年6月20日，前捷克斯洛伐克成为PCT的缔约方。捷克共和国作为其继承国自1993年1月1日起在其领土内继续适用PCT。捷克工业产权局</w:t>
      </w:r>
      <w:r w:rsidRPr="00925747">
        <w:rPr>
          <w:rFonts w:ascii="SimSun" w:hAnsi="SimSun" w:hint="eastAsia"/>
          <w:sz w:val="21"/>
        </w:rPr>
        <w:t>（</w:t>
      </w:r>
      <w:r w:rsidRPr="00925747">
        <w:rPr>
          <w:rFonts w:ascii="SimSun" w:hAnsi="SimSun"/>
          <w:sz w:val="21"/>
        </w:rPr>
        <w:t>IPO CZ</w:t>
      </w:r>
      <w:r w:rsidRPr="00925747">
        <w:rPr>
          <w:rFonts w:ascii="SimSun" w:hAnsi="SimSun" w:hint="eastAsia"/>
          <w:sz w:val="21"/>
        </w:rPr>
        <w:t>）</w:t>
      </w:r>
      <w:r w:rsidRPr="00925747">
        <w:rPr>
          <w:rFonts w:ascii="SimSun" w:hAnsi="SimSun"/>
          <w:sz w:val="21"/>
        </w:rPr>
        <w:t>在捷克共和国履行其作为PCT受理局的职责。捷克申请人提交</w:t>
      </w:r>
      <w:r w:rsidRPr="00925747">
        <w:rPr>
          <w:rFonts w:ascii="SimSun" w:hAnsi="SimSun" w:hint="eastAsia"/>
          <w:sz w:val="21"/>
        </w:rPr>
        <w:t>的</w:t>
      </w:r>
      <w:r w:rsidRPr="00925747">
        <w:rPr>
          <w:rFonts w:ascii="SimSun" w:hAnsi="SimSun"/>
          <w:sz w:val="21"/>
        </w:rPr>
        <w:t>PCT申请呈现出积极趋势。2007年</w:t>
      </w:r>
      <w:r w:rsidRPr="00925747">
        <w:rPr>
          <w:rFonts w:ascii="SimSun" w:hAnsi="SimSun" w:hint="eastAsia"/>
          <w:sz w:val="21"/>
        </w:rPr>
        <w:t>至</w:t>
      </w:r>
      <w:r w:rsidRPr="00925747">
        <w:rPr>
          <w:rFonts w:ascii="SimSun" w:hAnsi="SimSun"/>
          <w:sz w:val="21"/>
        </w:rPr>
        <w:t>2016年间，提交给作为受理局的IPO CZ的国际申请数量从132件增加至180件。</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lastRenderedPageBreak/>
        <w:t>1980年6月27日，匈牙利成为PCT成员国。除作为</w:t>
      </w:r>
      <w:r w:rsidRPr="00925747">
        <w:rPr>
          <w:rFonts w:ascii="SimSun" w:hAnsi="SimSun" w:hint="eastAsia"/>
          <w:sz w:val="21"/>
        </w:rPr>
        <w:t>PCT</w:t>
      </w:r>
      <w:r w:rsidRPr="00925747">
        <w:rPr>
          <w:rFonts w:ascii="SimSun" w:hAnsi="SimSun"/>
          <w:sz w:val="21"/>
        </w:rPr>
        <w:t>受理局外，根据与奥地利专利局</w:t>
      </w:r>
      <w:r w:rsidRPr="00925747">
        <w:rPr>
          <w:rFonts w:ascii="SimSun" w:hAnsi="SimSun" w:hint="eastAsia"/>
          <w:sz w:val="21"/>
        </w:rPr>
        <w:t>（</w:t>
      </w:r>
      <w:r w:rsidRPr="00925747">
        <w:rPr>
          <w:rFonts w:ascii="SimSun" w:hAnsi="SimSun"/>
          <w:sz w:val="21"/>
        </w:rPr>
        <w:t>APO</w:t>
      </w:r>
      <w:r w:rsidRPr="00925747">
        <w:rPr>
          <w:rFonts w:ascii="SimSun" w:hAnsi="SimSun" w:hint="eastAsia"/>
          <w:sz w:val="21"/>
        </w:rPr>
        <w:t>）</w:t>
      </w:r>
      <w:r w:rsidRPr="00925747">
        <w:rPr>
          <w:rFonts w:ascii="SimSun" w:hAnsi="SimSun"/>
          <w:sz w:val="21"/>
        </w:rPr>
        <w:t>的双边协议，自2006年起，匈牙利知识产权局</w:t>
      </w:r>
      <w:r w:rsidRPr="00925747">
        <w:rPr>
          <w:rFonts w:ascii="SimSun" w:hAnsi="SimSun" w:hint="eastAsia"/>
          <w:sz w:val="21"/>
        </w:rPr>
        <w:t>（</w:t>
      </w:r>
      <w:r w:rsidRPr="00925747">
        <w:rPr>
          <w:rFonts w:ascii="SimSun" w:hAnsi="SimSun"/>
          <w:sz w:val="21"/>
        </w:rPr>
        <w:t>HIPO</w:t>
      </w:r>
      <w:r w:rsidRPr="00925747">
        <w:rPr>
          <w:rFonts w:ascii="SimSun" w:hAnsi="SimSun" w:hint="eastAsia"/>
          <w:sz w:val="21"/>
        </w:rPr>
        <w:t>）</w:t>
      </w:r>
      <w:r w:rsidRPr="00925747">
        <w:rPr>
          <w:rFonts w:ascii="SimSun" w:hAnsi="SimSun"/>
          <w:sz w:val="21"/>
        </w:rPr>
        <w:t>为作为PCT国际单位的APO开展检索和初步审查。</w:t>
      </w:r>
      <w:r w:rsidRPr="00925747">
        <w:rPr>
          <w:rFonts w:ascii="SimSun" w:hAnsi="SimSun" w:hint="eastAsia"/>
          <w:sz w:val="21"/>
        </w:rPr>
        <w:t>在</w:t>
      </w:r>
      <w:r w:rsidRPr="00925747">
        <w:rPr>
          <w:rFonts w:ascii="SimSun" w:hAnsi="SimSun"/>
          <w:sz w:val="21"/>
        </w:rPr>
        <w:t>根据协议开展检索和初步审查</w:t>
      </w:r>
      <w:r w:rsidRPr="00925747">
        <w:rPr>
          <w:rFonts w:ascii="SimSun" w:hAnsi="SimSun" w:hint="eastAsia"/>
          <w:sz w:val="21"/>
        </w:rPr>
        <w:t>的</w:t>
      </w:r>
      <w:r w:rsidRPr="00925747">
        <w:rPr>
          <w:rFonts w:ascii="SimSun" w:hAnsi="SimSun"/>
          <w:sz w:val="21"/>
        </w:rPr>
        <w:t>过程中，HIPO遵循《PCT国际检索和国际初步审查指南》。协议有效期</w:t>
      </w:r>
      <w:r w:rsidRPr="00925747">
        <w:rPr>
          <w:rFonts w:ascii="SimSun" w:hAnsi="SimSun" w:hint="eastAsia"/>
          <w:sz w:val="21"/>
        </w:rPr>
        <w:t>于</w:t>
      </w:r>
      <w:r w:rsidRPr="00925747">
        <w:rPr>
          <w:rFonts w:ascii="SimSun" w:hAnsi="SimSun"/>
          <w:sz w:val="21"/>
        </w:rPr>
        <w:t>2014年12月底</w:t>
      </w:r>
      <w:r w:rsidRPr="00925747">
        <w:rPr>
          <w:rFonts w:ascii="SimSun" w:hAnsi="SimSun" w:hint="eastAsia"/>
          <w:sz w:val="21"/>
        </w:rPr>
        <w:t>截止</w:t>
      </w:r>
      <w:r w:rsidRPr="00925747">
        <w:rPr>
          <w:rFonts w:ascii="SimSun" w:hAnsi="SimSun"/>
          <w:sz w:val="21"/>
        </w:rPr>
        <w:t>。在这一协议框架下，HIPO委派专利专家以观察员身份参加负责欧洲PCT单位间合作和协调的协调检索活动常设委员会</w:t>
      </w:r>
      <w:r w:rsidRPr="00925747">
        <w:rPr>
          <w:rFonts w:ascii="SimSun" w:hAnsi="SimSun" w:hint="eastAsia"/>
          <w:sz w:val="21"/>
        </w:rPr>
        <w:t>（</w:t>
      </w:r>
      <w:r w:rsidRPr="00925747">
        <w:rPr>
          <w:rFonts w:ascii="SimSun" w:hAnsi="SimSun"/>
          <w:sz w:val="21"/>
        </w:rPr>
        <w:t>PCHSA</w:t>
      </w:r>
      <w:r w:rsidRPr="00925747">
        <w:rPr>
          <w:rFonts w:ascii="SimSun" w:hAnsi="SimSun" w:hint="eastAsia"/>
          <w:sz w:val="21"/>
        </w:rPr>
        <w:t>）</w:t>
      </w:r>
      <w:r w:rsidRPr="00925747">
        <w:rPr>
          <w:rFonts w:ascii="SimSun" w:hAnsi="SimSun"/>
          <w:sz w:val="21"/>
        </w:rPr>
        <w:t>及其工作组。自2009年起，HIPO的代表参与了PCHSA及其工作组的工作。2007年</w:t>
      </w:r>
      <w:r w:rsidRPr="00925747">
        <w:rPr>
          <w:rFonts w:ascii="SimSun" w:hAnsi="SimSun" w:hint="eastAsia"/>
          <w:sz w:val="21"/>
        </w:rPr>
        <w:t>至</w:t>
      </w:r>
      <w:r w:rsidRPr="00925747">
        <w:rPr>
          <w:rFonts w:ascii="SimSun" w:hAnsi="SimSun"/>
          <w:sz w:val="21"/>
        </w:rPr>
        <w:t>2016年间，源自匈牙利的PCT申请数量在142到173件之间。</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1990年12月25日，波兰共和国加入PCT，自</w:t>
      </w:r>
      <w:r w:rsidRPr="00925747">
        <w:rPr>
          <w:rFonts w:ascii="SimSun" w:hAnsi="SimSun" w:hint="eastAsia"/>
          <w:sz w:val="21"/>
        </w:rPr>
        <w:t>此</w:t>
      </w:r>
      <w:r w:rsidRPr="00925747">
        <w:rPr>
          <w:rFonts w:ascii="SimSun" w:hAnsi="SimSun"/>
          <w:sz w:val="21"/>
        </w:rPr>
        <w:t>波兰共和国专利局</w:t>
      </w:r>
      <w:r w:rsidRPr="00925747">
        <w:rPr>
          <w:rFonts w:ascii="SimSun" w:hAnsi="SimSun" w:hint="eastAsia"/>
          <w:sz w:val="21"/>
        </w:rPr>
        <w:t>（</w:t>
      </w:r>
      <w:r w:rsidRPr="00925747">
        <w:rPr>
          <w:rFonts w:ascii="SimSun" w:hAnsi="SimSun"/>
          <w:sz w:val="21"/>
        </w:rPr>
        <w:t>PPO</w:t>
      </w:r>
      <w:r w:rsidRPr="00925747">
        <w:rPr>
          <w:rFonts w:ascii="SimSun" w:hAnsi="SimSun" w:hint="eastAsia"/>
          <w:sz w:val="21"/>
        </w:rPr>
        <w:t>）</w:t>
      </w:r>
      <w:r w:rsidRPr="00925747">
        <w:rPr>
          <w:rFonts w:ascii="SimSun" w:hAnsi="SimSun"/>
          <w:sz w:val="21"/>
        </w:rPr>
        <w:t>一直履行受理局职能并且波兰成为PCT申请的一个指定国。2007年到2016年期间，源自波兰共和国的PCT申请数量从107件增长到277件。</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斯洛伐克共和国和捷克共和国一样，是1991年加入PCT的前捷克斯洛伐克的继承国。自1993年1月1日起，斯洛伐克共和国成为PCT缔约国。自</w:t>
      </w:r>
      <w:r w:rsidRPr="00925747">
        <w:rPr>
          <w:rFonts w:ascii="SimSun" w:hAnsi="SimSun" w:hint="eastAsia"/>
          <w:sz w:val="21"/>
        </w:rPr>
        <w:t>此，</w:t>
      </w:r>
      <w:r w:rsidRPr="00925747">
        <w:rPr>
          <w:rFonts w:ascii="SimSun" w:hAnsi="SimSun"/>
          <w:sz w:val="21"/>
        </w:rPr>
        <w:t>斯洛伐克工业产权局</w:t>
      </w:r>
      <w:r w:rsidRPr="00925747">
        <w:rPr>
          <w:rFonts w:ascii="SimSun" w:hAnsi="SimSun" w:hint="eastAsia"/>
          <w:sz w:val="21"/>
        </w:rPr>
        <w:t>（</w:t>
      </w:r>
      <w:r w:rsidRPr="00925747">
        <w:rPr>
          <w:rFonts w:ascii="SimSun" w:hAnsi="SimSun"/>
          <w:sz w:val="21"/>
        </w:rPr>
        <w:t>IPO SR</w:t>
      </w:r>
      <w:r w:rsidRPr="00925747">
        <w:rPr>
          <w:rFonts w:ascii="SimSun" w:hAnsi="SimSun" w:hint="eastAsia"/>
          <w:sz w:val="21"/>
        </w:rPr>
        <w:t>）</w:t>
      </w:r>
      <w:r w:rsidRPr="00925747">
        <w:rPr>
          <w:rFonts w:ascii="SimSun" w:hAnsi="SimSun"/>
          <w:sz w:val="21"/>
        </w:rPr>
        <w:t>一直作为受理局履行PCT体系内的职能。2007年至2016年期间，源自斯洛伐克的PCT申请数量在33至65</w:t>
      </w:r>
      <w:r w:rsidRPr="00925747">
        <w:rPr>
          <w:rFonts w:ascii="SimSun" w:hAnsi="SimSun" w:hint="eastAsia"/>
          <w:sz w:val="21"/>
        </w:rPr>
        <w:t>件</w:t>
      </w:r>
      <w:r w:rsidRPr="00925747">
        <w:rPr>
          <w:rFonts w:ascii="SimSun" w:hAnsi="SimSun"/>
          <w:sz w:val="21"/>
        </w:rPr>
        <w:t>之间。</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虽然由于在2002</w:t>
      </w:r>
      <w:r w:rsidRPr="00925747">
        <w:rPr>
          <w:rFonts w:ascii="SimSun" w:hAnsi="SimSun" w:hint="eastAsia"/>
          <w:sz w:val="21"/>
        </w:rPr>
        <w:t>年至</w:t>
      </w:r>
      <w:r w:rsidRPr="00925747">
        <w:rPr>
          <w:rFonts w:ascii="SimSun" w:hAnsi="SimSun"/>
          <w:sz w:val="21"/>
        </w:rPr>
        <w:t>2004年维谢格拉德国家先后加入《欧洲专利公约》，进入国家阶段的国际申请的数量明显减少，但是所有V4的国家局也都是PCT的指定局或者选定局。</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hint="eastAsia"/>
          <w:sz w:val="21"/>
        </w:rPr>
        <w:t>旨在</w:t>
      </w:r>
      <w:r w:rsidRPr="00925747">
        <w:rPr>
          <w:rFonts w:ascii="SimSun" w:hAnsi="SimSun"/>
          <w:sz w:val="21"/>
        </w:rPr>
        <w:t>工作共享和协调检索和审查</w:t>
      </w:r>
      <w:r w:rsidRPr="00925747">
        <w:rPr>
          <w:rFonts w:ascii="SimSun" w:hAnsi="SimSun" w:hint="eastAsia"/>
          <w:sz w:val="21"/>
        </w:rPr>
        <w:t>的</w:t>
      </w:r>
      <w:r w:rsidRPr="00925747">
        <w:rPr>
          <w:rFonts w:ascii="SimSun" w:hAnsi="SimSun"/>
          <w:sz w:val="21"/>
        </w:rPr>
        <w:t>专利</w:t>
      </w:r>
      <w:r w:rsidRPr="00925747">
        <w:rPr>
          <w:rFonts w:ascii="SimSun" w:hAnsi="SimSun" w:hint="eastAsia"/>
          <w:sz w:val="21"/>
        </w:rPr>
        <w:t>相关</w:t>
      </w:r>
      <w:r w:rsidRPr="00925747">
        <w:rPr>
          <w:rFonts w:ascii="SimSun" w:hAnsi="SimSun"/>
          <w:sz w:val="21"/>
        </w:rPr>
        <w:t>合作中，维谢格拉德国家的国家局发挥着越来越积极的作用。HIPO和PPO是GPPH的成员。</w:t>
      </w:r>
      <w:r w:rsidR="003922BA" w:rsidRPr="00925747">
        <w:rPr>
          <w:rFonts w:ascii="SimSun" w:hAnsi="SimSun" w:hint="eastAsia"/>
          <w:sz w:val="21"/>
        </w:rPr>
        <w:t>取得</w:t>
      </w:r>
      <w:r w:rsidRPr="00925747">
        <w:rPr>
          <w:rFonts w:ascii="SimSun" w:hAnsi="SimSun"/>
          <w:sz w:val="21"/>
        </w:rPr>
        <w:t>ISO 9001认证后，预计VPI也将争取参与</w:t>
      </w:r>
      <w:proofErr w:type="gramStart"/>
      <w:r w:rsidRPr="00925747">
        <w:rPr>
          <w:rFonts w:ascii="SimSun" w:hAnsi="SimSun"/>
          <w:sz w:val="21"/>
        </w:rPr>
        <w:t>该全球</w:t>
      </w:r>
      <w:proofErr w:type="gramEnd"/>
      <w:r w:rsidRPr="00925747">
        <w:rPr>
          <w:rFonts w:ascii="SimSun" w:hAnsi="SimSun"/>
          <w:sz w:val="21"/>
        </w:rPr>
        <w:t>网络。此外，所有V4的</w:t>
      </w:r>
      <w:r w:rsidRPr="00925747">
        <w:rPr>
          <w:rFonts w:ascii="SimSun" w:hAnsi="SimSun" w:hint="eastAsia"/>
          <w:sz w:val="21"/>
        </w:rPr>
        <w:t>主管</w:t>
      </w:r>
      <w:r w:rsidRPr="00925747">
        <w:rPr>
          <w:rFonts w:ascii="SimSun" w:hAnsi="SimSun"/>
          <w:sz w:val="21"/>
        </w:rPr>
        <w:t>局都参与了专利审查高速路</w:t>
      </w:r>
      <w:r w:rsidRPr="00925747">
        <w:rPr>
          <w:rFonts w:ascii="SimSun" w:hAnsi="SimSun" w:hint="eastAsia"/>
          <w:sz w:val="21"/>
        </w:rPr>
        <w:t>（</w:t>
      </w:r>
      <w:r w:rsidRPr="00925747">
        <w:rPr>
          <w:rFonts w:ascii="SimSun" w:hAnsi="SimSun"/>
          <w:sz w:val="21"/>
        </w:rPr>
        <w:t>PPH</w:t>
      </w:r>
      <w:r w:rsidRPr="00925747">
        <w:rPr>
          <w:rFonts w:ascii="SimSun" w:hAnsi="SimSun" w:hint="eastAsia"/>
          <w:sz w:val="21"/>
        </w:rPr>
        <w:t>）</w:t>
      </w:r>
      <w:r w:rsidRPr="00925747">
        <w:rPr>
          <w:rFonts w:ascii="SimSun" w:hAnsi="SimSun"/>
          <w:sz w:val="21"/>
        </w:rPr>
        <w:t>项目</w:t>
      </w:r>
      <w:r w:rsidRPr="00925747">
        <w:rPr>
          <w:rFonts w:ascii="SimSun" w:hAnsi="SimSun" w:hint="eastAsia"/>
          <w:sz w:val="21"/>
        </w:rPr>
        <w:t>（</w:t>
      </w:r>
      <w:r w:rsidRPr="00925747">
        <w:rPr>
          <w:rFonts w:ascii="SimSun" w:hAnsi="SimSun"/>
          <w:sz w:val="21"/>
        </w:rPr>
        <w:t>特别是与美国专利商标局</w:t>
      </w:r>
      <w:r w:rsidRPr="00925747">
        <w:rPr>
          <w:rFonts w:ascii="SimSun" w:hAnsi="SimSun" w:hint="eastAsia"/>
          <w:sz w:val="21"/>
        </w:rPr>
        <w:t>（</w:t>
      </w:r>
      <w:r w:rsidRPr="00925747">
        <w:rPr>
          <w:rFonts w:ascii="SimSun" w:hAnsi="SimSun"/>
          <w:sz w:val="21"/>
        </w:rPr>
        <w:t>USPTO</w:t>
      </w:r>
      <w:r w:rsidRPr="00925747">
        <w:rPr>
          <w:rFonts w:ascii="SimSun" w:hAnsi="SimSun" w:hint="eastAsia"/>
          <w:sz w:val="21"/>
        </w:rPr>
        <w:t>）</w:t>
      </w:r>
      <w:r w:rsidRPr="00925747">
        <w:rPr>
          <w:rFonts w:ascii="SimSun" w:hAnsi="SimSun"/>
          <w:sz w:val="21"/>
        </w:rPr>
        <w:t>、芬兰专利与注册国家委员会、日本特许厅和中国国家知识产权局</w:t>
      </w:r>
      <w:r w:rsidRPr="00925747">
        <w:rPr>
          <w:rFonts w:ascii="SimSun" w:hAnsi="SimSun" w:hint="eastAsia"/>
          <w:sz w:val="21"/>
        </w:rPr>
        <w:t>）</w:t>
      </w:r>
      <w:r w:rsidRPr="00925747">
        <w:rPr>
          <w:rFonts w:ascii="SimSun" w:hAnsi="SimSun"/>
          <w:sz w:val="21"/>
        </w:rPr>
        <w:t>或者在专利检索和审查领域以双边为基础进行其他形式的合作。自2009年以来，HIPO为新加坡知识产权局</w:t>
      </w:r>
      <w:r w:rsidRPr="00925747">
        <w:rPr>
          <w:rFonts w:ascii="SimSun" w:hAnsi="SimSun" w:hint="eastAsia"/>
          <w:sz w:val="21"/>
        </w:rPr>
        <w:t>（</w:t>
      </w:r>
      <w:r w:rsidRPr="00925747">
        <w:rPr>
          <w:rFonts w:ascii="SimSun" w:hAnsi="SimSun"/>
          <w:sz w:val="21"/>
        </w:rPr>
        <w:t>IPOS</w:t>
      </w:r>
      <w:r w:rsidRPr="00925747">
        <w:rPr>
          <w:rFonts w:ascii="SimSun" w:hAnsi="SimSun" w:hint="eastAsia"/>
          <w:sz w:val="21"/>
        </w:rPr>
        <w:t>）</w:t>
      </w:r>
      <w:r w:rsidRPr="00925747">
        <w:rPr>
          <w:rFonts w:ascii="SimSun" w:hAnsi="SimSun"/>
          <w:sz w:val="21"/>
        </w:rPr>
        <w:t>提供检索和专利审查服务，每年为IPOS出具2,500-3,000份检索报告和/或审查报告。此外，HIPO还与斯洛文尼亚知识产权局</w:t>
      </w:r>
      <w:r w:rsidRPr="00925747">
        <w:rPr>
          <w:rFonts w:ascii="SimSun" w:hAnsi="SimSun" w:hint="eastAsia"/>
          <w:sz w:val="21"/>
        </w:rPr>
        <w:t>（</w:t>
      </w:r>
      <w:r w:rsidRPr="00925747">
        <w:rPr>
          <w:rFonts w:ascii="SimSun" w:hAnsi="SimSun"/>
          <w:sz w:val="21"/>
        </w:rPr>
        <w:t>SIPO</w:t>
      </w:r>
      <w:r w:rsidRPr="00925747">
        <w:rPr>
          <w:rFonts w:ascii="SimSun" w:hAnsi="SimSun" w:hint="eastAsia"/>
          <w:sz w:val="21"/>
        </w:rPr>
        <w:t>）</w:t>
      </w:r>
      <w:r w:rsidRPr="00925747">
        <w:rPr>
          <w:rFonts w:ascii="SimSun" w:hAnsi="SimSun"/>
          <w:sz w:val="21"/>
        </w:rPr>
        <w:t>、马其顿专利局</w:t>
      </w:r>
      <w:r w:rsidRPr="00925747">
        <w:rPr>
          <w:rFonts w:ascii="SimSun" w:hAnsi="SimSun" w:hint="eastAsia"/>
          <w:sz w:val="21"/>
        </w:rPr>
        <w:t>（</w:t>
      </w:r>
      <w:r w:rsidRPr="00925747">
        <w:rPr>
          <w:rFonts w:ascii="SimSun" w:hAnsi="SimSun"/>
          <w:sz w:val="21"/>
        </w:rPr>
        <w:t>SOIP</w:t>
      </w:r>
      <w:r w:rsidRPr="00925747">
        <w:rPr>
          <w:rFonts w:ascii="SimSun" w:hAnsi="SimSun" w:hint="eastAsia"/>
          <w:sz w:val="21"/>
        </w:rPr>
        <w:t>）</w:t>
      </w:r>
      <w:r w:rsidRPr="00925747">
        <w:rPr>
          <w:rFonts w:ascii="SimSun" w:hAnsi="SimSun"/>
          <w:sz w:val="21"/>
        </w:rPr>
        <w:t>和文莱签有双边协议，提供专利检索和审查服务。最后</w:t>
      </w:r>
      <w:r w:rsidRPr="00925747">
        <w:rPr>
          <w:rFonts w:ascii="SimSun" w:hAnsi="SimSun" w:hint="eastAsia"/>
          <w:sz w:val="21"/>
        </w:rPr>
        <w:t>，</w:t>
      </w:r>
      <w:r w:rsidRPr="00925747">
        <w:rPr>
          <w:rFonts w:ascii="SimSun" w:hAnsi="SimSun"/>
          <w:sz w:val="21"/>
        </w:rPr>
        <w:t>同样重要的是在本部分中</w:t>
      </w:r>
      <w:r w:rsidRPr="00925747">
        <w:rPr>
          <w:rFonts w:ascii="SimSun" w:hAnsi="SimSun" w:hint="eastAsia"/>
          <w:sz w:val="21"/>
        </w:rPr>
        <w:t>引述了</w:t>
      </w:r>
      <w:r w:rsidRPr="00925747">
        <w:rPr>
          <w:rFonts w:ascii="SimSun" w:hAnsi="SimSun"/>
          <w:sz w:val="21"/>
        </w:rPr>
        <w:t>在前面章节中记述的V4与中国国家知识产权局、日本特许厅和北欧专利局已经建立的合作。</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1.5.VPI的构成、原则和任务</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2015年2月26日，V4国家工业产权局局长作为本国政府正式授权的代表在布拉迪斯拉</w:t>
      </w:r>
      <w:proofErr w:type="gramStart"/>
      <w:r w:rsidRPr="00925747">
        <w:rPr>
          <w:rFonts w:ascii="SimSun" w:hAnsi="SimSun"/>
          <w:sz w:val="21"/>
        </w:rPr>
        <w:t>发签署</w:t>
      </w:r>
      <w:proofErr w:type="gramEnd"/>
      <w:r w:rsidRPr="00925747">
        <w:rPr>
          <w:rFonts w:ascii="SimSun" w:hAnsi="SimSun"/>
          <w:sz w:val="21"/>
        </w:rPr>
        <w:t>了维谢格拉德专利局协议</w:t>
      </w:r>
      <w:r w:rsidRPr="00925747">
        <w:rPr>
          <w:rFonts w:ascii="SimSun" w:hAnsi="SimSun" w:hint="eastAsia"/>
          <w:sz w:val="21"/>
        </w:rPr>
        <w:t>（</w:t>
      </w:r>
      <w:r w:rsidRPr="00925747">
        <w:rPr>
          <w:rFonts w:ascii="SimSun" w:hAnsi="SimSun"/>
          <w:sz w:val="21"/>
        </w:rPr>
        <w:t>VPI协议</w:t>
      </w:r>
      <w:r w:rsidRPr="00925747">
        <w:rPr>
          <w:rFonts w:ascii="SimSun" w:hAnsi="SimSun" w:hint="eastAsia"/>
          <w:sz w:val="21"/>
        </w:rPr>
        <w:t>）</w:t>
      </w:r>
      <w:r w:rsidRPr="00925747">
        <w:rPr>
          <w:rFonts w:ascii="SimSun" w:hAnsi="SimSun"/>
          <w:sz w:val="21"/>
        </w:rPr>
        <w:t>。VPI协议须按照缔约国各自的宪法规定批准。</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是PCT条约第16条和PCT细则第36条意义下的一个政府间组织。它有法人资格和履行职责所需的广泛的法律行为能力，包括在有关其作为PCT国际单位的事务上，由局长作为其代表。VPI计划在两个方向上继续保持开放。首先，它将向所有欧洲国家开放加入</w:t>
      </w:r>
      <w:r w:rsidRPr="00925747">
        <w:rPr>
          <w:rFonts w:ascii="SimSun" w:hAnsi="SimSun" w:hint="eastAsia"/>
          <w:sz w:val="21"/>
        </w:rPr>
        <w:t>，</w:t>
      </w:r>
      <w:r w:rsidRPr="00925747">
        <w:rPr>
          <w:rFonts w:ascii="SimSun" w:hAnsi="SimSun"/>
          <w:sz w:val="21"/>
        </w:rPr>
        <w:t>基于VPI行政管理委员会的邀请，</w:t>
      </w:r>
      <w:r w:rsidRPr="00925747">
        <w:rPr>
          <w:rFonts w:ascii="SimSun" w:hAnsi="SimSun" w:hint="eastAsia"/>
          <w:sz w:val="21"/>
        </w:rPr>
        <w:t>并符合</w:t>
      </w:r>
      <w:r w:rsidRPr="00925747">
        <w:rPr>
          <w:rFonts w:ascii="SimSun" w:hAnsi="SimSun"/>
          <w:sz w:val="21"/>
        </w:rPr>
        <w:t>该国家的国际义务，包括《欧洲专利公约》及其集中化协议中的义务</w:t>
      </w:r>
      <w:r w:rsidRPr="00925747">
        <w:rPr>
          <w:rFonts w:ascii="SimSun" w:hAnsi="SimSun" w:hint="eastAsia"/>
          <w:sz w:val="21"/>
        </w:rPr>
        <w:t>。</w:t>
      </w:r>
      <w:r w:rsidRPr="00925747">
        <w:rPr>
          <w:rFonts w:ascii="SimSun" w:hAnsi="SimSun"/>
          <w:sz w:val="21"/>
        </w:rPr>
        <w:t>第二，VPI将不仅作为向V4国家专利局提交的国际申请的ISA和IPEA，还包括向V4国家相邻的《欧洲专利公约》成员国的受理局</w:t>
      </w:r>
      <w:r w:rsidRPr="00925747">
        <w:rPr>
          <w:rFonts w:ascii="SimSun" w:hAnsi="SimSun" w:hint="eastAsia"/>
          <w:sz w:val="21"/>
        </w:rPr>
        <w:t>（</w:t>
      </w:r>
      <w:r w:rsidRPr="00925747">
        <w:rPr>
          <w:rFonts w:ascii="SimSun" w:hAnsi="SimSun"/>
          <w:sz w:val="21"/>
        </w:rPr>
        <w:t>即克罗地亚、立陶宛、罗马尼亚、塞尔维亚和斯洛文尼亚</w:t>
      </w:r>
      <w:r w:rsidRPr="00925747">
        <w:rPr>
          <w:rFonts w:ascii="SimSun" w:hAnsi="SimSun" w:hint="eastAsia"/>
          <w:sz w:val="21"/>
        </w:rPr>
        <w:t>）</w:t>
      </w:r>
      <w:r w:rsidRPr="00925747">
        <w:rPr>
          <w:rFonts w:ascii="SimSun" w:hAnsi="SimSun"/>
          <w:sz w:val="21"/>
        </w:rPr>
        <w:t>提交的国际申请，只要后者为</w:t>
      </w:r>
      <w:proofErr w:type="gramStart"/>
      <w:r w:rsidRPr="00925747">
        <w:rPr>
          <w:rFonts w:ascii="SimSun" w:hAnsi="SimSun"/>
          <w:sz w:val="21"/>
        </w:rPr>
        <w:t>该目的</w:t>
      </w:r>
      <w:proofErr w:type="gramEnd"/>
      <w:r w:rsidRPr="00925747">
        <w:rPr>
          <w:rFonts w:ascii="SimSun" w:hAnsi="SimSun"/>
          <w:sz w:val="21"/>
        </w:rPr>
        <w:t>指定VPI。</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建立VPI时，维谢格拉德各国已经完全以符合《欧洲专利公约》所规定的义务行事。它们适用《欧洲专利公约》集中化协议第三部分第(1)段的授权，因为它们中没有一个国家的官方语言与欧洲专</w:t>
      </w:r>
      <w:r w:rsidRPr="00925747">
        <w:rPr>
          <w:rFonts w:ascii="SimSun" w:hAnsi="SimSun"/>
          <w:sz w:val="21"/>
        </w:rPr>
        <w:lastRenderedPageBreak/>
        <w:t>利局的相同。此外，它们在缔结和执行与世界知识产权组织国际局关于VPI作为ISA和IPEA协议时，承诺符合《欧洲专利公约》及其集中化协议下的义务。</w:t>
      </w:r>
    </w:p>
    <w:p w:rsidR="0046454C" w:rsidRPr="00925747" w:rsidRDefault="00211F9A" w:rsidP="00927786">
      <w:pPr>
        <w:pStyle w:val="ONUME"/>
        <w:tabs>
          <w:tab w:val="clear" w:pos="567"/>
        </w:tabs>
        <w:overflowPunct w:val="0"/>
        <w:spacing w:afterLines="50" w:after="120" w:line="340" w:lineRule="atLeast"/>
        <w:ind w:firstLineChars="258" w:firstLine="542"/>
        <w:jc w:val="both"/>
        <w:rPr>
          <w:rFonts w:ascii="SimSun" w:hAnsi="SimSun"/>
          <w:sz w:val="21"/>
        </w:rPr>
      </w:pPr>
      <w:r w:rsidRPr="00925747">
        <w:rPr>
          <w:rFonts w:ascii="SimSun" w:hAnsi="SimSun"/>
          <w:sz w:val="21"/>
        </w:rPr>
        <w:t>作为一个政府间组织的VPI由其行政管理委员会统管，该委员会由成员国的代表组成，而由局长领导的VPI秘书处负责VPI工作的组织、日常管理和行政支持。秘书处和局长</w:t>
      </w:r>
      <w:r w:rsidRPr="00925747">
        <w:rPr>
          <w:rFonts w:ascii="SimSun" w:hAnsi="SimSun" w:hint="eastAsia"/>
          <w:sz w:val="21"/>
        </w:rPr>
        <w:t>是</w:t>
      </w:r>
      <w:r w:rsidRPr="00925747">
        <w:rPr>
          <w:rFonts w:ascii="SimSun" w:hAnsi="SimSun"/>
          <w:sz w:val="21"/>
        </w:rPr>
        <w:t>VPI与所有外部单位的接口，包括世界知识产权组织国际局、作为受理局的国家局以及可能的其他国际伙伴和VPI专利相关服务的用户。在VPI这一政府间层面之下的是缔约国的国家局，它们代表VPI履行国际检索和审查的任务。通过对检索和审查工具以及实践的协调，并通过对过程中每一</w:t>
      </w:r>
      <w:r w:rsidRPr="00925747">
        <w:rPr>
          <w:rFonts w:ascii="SimSun" w:hAnsi="SimSun" w:hint="eastAsia"/>
          <w:sz w:val="21"/>
        </w:rPr>
        <w:t>阶段</w:t>
      </w:r>
      <w:r w:rsidRPr="00925747">
        <w:rPr>
          <w:rFonts w:ascii="SimSun" w:hAnsi="SimSun"/>
          <w:sz w:val="21"/>
        </w:rPr>
        <w:t>的严格质量管理，确保申请人享受到VPI一贯高质量的统一服务。VPI的组织图见表1。</w:t>
      </w:r>
    </w:p>
    <w:p w:rsidR="0046454C" w:rsidRPr="00A078C2" w:rsidRDefault="00211F9A" w:rsidP="00A078C2">
      <w:pPr>
        <w:overflowPunct w:val="0"/>
        <w:spacing w:beforeLines="100" w:before="240" w:afterLines="50" w:after="120" w:line="340" w:lineRule="atLeast"/>
        <w:rPr>
          <w:rFonts w:ascii="SimSun" w:hAnsi="SimSun"/>
          <w:sz w:val="21"/>
          <w:u w:val="single"/>
        </w:rPr>
      </w:pPr>
      <w:r w:rsidRPr="00A078C2">
        <w:rPr>
          <w:rFonts w:ascii="SimSun" w:hAnsi="SimSun"/>
          <w:sz w:val="21"/>
          <w:u w:val="single"/>
        </w:rPr>
        <w:t>表1–维谢格拉德专利局的组织图</w:t>
      </w:r>
      <w:r w:rsidRPr="00A078C2">
        <w:rPr>
          <w:rStyle w:val="af"/>
          <w:rFonts w:ascii="SimSun" w:hAnsi="SimSun"/>
          <w:sz w:val="21"/>
          <w:u w:val="single"/>
        </w:rPr>
        <w:footnoteReference w:id="1"/>
      </w:r>
    </w:p>
    <w:p w:rsidR="0046454C" w:rsidRPr="00925747" w:rsidRDefault="00211F9A">
      <w:pPr>
        <w:rPr>
          <w:rFonts w:ascii="SimSun" w:hAnsi="SimSun"/>
          <w:sz w:val="21"/>
        </w:rPr>
      </w:pPr>
      <w:r w:rsidRPr="00925747">
        <w:rPr>
          <w:rFonts w:ascii="SimSun" w:hAnsi="SimSun"/>
          <w:noProof/>
          <w:sz w:val="21"/>
        </w:rPr>
        <w:drawing>
          <wp:inline distT="0" distB="0" distL="0" distR="0" wp14:anchorId="14F9FBF9" wp14:editId="55442E96">
            <wp:extent cx="5762625" cy="502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62625" cy="5029200"/>
                    </a:xfrm>
                    <a:prstGeom prst="rect">
                      <a:avLst/>
                    </a:prstGeom>
                    <a:noFill/>
                    <a:ln>
                      <a:noFill/>
                    </a:ln>
                  </pic:spPr>
                </pic:pic>
              </a:graphicData>
            </a:graphic>
          </wp:inline>
        </w:drawing>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主要任务是作为PCT的国际检索单位和国际初步审查单位。VPI也提供补充国际检索，还计划提供国际型检索。此外，行政管理委员会可以决定交付VPI完成专利领域其他类似的任务，还可以授权局长代表VPI签署相关协议。</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w:t>
      </w:r>
      <w:r w:rsidRPr="00925747">
        <w:rPr>
          <w:rFonts w:ascii="SimSun" w:hAnsi="SimSun" w:hint="eastAsia"/>
          <w:sz w:val="21"/>
        </w:rPr>
        <w:t>运营</w:t>
      </w:r>
      <w:r w:rsidRPr="00925747">
        <w:rPr>
          <w:rFonts w:ascii="SimSun" w:hAnsi="SimSun"/>
          <w:sz w:val="21"/>
        </w:rPr>
        <w:t>是基于成员国国家工业产权局之间的合作，这确保其顺利完成所有任务。通过在VPI的主持下集中它们的检索和审查资源，</w:t>
      </w:r>
      <w:r w:rsidRPr="00925747">
        <w:rPr>
          <w:rFonts w:ascii="SimSun" w:hAnsi="SimSun" w:hint="eastAsia"/>
          <w:sz w:val="21"/>
        </w:rPr>
        <w:t>期望</w:t>
      </w:r>
      <w:r w:rsidRPr="00925747">
        <w:rPr>
          <w:rFonts w:ascii="SimSun" w:hAnsi="SimSun"/>
          <w:sz w:val="21"/>
        </w:rPr>
        <w:t>参加局实现重要的协作并且在其检索和审查的技术领域更</w:t>
      </w:r>
      <w:r w:rsidRPr="00925747">
        <w:rPr>
          <w:rFonts w:ascii="SimSun" w:hAnsi="SimSun"/>
          <w:sz w:val="21"/>
        </w:rPr>
        <w:lastRenderedPageBreak/>
        <w:t>加专业化。在这一结构下，VPI作为ISA/IPEA的所有活动以及交付给它的其他相关任务由成员国工业产权局</w:t>
      </w:r>
      <w:r w:rsidRPr="00925747">
        <w:rPr>
          <w:rFonts w:ascii="SimSun" w:hAnsi="SimSun" w:hint="eastAsia"/>
          <w:sz w:val="21"/>
        </w:rPr>
        <w:t>，</w:t>
      </w:r>
      <w:r w:rsidRPr="00925747">
        <w:rPr>
          <w:rFonts w:ascii="SimSun" w:hAnsi="SimSun"/>
          <w:sz w:val="21"/>
        </w:rPr>
        <w:t>根据VPI行政管理委员会确定的条款和条件</w:t>
      </w:r>
      <w:r w:rsidRPr="00925747">
        <w:rPr>
          <w:rFonts w:ascii="SimSun" w:hAnsi="SimSun" w:hint="eastAsia"/>
          <w:sz w:val="21"/>
        </w:rPr>
        <w:t>，</w:t>
      </w:r>
      <w:r w:rsidRPr="00925747">
        <w:rPr>
          <w:rFonts w:ascii="SimSun" w:hAnsi="SimSun"/>
          <w:sz w:val="21"/>
        </w:rPr>
        <w:t>以</w:t>
      </w:r>
      <w:r w:rsidRPr="00925747">
        <w:rPr>
          <w:rFonts w:ascii="SimSun" w:hAnsi="SimSun" w:hint="eastAsia"/>
          <w:sz w:val="21"/>
        </w:rPr>
        <w:t>VPI</w:t>
      </w:r>
      <w:r w:rsidRPr="00925747">
        <w:rPr>
          <w:rFonts w:ascii="SimSun" w:hAnsi="SimSun"/>
          <w:sz w:val="21"/>
        </w:rPr>
        <w:t>的名义完成</w:t>
      </w:r>
      <w:r w:rsidRPr="00925747">
        <w:rPr>
          <w:rFonts w:ascii="SimSun" w:hAnsi="SimSun" w:hint="eastAsia"/>
          <w:sz w:val="21"/>
        </w:rPr>
        <w:t>并完全受其控制</w:t>
      </w:r>
      <w:r w:rsidRPr="00925747">
        <w:rPr>
          <w:rFonts w:ascii="SimSun" w:hAnsi="SimSun"/>
          <w:sz w:val="21"/>
        </w:rPr>
        <w:t>。</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VPI作为ISA/IPEA的全部工作任务由来自中欧地区</w:t>
      </w:r>
      <w:r w:rsidRPr="00925747">
        <w:rPr>
          <w:rFonts w:ascii="SimSun" w:hAnsi="SimSun" w:hint="eastAsia"/>
          <w:sz w:val="21"/>
        </w:rPr>
        <w:t>（</w:t>
      </w:r>
      <w:r w:rsidRPr="00925747">
        <w:rPr>
          <w:rFonts w:ascii="SimSun" w:hAnsi="SimSun"/>
          <w:sz w:val="21"/>
        </w:rPr>
        <w:t>捷克、匈牙利、波兰、斯洛伐克以及克罗地亚、立陶宛、罗马尼亚、塞尔维亚、斯洛文尼亚，根据它们各自的决定</w:t>
      </w:r>
      <w:r w:rsidRPr="00925747">
        <w:rPr>
          <w:rFonts w:ascii="SimSun" w:hAnsi="SimSun" w:hint="eastAsia"/>
          <w:sz w:val="21"/>
        </w:rPr>
        <w:t>）</w:t>
      </w:r>
      <w:r w:rsidRPr="00925747">
        <w:rPr>
          <w:rFonts w:ascii="SimSun" w:hAnsi="SimSun"/>
          <w:sz w:val="21"/>
        </w:rPr>
        <w:t>的PCT申请组成。</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行政管理委员会就分配给参与的国家局承担的工作制定标准。各方同意分配标准应当公平、公正和有关联性，确保进行平衡的分配。VPI在参与局内分配收到的检索和审查请求时，包括PCT请求或者商业请求，应当遵循以下主要标准：技术专业技能、提交文件的语言以及在特定技术领域获取信息的自由度。分配与</w:t>
      </w:r>
      <w:r w:rsidR="00A75CC5" w:rsidRPr="00925747">
        <w:rPr>
          <w:rFonts w:ascii="SimSun" w:hAnsi="SimSun" w:hint="eastAsia"/>
          <w:sz w:val="21"/>
        </w:rPr>
        <w:t>收到的</w:t>
      </w:r>
      <w:r w:rsidRPr="00925747">
        <w:rPr>
          <w:rFonts w:ascii="SimSun" w:hAnsi="SimSun"/>
          <w:sz w:val="21"/>
        </w:rPr>
        <w:t>请求和文件相关的任务也会考虑上述标准。为此，VPI对每个</w:t>
      </w:r>
      <w:proofErr w:type="gramStart"/>
      <w:r w:rsidRPr="00925747">
        <w:rPr>
          <w:rFonts w:ascii="SimSun" w:hAnsi="SimSun"/>
          <w:sz w:val="21"/>
        </w:rPr>
        <w:t>参与局</w:t>
      </w:r>
      <w:proofErr w:type="gramEnd"/>
      <w:r w:rsidRPr="00925747">
        <w:rPr>
          <w:rFonts w:ascii="SimSun" w:hAnsi="SimSun"/>
          <w:sz w:val="21"/>
        </w:rPr>
        <w:t>的专利审查员所覆盖的技术领域进行评估</w:t>
      </w:r>
      <w:r w:rsidRPr="00925747">
        <w:rPr>
          <w:rFonts w:ascii="SimSun" w:hAnsi="SimSun" w:hint="eastAsia"/>
          <w:sz w:val="21"/>
        </w:rPr>
        <w:t>（</w:t>
      </w:r>
      <w:r w:rsidRPr="00925747">
        <w:rPr>
          <w:rFonts w:ascii="SimSun" w:hAnsi="SimSun"/>
          <w:sz w:val="21"/>
        </w:rPr>
        <w:t>即起草其审查员的</w:t>
      </w:r>
      <w:r w:rsidRPr="00925747">
        <w:rPr>
          <w:rFonts w:ascii="SimSun" w:hAnsi="SimSun" w:hint="eastAsia"/>
          <w:sz w:val="21"/>
        </w:rPr>
        <w:t>“</w:t>
      </w:r>
      <w:r w:rsidRPr="00925747">
        <w:rPr>
          <w:rFonts w:ascii="SimSun" w:hAnsi="SimSun"/>
          <w:sz w:val="21"/>
        </w:rPr>
        <w:t>能力图</w:t>
      </w:r>
      <w:r w:rsidRPr="00925747">
        <w:rPr>
          <w:rFonts w:ascii="SimSun" w:hAnsi="SimSun" w:hint="eastAsia"/>
          <w:sz w:val="21"/>
        </w:rPr>
        <w:t>”）</w:t>
      </w:r>
      <w:r w:rsidRPr="00925747">
        <w:rPr>
          <w:rFonts w:ascii="SimSun" w:hAnsi="SimSun"/>
          <w:sz w:val="21"/>
        </w:rPr>
        <w:t>。该评估针对每名审查员进行，利用技术领域的国际专利分类号</w:t>
      </w:r>
      <w:r w:rsidRPr="00925747">
        <w:rPr>
          <w:rFonts w:ascii="SimSun" w:hAnsi="SimSun" w:hint="eastAsia"/>
          <w:sz w:val="21"/>
        </w:rPr>
        <w:t>（</w:t>
      </w:r>
      <w:r w:rsidRPr="00925747">
        <w:rPr>
          <w:rFonts w:ascii="SimSun" w:hAnsi="SimSun"/>
          <w:sz w:val="21"/>
        </w:rPr>
        <w:t>IPC号</w:t>
      </w:r>
      <w:r w:rsidRPr="00925747">
        <w:rPr>
          <w:rFonts w:ascii="SimSun" w:hAnsi="SimSun" w:hint="eastAsia"/>
          <w:sz w:val="21"/>
        </w:rPr>
        <w:t>）</w:t>
      </w:r>
      <w:r w:rsidRPr="00925747">
        <w:rPr>
          <w:rFonts w:ascii="SimSun" w:hAnsi="SimSun"/>
          <w:sz w:val="21"/>
        </w:rPr>
        <w:t>关联他们的技术知识。基于现有审查员的数量以及某些审查员拥有一个</w:t>
      </w:r>
      <w:r w:rsidRPr="00925747">
        <w:rPr>
          <w:rFonts w:ascii="SimSun" w:hAnsi="SimSun" w:hint="eastAsia"/>
          <w:sz w:val="21"/>
        </w:rPr>
        <w:t>以上</w:t>
      </w:r>
      <w:r w:rsidRPr="00925747">
        <w:rPr>
          <w:rFonts w:ascii="SimSun" w:hAnsi="SimSun"/>
          <w:sz w:val="21"/>
        </w:rPr>
        <w:t>技术领域的正式资格，在绝大部分技术领域</w:t>
      </w:r>
      <w:r w:rsidRPr="00925747">
        <w:rPr>
          <w:rFonts w:ascii="SimSun" w:hAnsi="SimSun" w:hint="eastAsia"/>
          <w:sz w:val="21"/>
        </w:rPr>
        <w:t>，</w:t>
      </w:r>
      <w:r w:rsidRPr="00925747">
        <w:rPr>
          <w:rFonts w:ascii="SimSun" w:hAnsi="SimSun"/>
          <w:sz w:val="21"/>
        </w:rPr>
        <w:t>VPI能够进行内部交换检索或审查</w:t>
      </w:r>
      <w:r w:rsidRPr="00925747">
        <w:rPr>
          <w:rFonts w:ascii="SimSun" w:hAnsi="SimSun" w:hint="eastAsia"/>
          <w:sz w:val="21"/>
        </w:rPr>
        <w:t>能力</w:t>
      </w:r>
      <w:r w:rsidRPr="00925747">
        <w:rPr>
          <w:rFonts w:ascii="SimSun" w:hAnsi="SimSun"/>
          <w:sz w:val="21"/>
        </w:rPr>
        <w:t>。VPI活动的语言方面</w:t>
      </w:r>
      <w:r w:rsidRPr="00925747">
        <w:rPr>
          <w:rFonts w:ascii="SimSun" w:hAnsi="SimSun" w:hint="eastAsia"/>
          <w:sz w:val="21"/>
        </w:rPr>
        <w:t>也是如此</w:t>
      </w:r>
      <w:r w:rsidRPr="00925747">
        <w:rPr>
          <w:rFonts w:ascii="SimSun" w:hAnsi="SimSun"/>
          <w:sz w:val="21"/>
        </w:rPr>
        <w:t>，因为审查员的语言技能也能实现这样的互换</w:t>
      </w:r>
      <w:r w:rsidRPr="00925747">
        <w:rPr>
          <w:rFonts w:ascii="SimSun" w:hAnsi="SimSun" w:hint="eastAsia"/>
          <w:sz w:val="21"/>
        </w:rPr>
        <w:t>（</w:t>
      </w:r>
      <w:r w:rsidRPr="00925747">
        <w:rPr>
          <w:rFonts w:ascii="SimSun" w:hAnsi="SimSun"/>
          <w:sz w:val="21"/>
        </w:rPr>
        <w:t>例如在斯洛伐克工业产权局懂匈牙利语的审查员或者在捷克工业产权</w:t>
      </w:r>
      <w:r w:rsidRPr="00925747">
        <w:rPr>
          <w:rFonts w:ascii="SimSun" w:hAnsi="SimSun" w:hint="eastAsia"/>
          <w:sz w:val="21"/>
        </w:rPr>
        <w:t>局</w:t>
      </w:r>
      <w:r w:rsidRPr="00925747">
        <w:rPr>
          <w:rFonts w:ascii="SimSun" w:hAnsi="SimSun"/>
          <w:sz w:val="21"/>
        </w:rPr>
        <w:t>、匈牙利工业产权局和波兰工业产权局有懂斯洛伐克语的审查员</w:t>
      </w:r>
      <w:r w:rsidRPr="00925747">
        <w:rPr>
          <w:rFonts w:ascii="SimSun" w:hAnsi="SimSun" w:hint="eastAsia"/>
          <w:sz w:val="21"/>
        </w:rPr>
        <w:t>）</w:t>
      </w:r>
      <w:r w:rsidRPr="00925747">
        <w:rPr>
          <w:rFonts w:ascii="SimSun" w:hAnsi="SimSun"/>
          <w:sz w:val="21"/>
        </w:rPr>
        <w:t>。这些内在</w:t>
      </w:r>
      <w:r w:rsidRPr="00925747">
        <w:rPr>
          <w:rFonts w:ascii="SimSun" w:hAnsi="SimSun" w:hint="eastAsia"/>
          <w:sz w:val="21"/>
        </w:rPr>
        <w:t>灵活性</w:t>
      </w:r>
      <w:r w:rsidRPr="00925747">
        <w:rPr>
          <w:rFonts w:ascii="SimSun" w:hAnsi="SimSun"/>
          <w:sz w:val="21"/>
        </w:rPr>
        <w:t>明显有助于推动VPI工作任务的最优分配，这</w:t>
      </w:r>
      <w:r w:rsidRPr="00925747">
        <w:rPr>
          <w:rFonts w:ascii="SimSun" w:hAnsi="SimSun" w:hint="eastAsia"/>
          <w:sz w:val="21"/>
        </w:rPr>
        <w:t>也</w:t>
      </w:r>
      <w:r w:rsidRPr="00925747">
        <w:rPr>
          <w:rFonts w:ascii="SimSun" w:hAnsi="SimSun"/>
          <w:sz w:val="21"/>
        </w:rPr>
        <w:t>是VPI局长和秘书处的职责。</w:t>
      </w:r>
    </w:p>
    <w:p w:rsidR="0046454C" w:rsidRPr="00927786" w:rsidRDefault="00927786" w:rsidP="00927786">
      <w:pPr>
        <w:pStyle w:val="1"/>
        <w:spacing w:beforeLines="100" w:afterLines="50" w:after="120" w:line="340" w:lineRule="atLeast"/>
        <w:rPr>
          <w:rFonts w:ascii="SimHei" w:eastAsia="SimHei" w:hAnsi="SimHei"/>
          <w:b w:val="0"/>
          <w:sz w:val="21"/>
        </w:rPr>
      </w:pPr>
      <w:r w:rsidRPr="00927786">
        <w:rPr>
          <w:rFonts w:ascii="SimHei" w:eastAsia="SimHei" w:hAnsi="SimHei" w:hint="eastAsia"/>
          <w:b w:val="0"/>
          <w:sz w:val="21"/>
        </w:rPr>
        <w:t>二、</w:t>
      </w:r>
      <w:r w:rsidR="00211F9A" w:rsidRPr="00927786">
        <w:rPr>
          <w:rFonts w:ascii="SimHei" w:eastAsia="SimHei" w:hAnsi="SimHei"/>
          <w:b w:val="0"/>
          <w:sz w:val="21"/>
        </w:rPr>
        <w:t>指定为ISA和IPEA的要求</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2.1.符合ISA和IPEA指定的要求</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根据PCT第16条(c)关于ISA：</w:t>
      </w:r>
      <w:r w:rsidRPr="00925747">
        <w:rPr>
          <w:rFonts w:ascii="SimSun" w:hAnsi="SimSun" w:hint="eastAsia"/>
          <w:sz w:val="21"/>
        </w:rPr>
        <w:t>“</w:t>
      </w:r>
      <w:r w:rsidRPr="00925747">
        <w:rPr>
          <w:rFonts w:ascii="SimSun" w:hAnsi="SimSun"/>
          <w:sz w:val="21"/>
        </w:rPr>
        <w:t>细则应规定，国家局或政府间组织在其被指定为国际检索单位之前必须满足，而且在其被指定期间必须继续满足的最低要求，尤其是关于人员和文献的要求</w:t>
      </w:r>
      <w:r w:rsidRPr="00925747">
        <w:rPr>
          <w:rFonts w:ascii="SimSun" w:hAnsi="SimSun" w:hint="eastAsia"/>
          <w:sz w:val="21"/>
        </w:rPr>
        <w:t>”。</w:t>
      </w:r>
      <w:r w:rsidRPr="00925747">
        <w:rPr>
          <w:rFonts w:ascii="SimSun" w:hAnsi="SimSun"/>
          <w:sz w:val="21"/>
        </w:rPr>
        <w:t>这些最低要求载于PCT细则36.1，如下：</w:t>
      </w:r>
    </w:p>
    <w:p w:rsidR="0046454C" w:rsidRPr="00925747" w:rsidRDefault="00211F9A" w:rsidP="00A078C2">
      <w:pPr>
        <w:pStyle w:val="ONUME"/>
        <w:numPr>
          <w:ilvl w:val="0"/>
          <w:numId w:val="5"/>
        </w:numPr>
        <w:tabs>
          <w:tab w:val="clear" w:pos="567"/>
        </w:tabs>
        <w:overflowPunct w:val="0"/>
        <w:spacing w:afterLines="50" w:after="120" w:line="340" w:lineRule="atLeast"/>
        <w:ind w:left="567" w:firstLine="0"/>
        <w:jc w:val="both"/>
        <w:rPr>
          <w:rFonts w:ascii="SimSun" w:hAnsi="SimSun"/>
          <w:sz w:val="21"/>
        </w:rPr>
      </w:pPr>
      <w:r w:rsidRPr="00925747">
        <w:rPr>
          <w:rFonts w:ascii="SimSun" w:hAnsi="SimSun"/>
          <w:sz w:val="21"/>
        </w:rPr>
        <w:t>一个国际单位至少必须拥有100名具有足以胜任检索工作的技术资格的专职人员；</w:t>
      </w:r>
    </w:p>
    <w:p w:rsidR="0046454C" w:rsidRPr="00925747" w:rsidRDefault="00211F9A" w:rsidP="00A078C2">
      <w:pPr>
        <w:pStyle w:val="ONUME"/>
        <w:numPr>
          <w:ilvl w:val="0"/>
          <w:numId w:val="5"/>
        </w:numPr>
        <w:tabs>
          <w:tab w:val="clear" w:pos="567"/>
        </w:tabs>
        <w:overflowPunct w:val="0"/>
        <w:spacing w:afterLines="50" w:after="120" w:line="340" w:lineRule="atLeast"/>
        <w:ind w:left="567" w:firstLine="0"/>
        <w:jc w:val="both"/>
        <w:rPr>
          <w:rFonts w:ascii="SimSun" w:hAnsi="SimSun"/>
          <w:sz w:val="21"/>
        </w:rPr>
      </w:pPr>
      <w:r w:rsidRPr="00925747">
        <w:rPr>
          <w:rFonts w:ascii="SimSun" w:hAnsi="SimSun"/>
          <w:sz w:val="21"/>
        </w:rPr>
        <w:t>一个国际检索单位至少必须拥有或能够利用PCT细则第34条所述的最低限度文献，并且为检索目的而进行妥善整理，载于纸件、微缩</w:t>
      </w:r>
      <w:proofErr w:type="gramStart"/>
      <w:r w:rsidRPr="00925747">
        <w:rPr>
          <w:rFonts w:ascii="SimSun" w:hAnsi="SimSun"/>
          <w:sz w:val="21"/>
        </w:rPr>
        <w:t>品或者</w:t>
      </w:r>
      <w:proofErr w:type="gramEnd"/>
      <w:r w:rsidRPr="00925747">
        <w:rPr>
          <w:rFonts w:ascii="SimSun" w:hAnsi="SimSun"/>
          <w:sz w:val="21"/>
        </w:rPr>
        <w:t>储存在电子媒介上。</w:t>
      </w:r>
    </w:p>
    <w:p w:rsidR="0046454C" w:rsidRPr="00925747" w:rsidRDefault="00211F9A" w:rsidP="00A078C2">
      <w:pPr>
        <w:pStyle w:val="ONUME"/>
        <w:numPr>
          <w:ilvl w:val="0"/>
          <w:numId w:val="5"/>
        </w:numPr>
        <w:tabs>
          <w:tab w:val="clear" w:pos="567"/>
        </w:tabs>
        <w:overflowPunct w:val="0"/>
        <w:spacing w:afterLines="50" w:after="120" w:line="340" w:lineRule="atLeast"/>
        <w:ind w:left="567" w:firstLine="0"/>
        <w:jc w:val="both"/>
        <w:rPr>
          <w:rFonts w:ascii="SimSun" w:hAnsi="SimSun"/>
          <w:sz w:val="21"/>
        </w:rPr>
      </w:pPr>
      <w:r w:rsidRPr="00925747">
        <w:rPr>
          <w:rFonts w:ascii="SimSun" w:hAnsi="SimSun"/>
          <w:sz w:val="21"/>
        </w:rPr>
        <w:t>一个国际检索单位必须拥有一批工作人员，能够对所要求的技术领域进行检索，并且具有至少能够理解用来撰写或者翻译所述最低限度文献的语言的语言能力。</w:t>
      </w:r>
    </w:p>
    <w:p w:rsidR="0046454C" w:rsidRPr="00925747" w:rsidRDefault="00211F9A" w:rsidP="00A078C2">
      <w:pPr>
        <w:pStyle w:val="ONUME"/>
        <w:numPr>
          <w:ilvl w:val="0"/>
          <w:numId w:val="5"/>
        </w:numPr>
        <w:tabs>
          <w:tab w:val="clear" w:pos="567"/>
        </w:tabs>
        <w:overflowPunct w:val="0"/>
        <w:spacing w:afterLines="50" w:after="120" w:line="340" w:lineRule="atLeast"/>
        <w:ind w:left="567" w:firstLine="0"/>
        <w:jc w:val="both"/>
        <w:rPr>
          <w:rFonts w:ascii="SimSun" w:hAnsi="SimSun"/>
          <w:sz w:val="21"/>
        </w:rPr>
      </w:pPr>
      <w:r w:rsidRPr="00925747">
        <w:rPr>
          <w:rFonts w:ascii="SimSun" w:hAnsi="SimSun"/>
          <w:sz w:val="21"/>
        </w:rPr>
        <w:t>一个国际检索单位必须根据国际检索共同规则，设置质量管理系统和内部复查措施。</w:t>
      </w:r>
    </w:p>
    <w:p w:rsidR="0046454C" w:rsidRPr="00925747" w:rsidRDefault="00211F9A" w:rsidP="00A078C2">
      <w:pPr>
        <w:pStyle w:val="ONUME"/>
        <w:numPr>
          <w:ilvl w:val="0"/>
          <w:numId w:val="5"/>
        </w:numPr>
        <w:tabs>
          <w:tab w:val="clear" w:pos="567"/>
        </w:tabs>
        <w:overflowPunct w:val="0"/>
        <w:spacing w:afterLines="50" w:after="120" w:line="340" w:lineRule="atLeast"/>
        <w:ind w:left="567" w:firstLine="0"/>
        <w:jc w:val="both"/>
        <w:rPr>
          <w:rFonts w:ascii="SimSun" w:hAnsi="SimSun"/>
          <w:sz w:val="21"/>
        </w:rPr>
      </w:pPr>
      <w:r w:rsidRPr="00925747">
        <w:rPr>
          <w:rFonts w:ascii="SimSun" w:hAnsi="SimSun"/>
          <w:sz w:val="21"/>
        </w:rPr>
        <w:t>一个国际检索单位必须被指定为国际初步审查单位。</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PCT细则63.1规定的关于国际初步审查单位的最低要求与适用于国际检索单位的最低要求相对应。</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如前所述，VPI利用参加的国家局之间资源的整合产生协同作用。这使得VPI能够完全符合被指定为</w:t>
      </w:r>
      <w:r w:rsidRPr="00925747">
        <w:rPr>
          <w:rFonts w:ascii="SimSun" w:hAnsi="SimSun" w:hint="eastAsia"/>
          <w:sz w:val="21"/>
        </w:rPr>
        <w:t>ISA</w:t>
      </w:r>
      <w:r w:rsidRPr="00925747">
        <w:rPr>
          <w:rFonts w:ascii="SimSun" w:hAnsi="SimSun"/>
          <w:sz w:val="21"/>
        </w:rPr>
        <w:t>和</w:t>
      </w:r>
      <w:r w:rsidRPr="00925747">
        <w:rPr>
          <w:rFonts w:ascii="SimSun" w:hAnsi="SimSun" w:hint="eastAsia"/>
          <w:sz w:val="21"/>
        </w:rPr>
        <w:t>IPEA</w:t>
      </w:r>
      <w:r w:rsidRPr="00925747">
        <w:rPr>
          <w:rFonts w:ascii="SimSun" w:hAnsi="SimSun"/>
          <w:sz w:val="21"/>
        </w:rPr>
        <w:t>的所有标准，并在完全遵循这些要求的前提下履行国际单位职责。下面的支撑材料指出，VPI具有</w:t>
      </w:r>
    </w:p>
    <w:p w:rsidR="0046454C" w:rsidRPr="00925747" w:rsidRDefault="00211F9A" w:rsidP="008F4076">
      <w:pPr>
        <w:pStyle w:val="ONUME"/>
        <w:numPr>
          <w:ilvl w:val="0"/>
          <w:numId w:val="7"/>
        </w:numPr>
        <w:tabs>
          <w:tab w:val="clear" w:pos="567"/>
        </w:tabs>
        <w:spacing w:afterLines="50" w:after="120" w:line="340" w:lineRule="atLeast"/>
        <w:jc w:val="both"/>
        <w:rPr>
          <w:rFonts w:ascii="SimSun" w:hAnsi="SimSun"/>
          <w:sz w:val="21"/>
        </w:rPr>
      </w:pPr>
      <w:r w:rsidRPr="00925747">
        <w:rPr>
          <w:rFonts w:ascii="SimSun" w:hAnsi="SimSun"/>
          <w:sz w:val="21"/>
        </w:rPr>
        <w:t>检索和审查资源及其审查员资质；</w:t>
      </w:r>
    </w:p>
    <w:p w:rsidR="0046454C" w:rsidRPr="00925747" w:rsidRDefault="00211F9A" w:rsidP="008F4076">
      <w:pPr>
        <w:pStyle w:val="ONUME"/>
        <w:numPr>
          <w:ilvl w:val="0"/>
          <w:numId w:val="7"/>
        </w:numPr>
        <w:tabs>
          <w:tab w:val="clear" w:pos="567"/>
        </w:tabs>
        <w:spacing w:afterLines="50" w:after="120" w:line="340" w:lineRule="atLeast"/>
        <w:jc w:val="both"/>
        <w:rPr>
          <w:rFonts w:ascii="SimSun" w:hAnsi="SimSun"/>
          <w:sz w:val="21"/>
        </w:rPr>
      </w:pPr>
      <w:r w:rsidRPr="00925747">
        <w:rPr>
          <w:rFonts w:ascii="SimSun" w:hAnsi="SimSun" w:hint="eastAsia"/>
          <w:sz w:val="21"/>
        </w:rPr>
        <w:t>获取</w:t>
      </w:r>
      <w:r w:rsidRPr="00925747">
        <w:rPr>
          <w:rFonts w:ascii="SimSun" w:hAnsi="SimSun"/>
          <w:sz w:val="21"/>
        </w:rPr>
        <w:t>用于检索和审查目的的文献；</w:t>
      </w:r>
    </w:p>
    <w:p w:rsidR="0046454C" w:rsidRPr="00925747" w:rsidRDefault="00211F9A" w:rsidP="008F4076">
      <w:pPr>
        <w:pStyle w:val="ONUME"/>
        <w:numPr>
          <w:ilvl w:val="0"/>
          <w:numId w:val="7"/>
        </w:numPr>
        <w:tabs>
          <w:tab w:val="clear" w:pos="567"/>
        </w:tabs>
        <w:spacing w:afterLines="50" w:after="120" w:line="340" w:lineRule="atLeast"/>
        <w:jc w:val="both"/>
        <w:rPr>
          <w:rFonts w:ascii="SimSun" w:hAnsi="SimSun"/>
          <w:sz w:val="21"/>
        </w:rPr>
      </w:pPr>
      <w:r w:rsidRPr="00925747">
        <w:rPr>
          <w:rFonts w:ascii="SimSun" w:hAnsi="SimSun"/>
          <w:sz w:val="21"/>
        </w:rPr>
        <w:t>质量管理体系和内部复查措施，包括</w:t>
      </w:r>
      <w:r w:rsidRPr="00925747">
        <w:rPr>
          <w:rFonts w:ascii="SimSun" w:hAnsi="SimSun" w:hint="eastAsia"/>
          <w:sz w:val="21"/>
        </w:rPr>
        <w:t>适用</w:t>
      </w:r>
      <w:r w:rsidRPr="00925747">
        <w:rPr>
          <w:rFonts w:ascii="SimSun" w:hAnsi="SimSun"/>
          <w:sz w:val="21"/>
        </w:rPr>
        <w:t>于参加的国家局的体系和措施。</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lastRenderedPageBreak/>
        <w:t>2.2.审查员和工具</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检索和审查质量的关键在于具有高技术资质和经过培训的人员。本</w:t>
      </w:r>
      <w:r w:rsidRPr="00925747">
        <w:rPr>
          <w:rFonts w:ascii="SimSun" w:hAnsi="SimSun" w:hint="eastAsia"/>
          <w:sz w:val="21"/>
        </w:rPr>
        <w:t>节介绍了</w:t>
      </w:r>
      <w:r w:rsidRPr="00925747">
        <w:rPr>
          <w:rFonts w:ascii="SimSun" w:hAnsi="SimSun"/>
          <w:sz w:val="21"/>
        </w:rPr>
        <w:t>VPI作为</w:t>
      </w:r>
      <w:r w:rsidRPr="00925747">
        <w:rPr>
          <w:rFonts w:ascii="SimSun" w:hAnsi="SimSun" w:hint="eastAsia"/>
          <w:sz w:val="21"/>
        </w:rPr>
        <w:t>ISA</w:t>
      </w:r>
      <w:r w:rsidRPr="00925747">
        <w:rPr>
          <w:rFonts w:ascii="SimSun" w:hAnsi="SimSun"/>
          <w:sz w:val="21"/>
        </w:rPr>
        <w:t>和</w:t>
      </w:r>
      <w:r w:rsidRPr="00925747">
        <w:rPr>
          <w:rFonts w:ascii="SimSun" w:hAnsi="SimSun" w:hint="eastAsia"/>
          <w:sz w:val="21"/>
        </w:rPr>
        <w:t>IPEA</w:t>
      </w:r>
      <w:r w:rsidRPr="00925747">
        <w:rPr>
          <w:rFonts w:ascii="SimSun" w:hAnsi="SimSun"/>
          <w:sz w:val="21"/>
        </w:rPr>
        <w:t>具有的审查员的数量及</w:t>
      </w:r>
      <w:r w:rsidRPr="00925747">
        <w:rPr>
          <w:rFonts w:ascii="SimSun" w:hAnsi="SimSun" w:hint="eastAsia"/>
          <w:sz w:val="21"/>
        </w:rPr>
        <w:t>他们的资格</w:t>
      </w:r>
      <w:r w:rsidRPr="00925747">
        <w:rPr>
          <w:rFonts w:ascii="SimSun" w:hAnsi="SimSun"/>
          <w:sz w:val="21"/>
        </w:rPr>
        <w:t>、经验、语言能力和培训课程。</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作为ISA和IPEA的VPI共有189名审查员（算上等同全职的），可以开展所有领域的检索和审查（见</w:t>
      </w:r>
      <w:r w:rsidRPr="00925747">
        <w:rPr>
          <w:rFonts w:ascii="SimSun" w:hAnsi="SimSun" w:hint="eastAsia"/>
          <w:sz w:val="21"/>
        </w:rPr>
        <w:t>表2</w:t>
      </w:r>
      <w:r w:rsidRPr="00925747">
        <w:rPr>
          <w:rFonts w:ascii="SimSun" w:hAnsi="SimSun"/>
          <w:sz w:val="21"/>
        </w:rPr>
        <w:t>）。他们都具有足够的技术</w:t>
      </w:r>
      <w:r w:rsidRPr="00925747">
        <w:rPr>
          <w:rFonts w:ascii="SimSun" w:hAnsi="SimSun" w:hint="eastAsia"/>
          <w:sz w:val="21"/>
        </w:rPr>
        <w:t>资格</w:t>
      </w:r>
      <w:r w:rsidRPr="00925747">
        <w:rPr>
          <w:rFonts w:ascii="SimSun" w:hAnsi="SimSun"/>
          <w:sz w:val="21"/>
        </w:rPr>
        <w:t>和必要经验，从而能够以高效、及时的方式开展高质量的检索和审查。他们都具有硕士或者博士学位，都参加过综合、密集和精心设计的培训课程，并在被任命为审查员之前通过相关的考试。此外，他们中的大多数人极大地受益于世界知识产权组织、欧洲专利局、美国专利商标局、其他国际单位和国家局、以及大学和其他专门从事知识产权工作的机构组织的培训课程。如第1.2章所述，在与日本特许厅和北欧专利局建立的合作框架下</w:t>
      </w:r>
      <w:r w:rsidRPr="00925747">
        <w:rPr>
          <w:rFonts w:ascii="SimSun" w:hAnsi="SimSun" w:hint="eastAsia"/>
          <w:sz w:val="21"/>
        </w:rPr>
        <w:t>也设想了对</w:t>
      </w:r>
      <w:r w:rsidRPr="00925747">
        <w:rPr>
          <w:rFonts w:ascii="SimSun" w:hAnsi="SimSun"/>
          <w:sz w:val="21"/>
        </w:rPr>
        <w:t>VPI审查员</w:t>
      </w:r>
      <w:r w:rsidRPr="00925747">
        <w:rPr>
          <w:rFonts w:ascii="SimSun" w:hAnsi="SimSun" w:hint="eastAsia"/>
          <w:sz w:val="21"/>
        </w:rPr>
        <w:t>的</w:t>
      </w:r>
      <w:r w:rsidRPr="00925747">
        <w:rPr>
          <w:rFonts w:ascii="SimSun" w:hAnsi="SimSun"/>
          <w:sz w:val="21"/>
        </w:rPr>
        <w:t>培训。为了不断提高VPI审查员的</w:t>
      </w:r>
      <w:r w:rsidRPr="00925747">
        <w:rPr>
          <w:rFonts w:ascii="SimSun" w:hAnsi="SimSun" w:hint="eastAsia"/>
          <w:sz w:val="21"/>
        </w:rPr>
        <w:t>技术</w:t>
      </w:r>
      <w:r w:rsidRPr="00925747">
        <w:rPr>
          <w:rFonts w:ascii="SimSun" w:hAnsi="SimSun"/>
          <w:sz w:val="21"/>
        </w:rPr>
        <w:t>和</w:t>
      </w:r>
      <w:r w:rsidRPr="00925747">
        <w:rPr>
          <w:rFonts w:ascii="SimSun" w:hAnsi="SimSun" w:hint="eastAsia"/>
          <w:sz w:val="21"/>
        </w:rPr>
        <w:t>能力</w:t>
      </w:r>
      <w:r w:rsidRPr="00925747">
        <w:rPr>
          <w:rFonts w:ascii="SimSun" w:hAnsi="SimSun"/>
          <w:sz w:val="21"/>
        </w:rPr>
        <w:t>，保持技术知识更新，行政管理委员会将为他们设计培训大纲，确保各种培训机会得到合理的计划和有效的利用。此外，VPI组织审查员交换和定期会议，以进一步提高检索和审查实践的一致性。</w:t>
      </w:r>
    </w:p>
    <w:p w:rsidR="0046454C" w:rsidRPr="00A078C2" w:rsidRDefault="00211F9A" w:rsidP="00A078C2">
      <w:pPr>
        <w:overflowPunct w:val="0"/>
        <w:spacing w:beforeLines="100" w:before="240" w:afterLines="50" w:after="120" w:line="340" w:lineRule="atLeast"/>
        <w:rPr>
          <w:rFonts w:ascii="SimSun" w:hAnsi="SimSun"/>
          <w:sz w:val="21"/>
          <w:u w:val="single"/>
        </w:rPr>
      </w:pPr>
      <w:r w:rsidRPr="00A078C2">
        <w:rPr>
          <w:rFonts w:ascii="SimSun" w:hAnsi="SimSun"/>
          <w:sz w:val="21"/>
          <w:u w:val="single"/>
        </w:rPr>
        <w:t>表2–按技术领域划分VPI审查员数量</w:t>
      </w:r>
      <w:r w:rsidRPr="00A078C2">
        <w:rPr>
          <w:rStyle w:val="af"/>
          <w:rFonts w:ascii="SimSun" w:hAnsi="SimSun"/>
          <w:sz w:val="21"/>
          <w:u w:val="single"/>
        </w:rPr>
        <w:footnoteReference w:id="2"/>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155"/>
      </w:tblGrid>
      <w:tr w:rsidR="0046454C" w:rsidRPr="00925747" w:rsidTr="00A078C2">
        <w:trPr>
          <w:cantSplit/>
        </w:trPr>
        <w:tc>
          <w:tcPr>
            <w:tcW w:w="20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rPr>
                <w:rFonts w:ascii="SimSun" w:hAnsi="SimSun"/>
                <w:b/>
                <w:bCs/>
                <w:sz w:val="21"/>
                <w:szCs w:val="22"/>
                <w:lang w:eastAsia="en-GB" w:bidi="he-IL"/>
              </w:rPr>
            </w:pPr>
            <w:r w:rsidRPr="00925747">
              <w:rPr>
                <w:rFonts w:ascii="SimSun" w:hAnsi="SimSun"/>
                <w:b/>
                <w:bCs/>
                <w:sz w:val="21"/>
              </w:rPr>
              <w:t>技术领域</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rPr>
                <w:rFonts w:ascii="SimSun" w:hAnsi="SimSun"/>
                <w:b/>
                <w:bCs/>
                <w:sz w:val="21"/>
                <w:szCs w:val="22"/>
                <w:lang w:bidi="he-IL"/>
              </w:rPr>
            </w:pPr>
            <w:r w:rsidRPr="00925747">
              <w:rPr>
                <w:rFonts w:ascii="SimSun" w:hAnsi="SimSun"/>
                <w:b/>
                <w:bCs/>
                <w:sz w:val="21"/>
              </w:rPr>
              <w:t>数量</w:t>
            </w:r>
            <w:r w:rsidRPr="00925747">
              <w:rPr>
                <w:rFonts w:ascii="SimSun" w:hAnsi="SimSun" w:hint="eastAsia"/>
                <w:b/>
                <w:bCs/>
                <w:sz w:val="21"/>
              </w:rPr>
              <w:t>（</w:t>
            </w:r>
            <w:r w:rsidRPr="00925747">
              <w:rPr>
                <w:rFonts w:ascii="SimSun" w:hAnsi="SimSun"/>
                <w:b/>
                <w:bCs/>
                <w:sz w:val="21"/>
              </w:rPr>
              <w:t>全时工作当量</w:t>
            </w:r>
            <w:r w:rsidRPr="00925747">
              <w:rPr>
                <w:rFonts w:ascii="SimSun" w:hAnsi="SimSun" w:hint="eastAsia"/>
                <w:b/>
                <w:bCs/>
                <w:sz w:val="21"/>
              </w:rPr>
              <w:t>）</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keepNext/>
              <w:suppressAutoHyphens/>
              <w:spacing w:line="254" w:lineRule="auto"/>
              <w:rPr>
                <w:rFonts w:ascii="SimSun" w:hAnsi="SimSun"/>
                <w:b/>
                <w:bCs/>
                <w:sz w:val="21"/>
                <w:szCs w:val="24"/>
                <w:lang w:eastAsia="en-GB" w:bidi="he-IL"/>
              </w:rPr>
            </w:pPr>
            <w:r w:rsidRPr="00925747">
              <w:rPr>
                <w:rFonts w:ascii="SimSun" w:hAnsi="SimSun"/>
                <w:b/>
                <w:bCs/>
                <w:sz w:val="21"/>
              </w:rPr>
              <w:t>平均审查经验（年）</w:t>
            </w:r>
          </w:p>
        </w:tc>
      </w:tr>
      <w:tr w:rsidR="0046454C" w:rsidRPr="00925747" w:rsidTr="00A078C2">
        <w:trPr>
          <w:cantSplit/>
        </w:trPr>
        <w:tc>
          <w:tcPr>
            <w:tcW w:w="2093" w:type="dxa"/>
            <w:tcBorders>
              <w:top w:val="nil"/>
              <w:left w:val="single" w:sz="8" w:space="0" w:color="auto"/>
              <w:bottom w:val="single" w:sz="8" w:space="0" w:color="auto"/>
              <w:right w:val="single" w:sz="8" w:space="0" w:color="auto"/>
            </w:tcBorders>
            <w:vAlign w:val="center"/>
          </w:tcPr>
          <w:p w:rsidR="0046454C" w:rsidRPr="00925747" w:rsidRDefault="00211F9A">
            <w:pPr>
              <w:keepNext/>
              <w:keepLines/>
              <w:suppressAutoHyphens/>
              <w:spacing w:line="254" w:lineRule="auto"/>
              <w:rPr>
                <w:rFonts w:ascii="SimSun" w:hAnsi="SimSun"/>
                <w:sz w:val="21"/>
                <w:szCs w:val="22"/>
                <w:lang w:eastAsia="en-GB" w:bidi="he-IL"/>
              </w:rPr>
            </w:pPr>
            <w:r w:rsidRPr="00925747">
              <w:rPr>
                <w:rFonts w:ascii="SimSun" w:hAnsi="SimSun"/>
                <w:color w:val="000000"/>
                <w:sz w:val="21"/>
              </w:rPr>
              <w:t>电气工程</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24</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12</w:t>
            </w:r>
          </w:p>
        </w:tc>
      </w:tr>
      <w:tr w:rsidR="0046454C" w:rsidRPr="00925747" w:rsidTr="00A078C2">
        <w:trPr>
          <w:cantSplit/>
        </w:trPr>
        <w:tc>
          <w:tcPr>
            <w:tcW w:w="2093" w:type="dxa"/>
            <w:tcBorders>
              <w:top w:val="nil"/>
              <w:left w:val="single" w:sz="8" w:space="0" w:color="auto"/>
              <w:bottom w:val="single" w:sz="8" w:space="0" w:color="auto"/>
              <w:right w:val="single" w:sz="8" w:space="0" w:color="auto"/>
            </w:tcBorders>
            <w:vAlign w:val="center"/>
          </w:tcPr>
          <w:p w:rsidR="0046454C" w:rsidRPr="00925747" w:rsidRDefault="00211F9A">
            <w:pPr>
              <w:keepNext/>
              <w:keepLines/>
              <w:suppressAutoHyphens/>
              <w:spacing w:line="254" w:lineRule="auto"/>
              <w:rPr>
                <w:rFonts w:ascii="SimSun" w:hAnsi="SimSun"/>
                <w:sz w:val="21"/>
                <w:szCs w:val="22"/>
                <w:lang w:eastAsia="en-GB" w:bidi="he-IL"/>
              </w:rPr>
            </w:pPr>
            <w:r w:rsidRPr="00925747">
              <w:rPr>
                <w:rFonts w:ascii="SimSun" w:hAnsi="SimSun"/>
                <w:color w:val="000000"/>
                <w:sz w:val="21"/>
              </w:rPr>
              <w:t>仪器</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21</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12</w:t>
            </w:r>
          </w:p>
        </w:tc>
      </w:tr>
      <w:tr w:rsidR="0046454C" w:rsidRPr="00925747" w:rsidTr="00A078C2">
        <w:trPr>
          <w:cantSplit/>
        </w:trPr>
        <w:tc>
          <w:tcPr>
            <w:tcW w:w="2093" w:type="dxa"/>
            <w:tcBorders>
              <w:top w:val="nil"/>
              <w:left w:val="single" w:sz="8" w:space="0" w:color="auto"/>
              <w:bottom w:val="single" w:sz="8" w:space="0" w:color="auto"/>
              <w:right w:val="single" w:sz="8" w:space="0" w:color="auto"/>
            </w:tcBorders>
            <w:vAlign w:val="center"/>
          </w:tcPr>
          <w:p w:rsidR="0046454C" w:rsidRPr="00925747" w:rsidRDefault="00211F9A">
            <w:pPr>
              <w:keepNext/>
              <w:keepLines/>
              <w:suppressAutoHyphens/>
              <w:spacing w:line="254" w:lineRule="auto"/>
              <w:rPr>
                <w:rFonts w:ascii="SimSun" w:hAnsi="SimSun"/>
                <w:sz w:val="21"/>
                <w:szCs w:val="22"/>
                <w:lang w:eastAsia="en-GB" w:bidi="he-IL"/>
              </w:rPr>
            </w:pPr>
            <w:r w:rsidRPr="00925747">
              <w:rPr>
                <w:rFonts w:ascii="SimSun" w:hAnsi="SimSun"/>
                <w:color w:val="000000"/>
                <w:sz w:val="21"/>
              </w:rPr>
              <w:t>化学</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76</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13</w:t>
            </w:r>
          </w:p>
        </w:tc>
      </w:tr>
      <w:tr w:rsidR="0046454C" w:rsidRPr="00925747" w:rsidTr="00A078C2">
        <w:trPr>
          <w:cantSplit/>
        </w:trPr>
        <w:tc>
          <w:tcPr>
            <w:tcW w:w="2093" w:type="dxa"/>
            <w:tcBorders>
              <w:top w:val="nil"/>
              <w:left w:val="single" w:sz="8" w:space="0" w:color="auto"/>
              <w:bottom w:val="single" w:sz="8" w:space="0" w:color="auto"/>
              <w:right w:val="single" w:sz="8" w:space="0" w:color="auto"/>
            </w:tcBorders>
            <w:vAlign w:val="center"/>
          </w:tcPr>
          <w:p w:rsidR="0046454C" w:rsidRPr="00925747" w:rsidRDefault="00211F9A">
            <w:pPr>
              <w:keepNext/>
              <w:keepLines/>
              <w:suppressAutoHyphens/>
              <w:spacing w:line="254" w:lineRule="auto"/>
              <w:rPr>
                <w:rFonts w:ascii="SimSun" w:hAnsi="SimSun"/>
                <w:sz w:val="21"/>
                <w:szCs w:val="22"/>
                <w:lang w:eastAsia="en-GB" w:bidi="he-IL"/>
              </w:rPr>
            </w:pPr>
            <w:r w:rsidRPr="00925747">
              <w:rPr>
                <w:rFonts w:ascii="SimSun" w:hAnsi="SimSun"/>
                <w:color w:val="000000"/>
                <w:sz w:val="21"/>
              </w:rPr>
              <w:t>机械工程</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47</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keepNext/>
              <w:keepLines/>
              <w:suppressAutoHyphens/>
              <w:spacing w:line="254" w:lineRule="auto"/>
              <w:jc w:val="right"/>
              <w:rPr>
                <w:rFonts w:ascii="SimSun" w:hAnsi="SimSun"/>
                <w:sz w:val="21"/>
                <w:szCs w:val="22"/>
                <w:lang w:eastAsia="en-GB" w:bidi="he-IL"/>
              </w:rPr>
            </w:pPr>
            <w:r w:rsidRPr="00925747">
              <w:rPr>
                <w:rFonts w:ascii="SimSun" w:hAnsi="SimSun"/>
                <w:sz w:val="21"/>
              </w:rPr>
              <w:t>12</w:t>
            </w:r>
          </w:p>
        </w:tc>
      </w:tr>
      <w:tr w:rsidR="0046454C" w:rsidRPr="00925747" w:rsidTr="00A078C2">
        <w:trPr>
          <w:cantSplit/>
        </w:trPr>
        <w:tc>
          <w:tcPr>
            <w:tcW w:w="2093" w:type="dxa"/>
            <w:tcBorders>
              <w:top w:val="nil"/>
              <w:left w:val="single" w:sz="8" w:space="0" w:color="auto"/>
              <w:bottom w:val="single" w:sz="8" w:space="0" w:color="auto"/>
              <w:right w:val="single" w:sz="8" w:space="0" w:color="auto"/>
            </w:tcBorders>
            <w:vAlign w:val="center"/>
          </w:tcPr>
          <w:p w:rsidR="0046454C" w:rsidRPr="00925747" w:rsidRDefault="00211F9A">
            <w:pPr>
              <w:suppressAutoHyphens/>
              <w:spacing w:line="254" w:lineRule="auto"/>
              <w:rPr>
                <w:rFonts w:ascii="SimSun" w:hAnsi="SimSun"/>
                <w:iCs/>
                <w:sz w:val="21"/>
                <w:szCs w:val="22"/>
                <w:lang w:eastAsia="en-GB" w:bidi="he-IL"/>
              </w:rPr>
            </w:pPr>
            <w:r w:rsidRPr="00925747">
              <w:rPr>
                <w:rFonts w:ascii="SimSun" w:hAnsi="SimSun"/>
                <w:color w:val="000000"/>
                <w:sz w:val="21"/>
              </w:rPr>
              <w:t>其他领域</w:t>
            </w:r>
          </w:p>
        </w:tc>
        <w:tc>
          <w:tcPr>
            <w:tcW w:w="2693" w:type="dxa"/>
            <w:tcBorders>
              <w:top w:val="single" w:sz="4" w:space="0" w:color="auto"/>
              <w:left w:val="single" w:sz="4" w:space="0" w:color="auto"/>
              <w:bottom w:val="single" w:sz="4" w:space="0" w:color="auto"/>
              <w:right w:val="single" w:sz="4" w:space="0" w:color="auto"/>
            </w:tcBorders>
          </w:tcPr>
          <w:p w:rsidR="0046454C" w:rsidRPr="00925747" w:rsidRDefault="00211F9A">
            <w:pPr>
              <w:suppressAutoHyphens/>
              <w:spacing w:line="254" w:lineRule="auto"/>
              <w:jc w:val="right"/>
              <w:rPr>
                <w:rFonts w:ascii="SimSun" w:hAnsi="SimSun"/>
                <w:sz w:val="21"/>
                <w:szCs w:val="22"/>
                <w:lang w:val="en-GB" w:eastAsia="en-GB"/>
              </w:rPr>
            </w:pPr>
            <w:r w:rsidRPr="00925747">
              <w:rPr>
                <w:rFonts w:ascii="SimSun" w:hAnsi="SimSun"/>
                <w:sz w:val="21"/>
              </w:rPr>
              <w:t>21</w:t>
            </w:r>
          </w:p>
        </w:tc>
        <w:tc>
          <w:tcPr>
            <w:tcW w:w="2155" w:type="dxa"/>
            <w:tcBorders>
              <w:top w:val="single" w:sz="4" w:space="0" w:color="auto"/>
              <w:left w:val="single" w:sz="4" w:space="0" w:color="auto"/>
              <w:bottom w:val="single" w:sz="4" w:space="0" w:color="auto"/>
              <w:right w:val="single" w:sz="4" w:space="0" w:color="auto"/>
            </w:tcBorders>
          </w:tcPr>
          <w:p w:rsidR="0046454C" w:rsidRPr="00925747" w:rsidRDefault="00211F9A">
            <w:pPr>
              <w:suppressAutoHyphens/>
              <w:spacing w:line="254" w:lineRule="auto"/>
              <w:jc w:val="right"/>
              <w:rPr>
                <w:rFonts w:ascii="SimSun" w:hAnsi="SimSun"/>
                <w:sz w:val="21"/>
                <w:szCs w:val="22"/>
                <w:lang w:val="en-GB" w:eastAsia="en-GB"/>
              </w:rPr>
            </w:pPr>
            <w:r w:rsidRPr="00925747">
              <w:rPr>
                <w:rFonts w:ascii="SimSun" w:hAnsi="SimSun"/>
                <w:sz w:val="21"/>
              </w:rPr>
              <w:t>12</w:t>
            </w:r>
          </w:p>
        </w:tc>
      </w:tr>
      <w:tr w:rsidR="0046454C" w:rsidRPr="00A078C2" w:rsidTr="00A078C2">
        <w:trPr>
          <w:cantSplit/>
        </w:trPr>
        <w:tc>
          <w:tcPr>
            <w:tcW w:w="2093" w:type="dxa"/>
            <w:tcBorders>
              <w:top w:val="single" w:sz="4" w:space="0" w:color="auto"/>
              <w:left w:val="single" w:sz="4" w:space="0" w:color="auto"/>
              <w:bottom w:val="single" w:sz="4" w:space="0" w:color="auto"/>
              <w:right w:val="single" w:sz="4" w:space="0" w:color="auto"/>
            </w:tcBorders>
          </w:tcPr>
          <w:p w:rsidR="0046454C" w:rsidRPr="00A078C2" w:rsidRDefault="00211F9A">
            <w:pPr>
              <w:suppressAutoHyphens/>
              <w:spacing w:line="254" w:lineRule="auto"/>
              <w:rPr>
                <w:rFonts w:ascii="KaiTi" w:eastAsia="KaiTi" w:hAnsi="KaiTi"/>
                <w:iCs/>
                <w:sz w:val="21"/>
                <w:szCs w:val="22"/>
                <w:lang w:eastAsia="en-GB" w:bidi="he-IL"/>
              </w:rPr>
            </w:pPr>
            <w:r w:rsidRPr="00A078C2">
              <w:rPr>
                <w:rFonts w:ascii="KaiTi" w:eastAsia="KaiTi" w:hAnsi="KaiTi" w:cs="KaiTi" w:hint="eastAsia"/>
                <w:sz w:val="21"/>
              </w:rPr>
              <w:t>合计</w:t>
            </w:r>
          </w:p>
        </w:tc>
        <w:tc>
          <w:tcPr>
            <w:tcW w:w="2693" w:type="dxa"/>
            <w:tcBorders>
              <w:top w:val="single" w:sz="4" w:space="0" w:color="auto"/>
              <w:left w:val="single" w:sz="4" w:space="0" w:color="auto"/>
              <w:bottom w:val="single" w:sz="4" w:space="0" w:color="auto"/>
              <w:right w:val="single" w:sz="4" w:space="0" w:color="auto"/>
            </w:tcBorders>
          </w:tcPr>
          <w:p w:rsidR="0046454C" w:rsidRPr="00A078C2" w:rsidRDefault="00211F9A">
            <w:pPr>
              <w:suppressAutoHyphens/>
              <w:spacing w:line="254" w:lineRule="auto"/>
              <w:jc w:val="right"/>
              <w:rPr>
                <w:rFonts w:ascii="KaiTi" w:eastAsia="KaiTi" w:hAnsi="KaiTi"/>
                <w:iCs/>
                <w:sz w:val="21"/>
                <w:szCs w:val="22"/>
                <w:lang w:eastAsia="en-GB" w:bidi="he-IL"/>
              </w:rPr>
            </w:pPr>
            <w:r w:rsidRPr="00A078C2">
              <w:rPr>
                <w:rFonts w:ascii="KaiTi" w:eastAsia="KaiTi" w:hAnsi="KaiTi"/>
                <w:sz w:val="21"/>
              </w:rPr>
              <w:t>189</w:t>
            </w:r>
          </w:p>
        </w:tc>
        <w:tc>
          <w:tcPr>
            <w:tcW w:w="2155" w:type="dxa"/>
            <w:tcBorders>
              <w:top w:val="single" w:sz="4" w:space="0" w:color="auto"/>
              <w:left w:val="single" w:sz="4" w:space="0" w:color="auto"/>
              <w:bottom w:val="single" w:sz="4" w:space="0" w:color="auto"/>
              <w:right w:val="single" w:sz="4" w:space="0" w:color="auto"/>
            </w:tcBorders>
          </w:tcPr>
          <w:p w:rsidR="0046454C" w:rsidRPr="00A078C2" w:rsidRDefault="00211F9A">
            <w:pPr>
              <w:suppressAutoHyphens/>
              <w:spacing w:line="254" w:lineRule="auto"/>
              <w:jc w:val="right"/>
              <w:rPr>
                <w:rFonts w:ascii="KaiTi" w:eastAsia="KaiTi" w:hAnsi="KaiTi"/>
                <w:iCs/>
                <w:sz w:val="21"/>
                <w:szCs w:val="22"/>
                <w:lang w:eastAsia="en-GB" w:bidi="he-IL"/>
              </w:rPr>
            </w:pPr>
            <w:r w:rsidRPr="00A078C2">
              <w:rPr>
                <w:rFonts w:ascii="KaiTi" w:eastAsia="KaiTi" w:hAnsi="KaiTi"/>
                <w:sz w:val="21"/>
              </w:rPr>
              <w:t>12</w:t>
            </w:r>
          </w:p>
        </w:tc>
      </w:tr>
    </w:tbl>
    <w:p w:rsidR="0046454C" w:rsidRPr="00925747" w:rsidRDefault="0046454C">
      <w:pPr>
        <w:rPr>
          <w:rFonts w:ascii="SimSun" w:hAnsi="SimSun"/>
          <w:sz w:val="21"/>
          <w:szCs w:val="22"/>
        </w:rPr>
      </w:pP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VPI的审查员除了具有使用本国语言</w:t>
      </w:r>
      <w:r w:rsidRPr="00925747">
        <w:rPr>
          <w:rFonts w:ascii="SimSun" w:hAnsi="SimSun" w:hint="eastAsia"/>
          <w:sz w:val="21"/>
        </w:rPr>
        <w:t>（</w:t>
      </w:r>
      <w:r w:rsidRPr="00925747">
        <w:rPr>
          <w:rFonts w:ascii="SimSun" w:hAnsi="SimSun"/>
          <w:sz w:val="21"/>
        </w:rPr>
        <w:t>捷克语、匈牙利语、波兰语、斯洛伐克语</w:t>
      </w:r>
      <w:r w:rsidRPr="00925747">
        <w:rPr>
          <w:rFonts w:ascii="SimSun" w:hAnsi="SimSun" w:hint="eastAsia"/>
          <w:sz w:val="21"/>
        </w:rPr>
        <w:t>）</w:t>
      </w:r>
      <w:r w:rsidRPr="00925747">
        <w:rPr>
          <w:rFonts w:ascii="SimSun" w:hAnsi="SimSun"/>
          <w:sz w:val="21"/>
        </w:rPr>
        <w:t>的能力之外，还精通英语，他们中的大多数人还具有良好的德语和/或法语知识。他们理解和使用的其他语言还包括克罗地亚语、意大利语、日语、俄语、西班牙语和瑞典语。</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此外，VPI的审查员配备有充足的资源来开展优质工作：审查指南、信息技术系统、检索和审查工具。</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如</w:t>
      </w:r>
      <w:r w:rsidRPr="00925747">
        <w:rPr>
          <w:rFonts w:ascii="SimSun" w:hAnsi="SimSun" w:hint="eastAsia"/>
          <w:sz w:val="21"/>
        </w:rPr>
        <w:t>有必</w:t>
      </w:r>
      <w:r w:rsidRPr="00925747">
        <w:rPr>
          <w:rFonts w:ascii="SimSun" w:hAnsi="SimSun"/>
          <w:sz w:val="21"/>
        </w:rPr>
        <w:t>要，VPI及其</w:t>
      </w:r>
      <w:r w:rsidRPr="00925747">
        <w:rPr>
          <w:rFonts w:ascii="SimSun" w:hAnsi="SimSun" w:hint="eastAsia"/>
          <w:sz w:val="21"/>
        </w:rPr>
        <w:t>成员</w:t>
      </w:r>
      <w:r w:rsidRPr="00925747">
        <w:rPr>
          <w:rFonts w:ascii="SimSun" w:hAnsi="SimSun"/>
          <w:sz w:val="21"/>
        </w:rPr>
        <w:t>国</w:t>
      </w:r>
      <w:r w:rsidRPr="00925747">
        <w:rPr>
          <w:rFonts w:ascii="SimSun" w:hAnsi="SimSun" w:hint="eastAsia"/>
          <w:sz w:val="21"/>
        </w:rPr>
        <w:t>能</w:t>
      </w:r>
      <w:r w:rsidRPr="00925747">
        <w:rPr>
          <w:rFonts w:ascii="SimSun" w:hAnsi="SimSun"/>
          <w:sz w:val="21"/>
        </w:rPr>
        <w:t>提供更详细</w:t>
      </w:r>
      <w:r w:rsidRPr="00925747">
        <w:rPr>
          <w:rFonts w:ascii="SimSun" w:hAnsi="SimSun" w:hint="eastAsia"/>
          <w:sz w:val="21"/>
        </w:rPr>
        <w:t>的</w:t>
      </w:r>
      <w:r w:rsidRPr="00925747">
        <w:rPr>
          <w:rFonts w:ascii="SimSun" w:hAnsi="SimSun"/>
          <w:sz w:val="21"/>
        </w:rPr>
        <w:t>信息</w:t>
      </w:r>
      <w:r w:rsidRPr="00925747">
        <w:rPr>
          <w:rFonts w:ascii="SimSun" w:hAnsi="SimSun" w:hint="eastAsia"/>
          <w:sz w:val="21"/>
        </w:rPr>
        <w:t>，</w:t>
      </w:r>
      <w:r w:rsidRPr="00925747">
        <w:rPr>
          <w:rFonts w:ascii="SimSun" w:hAnsi="SimSun"/>
          <w:sz w:val="21"/>
        </w:rPr>
        <w:t>关于VPI作为ISA和IPEA所拥有的审查员数量及其</w:t>
      </w:r>
      <w:r w:rsidRPr="00925747">
        <w:rPr>
          <w:rFonts w:ascii="SimSun" w:hAnsi="SimSun" w:hint="eastAsia"/>
          <w:sz w:val="21"/>
        </w:rPr>
        <w:t>资格</w:t>
      </w:r>
      <w:r w:rsidRPr="00925747">
        <w:rPr>
          <w:rFonts w:ascii="SimSun" w:hAnsi="SimSun"/>
          <w:sz w:val="21"/>
        </w:rPr>
        <w:t>、经验、语言能力和培训课程，以及有关信息技术系统和支持检索及审查的其他工具。</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2.3.检索系统和PCT最低限度文献</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VPI的每个参加局</w:t>
      </w:r>
      <w:r w:rsidRPr="00925747">
        <w:rPr>
          <w:rFonts w:ascii="SimSun" w:hAnsi="SimSun" w:hint="eastAsia"/>
          <w:sz w:val="21"/>
        </w:rPr>
        <w:t>都</w:t>
      </w:r>
      <w:r w:rsidRPr="00925747">
        <w:rPr>
          <w:rFonts w:ascii="SimSun" w:hAnsi="SimSun"/>
          <w:sz w:val="21"/>
        </w:rPr>
        <w:t>拥有广泛的</w:t>
      </w:r>
      <w:r w:rsidRPr="00925747">
        <w:rPr>
          <w:rFonts w:ascii="SimSun" w:hAnsi="SimSun" w:hint="eastAsia"/>
          <w:sz w:val="21"/>
        </w:rPr>
        <w:t>、</w:t>
      </w:r>
      <w:r w:rsidRPr="00925747">
        <w:rPr>
          <w:rFonts w:ascii="SimSun" w:hAnsi="SimSun"/>
          <w:sz w:val="21"/>
        </w:rPr>
        <w:t>可获得的专利信息和科学文献，以及审查员可使用的检索平台及链接。由于V4国家是《欧洲专利公约》的缔约国，VPI的参加局可以访问EPOQUENET和几个商业检索平台：</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t>EPOQUENET检索工具授权访问符合PCT最低限度文献的所有专利数据库和大多数非专利文献数据库</w:t>
      </w:r>
      <w:r w:rsidRPr="00925747">
        <w:rPr>
          <w:rFonts w:ascii="SimSun" w:hAnsi="SimSun" w:hint="eastAsia"/>
          <w:sz w:val="21"/>
        </w:rPr>
        <w:t>（</w:t>
      </w:r>
      <w:r w:rsidRPr="00925747">
        <w:rPr>
          <w:rFonts w:ascii="SimSun" w:hAnsi="SimSun"/>
          <w:sz w:val="21"/>
        </w:rPr>
        <w:t>NPL</w:t>
      </w:r>
      <w:r w:rsidRPr="00925747">
        <w:rPr>
          <w:rFonts w:ascii="SimSun" w:hAnsi="SimSun" w:hint="eastAsia"/>
          <w:sz w:val="21"/>
        </w:rPr>
        <w:t>）</w:t>
      </w:r>
      <w:r w:rsidRPr="00925747">
        <w:rPr>
          <w:rFonts w:ascii="SimSun" w:hAnsi="SimSun"/>
          <w:sz w:val="21"/>
        </w:rPr>
        <w:t>，以及其他商业数据库</w:t>
      </w:r>
      <w:r w:rsidRPr="00925747">
        <w:rPr>
          <w:rFonts w:ascii="SimSun" w:hAnsi="SimSun" w:hint="eastAsia"/>
          <w:sz w:val="21"/>
        </w:rPr>
        <w:t>（</w:t>
      </w:r>
      <w:r w:rsidRPr="00925747">
        <w:rPr>
          <w:rFonts w:ascii="SimSun" w:hAnsi="SimSun"/>
          <w:sz w:val="21"/>
        </w:rPr>
        <w:t>例如WPI</w:t>
      </w:r>
      <w:r w:rsidRPr="00925747">
        <w:rPr>
          <w:rFonts w:ascii="SimSun" w:hAnsi="SimSun" w:hint="eastAsia"/>
          <w:sz w:val="21"/>
        </w:rPr>
        <w:t>）</w:t>
      </w:r>
      <w:r w:rsidRPr="00925747">
        <w:rPr>
          <w:rFonts w:ascii="SimSun" w:hAnsi="SimSun"/>
          <w:sz w:val="21"/>
        </w:rPr>
        <w:t>。</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lastRenderedPageBreak/>
        <w:t>在STN</w:t>
      </w:r>
      <w:r w:rsidRPr="00925747">
        <w:rPr>
          <w:rFonts w:ascii="SimSun" w:hAnsi="SimSun" w:hint="eastAsia"/>
          <w:sz w:val="21"/>
        </w:rPr>
        <w:t>服务</w:t>
      </w:r>
      <w:r w:rsidRPr="00925747">
        <w:rPr>
          <w:rFonts w:ascii="SimSun" w:hAnsi="SimSun"/>
          <w:sz w:val="21"/>
        </w:rPr>
        <w:t>的帮助下，可以检索STN国际数据库，并可经由Thomson Innovation访问汤森路透</w:t>
      </w:r>
      <w:r w:rsidRPr="00925747">
        <w:rPr>
          <w:rFonts w:ascii="SimSun" w:hAnsi="SimSun" w:hint="eastAsia"/>
          <w:sz w:val="21"/>
        </w:rPr>
        <w:t>（</w:t>
      </w:r>
      <w:r w:rsidRPr="00925747">
        <w:rPr>
          <w:rFonts w:ascii="SimSun" w:hAnsi="SimSun"/>
          <w:sz w:val="21"/>
        </w:rPr>
        <w:t>Thomson Reuters</w:t>
      </w:r>
      <w:r w:rsidRPr="00925747">
        <w:rPr>
          <w:rFonts w:ascii="SimSun" w:hAnsi="SimSun" w:hint="eastAsia"/>
          <w:sz w:val="21"/>
        </w:rPr>
        <w:t>）</w:t>
      </w:r>
      <w:r w:rsidRPr="00925747">
        <w:rPr>
          <w:rFonts w:ascii="SimSun" w:hAnsi="SimSun"/>
          <w:sz w:val="21"/>
        </w:rPr>
        <w:t>的其他专利数据库、非专利文献和商业数据库。STN主要用于化学和医药领域的结构检索</w:t>
      </w:r>
      <w:r w:rsidRPr="00925747">
        <w:rPr>
          <w:rFonts w:ascii="SimSun" w:hAnsi="SimSun" w:hint="eastAsia"/>
          <w:sz w:val="21"/>
        </w:rPr>
        <w:t>（</w:t>
      </w:r>
      <w:r w:rsidRPr="00925747">
        <w:rPr>
          <w:rFonts w:ascii="SimSun" w:hAnsi="SimSun"/>
          <w:sz w:val="21"/>
        </w:rPr>
        <w:t>例如CAP和CAS代码</w:t>
      </w:r>
      <w:r w:rsidRPr="00925747">
        <w:rPr>
          <w:rFonts w:ascii="SimSun" w:hAnsi="SimSun" w:hint="eastAsia"/>
          <w:sz w:val="21"/>
        </w:rPr>
        <w:t>）</w:t>
      </w:r>
      <w:r w:rsidRPr="00925747">
        <w:rPr>
          <w:rFonts w:ascii="SimSun" w:hAnsi="SimSun"/>
          <w:sz w:val="21"/>
        </w:rPr>
        <w:t>，以及生物技术领域的核苷酸或者氨基酸序列检索</w:t>
      </w:r>
      <w:r w:rsidRPr="00925747">
        <w:rPr>
          <w:rFonts w:ascii="SimSun" w:hAnsi="SimSun" w:hint="eastAsia"/>
          <w:sz w:val="21"/>
        </w:rPr>
        <w:t>（</w:t>
      </w:r>
      <w:r w:rsidRPr="00925747">
        <w:rPr>
          <w:rFonts w:ascii="SimSun" w:hAnsi="SimSun"/>
          <w:sz w:val="21"/>
        </w:rPr>
        <w:t>CAS Registry，USGENE®，</w:t>
      </w:r>
      <w:proofErr w:type="spellStart"/>
      <w:r w:rsidRPr="00925747">
        <w:rPr>
          <w:rFonts w:ascii="SimSun" w:hAnsi="SimSun"/>
          <w:sz w:val="21"/>
        </w:rPr>
        <w:t>PCTGen</w:t>
      </w:r>
      <w:proofErr w:type="spellEnd"/>
      <w:r w:rsidRPr="00925747">
        <w:rPr>
          <w:rFonts w:ascii="SimSun" w:hAnsi="SimSun"/>
          <w:sz w:val="21"/>
        </w:rPr>
        <w:t>和</w:t>
      </w:r>
      <w:proofErr w:type="spellStart"/>
      <w:r w:rsidRPr="00925747">
        <w:rPr>
          <w:rFonts w:ascii="SimSun" w:hAnsi="SimSun"/>
          <w:sz w:val="21"/>
        </w:rPr>
        <w:t>DGene</w:t>
      </w:r>
      <w:proofErr w:type="spellEnd"/>
      <w:r w:rsidRPr="00925747">
        <w:rPr>
          <w:rFonts w:ascii="SimSun" w:hAnsi="SimSun" w:hint="eastAsia"/>
          <w:sz w:val="21"/>
        </w:rPr>
        <w:t>）</w:t>
      </w:r>
      <w:r w:rsidRPr="00925747">
        <w:rPr>
          <w:rFonts w:ascii="SimSun" w:hAnsi="SimSun"/>
          <w:sz w:val="21"/>
        </w:rPr>
        <w:t>。</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t>其他非专利文献数据库，例如MEDLINE、ELSEVIER、EMBASE、IEEE和PUBCHEM，可以经由EPOQUENET或者STN检索，以及经由在线网站直接检索。</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t>VPI的所有参加局可以通过CD/DVD介质访问和检索超过80个国家和专利局的始于1920年的专利和实用新型文献。</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t>VPI参加局还可以通过访问在线国家数据库获得来自不同工业产权局的专利和实用新型信息。</w:t>
      </w:r>
    </w:p>
    <w:p w:rsidR="0046454C" w:rsidRPr="00925747" w:rsidRDefault="00211F9A" w:rsidP="00A078C2">
      <w:pPr>
        <w:pStyle w:val="ONUME"/>
        <w:numPr>
          <w:ilvl w:val="1"/>
          <w:numId w:val="2"/>
        </w:numPr>
        <w:tabs>
          <w:tab w:val="clear" w:pos="567"/>
          <w:tab w:val="clear" w:pos="1134"/>
        </w:tabs>
        <w:overflowPunct w:val="0"/>
        <w:spacing w:afterLines="50" w:after="120" w:line="340" w:lineRule="atLeast"/>
        <w:jc w:val="both"/>
        <w:rPr>
          <w:rFonts w:ascii="SimSun" w:hAnsi="SimSun"/>
          <w:sz w:val="21"/>
        </w:rPr>
      </w:pPr>
      <w:r w:rsidRPr="00925747">
        <w:rPr>
          <w:rFonts w:ascii="SimSun" w:hAnsi="SimSun"/>
          <w:sz w:val="21"/>
        </w:rPr>
        <w:t>除上述电子数据库来源外，在VPI参加局的图书馆中，可以找到来自全世界的官方公报和刊物，以及不同技术、科学、法律和语言领域的书籍。大量的权威杂志和期刊也可获得。</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VPI的每个参加局可以访问主要分类系统数据库。审查员出于分类目的使用IPC分类体系，出于检索目的使用IPC和CPC。VPI参加局持续地检查其对专利和非专利文献数据库的</w:t>
      </w:r>
      <w:r w:rsidRPr="00925747">
        <w:rPr>
          <w:rFonts w:ascii="SimSun" w:hAnsi="SimSun" w:hint="eastAsia"/>
          <w:sz w:val="21"/>
        </w:rPr>
        <w:t>获得</w:t>
      </w:r>
      <w:r w:rsidRPr="00925747">
        <w:rPr>
          <w:rFonts w:ascii="SimSun" w:hAnsi="SimSun"/>
          <w:sz w:val="21"/>
        </w:rPr>
        <w:t>情况，并通过引入新的数据库和信息源改进检索程序。这为建立和维持检索程序的高标准</w:t>
      </w:r>
      <w:proofErr w:type="gramStart"/>
      <w:r w:rsidRPr="00925747">
        <w:rPr>
          <w:rFonts w:ascii="SimSun" w:hAnsi="SimSun"/>
          <w:sz w:val="21"/>
        </w:rPr>
        <w:t>作出</w:t>
      </w:r>
      <w:proofErr w:type="gramEnd"/>
      <w:r w:rsidRPr="00925747">
        <w:rPr>
          <w:rFonts w:ascii="SimSun" w:hAnsi="SimSun"/>
          <w:sz w:val="21"/>
        </w:rPr>
        <w:t>了贡献。</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VPI参加局的审查员参加与专利检索相关的培训课程和研讨会，包括有效利用有关专利和非专利文献数据库的课程和研讨会。</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上述检索平台</w:t>
      </w:r>
      <w:r w:rsidRPr="00925747">
        <w:rPr>
          <w:rFonts w:ascii="SimSun" w:hAnsi="SimSun" w:hint="eastAsia"/>
          <w:sz w:val="21"/>
        </w:rPr>
        <w:t>让</w:t>
      </w:r>
      <w:r w:rsidRPr="00925747">
        <w:rPr>
          <w:rFonts w:ascii="SimSun" w:hAnsi="SimSun"/>
          <w:sz w:val="21"/>
        </w:rPr>
        <w:t>每个审查</w:t>
      </w:r>
      <w:proofErr w:type="gramStart"/>
      <w:r w:rsidRPr="00925747">
        <w:rPr>
          <w:rFonts w:ascii="SimSun" w:hAnsi="SimSun"/>
          <w:sz w:val="21"/>
        </w:rPr>
        <w:t>员至少</w:t>
      </w:r>
      <w:proofErr w:type="gramEnd"/>
      <w:r w:rsidRPr="00925747">
        <w:rPr>
          <w:rFonts w:ascii="SimSun" w:hAnsi="SimSun"/>
          <w:sz w:val="21"/>
        </w:rPr>
        <w:t>能够访问PCT细则第34条规定的最低限度文献。</w:t>
      </w:r>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2.4.质量管理体系</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PCT联盟大会在其2014年9月召开的第四十六届会议上</w:t>
      </w:r>
      <w:r w:rsidRPr="00925747">
        <w:rPr>
          <w:rFonts w:ascii="SimSun" w:hAnsi="SimSun" w:hint="eastAsia"/>
          <w:sz w:val="21"/>
        </w:rPr>
        <w:t>通过</w:t>
      </w:r>
      <w:r w:rsidRPr="00925747">
        <w:rPr>
          <w:rFonts w:ascii="SimSun" w:hAnsi="SimSun"/>
          <w:sz w:val="21"/>
        </w:rPr>
        <w:t>的关于国际单位指定程序的谅解</w:t>
      </w:r>
      <w:r w:rsidRPr="00925747">
        <w:rPr>
          <w:rFonts w:ascii="SimSun" w:hAnsi="SimSun" w:hint="eastAsia"/>
          <w:sz w:val="21"/>
        </w:rPr>
        <w:t>（</w:t>
      </w:r>
      <w:r w:rsidRPr="00925747">
        <w:rPr>
          <w:rFonts w:ascii="SimSun" w:hAnsi="SimSun"/>
          <w:sz w:val="21"/>
        </w:rPr>
        <w:t>以下称为</w:t>
      </w:r>
      <w:r w:rsidRPr="00925747">
        <w:rPr>
          <w:rFonts w:ascii="SimSun" w:hAnsi="SimSun" w:hint="eastAsia"/>
          <w:sz w:val="21"/>
        </w:rPr>
        <w:t>“</w:t>
      </w:r>
      <w:r w:rsidRPr="00925747">
        <w:rPr>
          <w:rFonts w:ascii="SimSun" w:hAnsi="SimSun"/>
          <w:sz w:val="21"/>
        </w:rPr>
        <w:t>2014年PCT谅解</w:t>
      </w:r>
      <w:r w:rsidRPr="00925747">
        <w:rPr>
          <w:rFonts w:ascii="SimSun" w:hAnsi="SimSun" w:hint="eastAsia"/>
          <w:sz w:val="21"/>
        </w:rPr>
        <w:t>”）的</w:t>
      </w:r>
      <w:r w:rsidRPr="00925747">
        <w:rPr>
          <w:rFonts w:ascii="SimSun" w:hAnsi="SimSun"/>
          <w:sz w:val="21"/>
        </w:rPr>
        <w:t>(d)段中包含</w:t>
      </w:r>
      <w:r w:rsidRPr="00925747">
        <w:rPr>
          <w:rFonts w:ascii="SimSun" w:hAnsi="SimSun" w:hint="eastAsia"/>
          <w:sz w:val="21"/>
        </w:rPr>
        <w:t>了</w:t>
      </w:r>
      <w:r w:rsidRPr="00925747">
        <w:rPr>
          <w:rFonts w:ascii="SimSun" w:hAnsi="SimSun"/>
          <w:sz w:val="21"/>
        </w:rPr>
        <w:t>对相关要求的说明，即寻求指定的国家局或者政府间组织必须根据国际检索共同规范具备质量管理体系和内部复查措施。其中指出，如在大会指定时该体系尚未设立，则有设立该体系的全面规划即可，最好有国家检索和审查的类似体系已在运行之中，以便表明该局具备相关经验。</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VPI建立了</w:t>
      </w:r>
      <w:r w:rsidRPr="00925747">
        <w:rPr>
          <w:rFonts w:ascii="SimSun" w:hAnsi="SimSun" w:hint="eastAsia"/>
          <w:sz w:val="21"/>
        </w:rPr>
        <w:t>自己</w:t>
      </w:r>
      <w:r w:rsidRPr="00925747">
        <w:rPr>
          <w:rFonts w:ascii="SimSun" w:hAnsi="SimSun"/>
          <w:sz w:val="21"/>
        </w:rPr>
        <w:t>的质量管理体系，覆盖了处于国际阶段的PCT申请的处理。VPI的质量管理体系是</w:t>
      </w:r>
      <w:r w:rsidRPr="00925747">
        <w:rPr>
          <w:rFonts w:ascii="SimSun" w:hAnsi="SimSun" w:hint="eastAsia"/>
          <w:sz w:val="21"/>
        </w:rPr>
        <w:t>在</w:t>
      </w:r>
      <w:r w:rsidRPr="00925747">
        <w:rPr>
          <w:rFonts w:ascii="SimSun" w:hAnsi="SimSun"/>
          <w:sz w:val="21"/>
        </w:rPr>
        <w:t>参加的国家局经ISO认证</w:t>
      </w:r>
      <w:r w:rsidRPr="00925747">
        <w:rPr>
          <w:rFonts w:ascii="SimSun" w:hAnsi="SimSun" w:hint="eastAsia"/>
          <w:sz w:val="21"/>
        </w:rPr>
        <w:t>的</w:t>
      </w:r>
      <w:r w:rsidRPr="00925747">
        <w:rPr>
          <w:rFonts w:ascii="SimSun" w:hAnsi="SimSun"/>
          <w:sz w:val="21"/>
        </w:rPr>
        <w:t>质量管理体系</w:t>
      </w:r>
      <w:r w:rsidR="00A823F5" w:rsidRPr="00925747">
        <w:rPr>
          <w:rFonts w:ascii="SimSun" w:hAnsi="SimSun" w:hint="eastAsia"/>
          <w:sz w:val="21"/>
        </w:rPr>
        <w:t>基础上，</w:t>
      </w:r>
      <w:r w:rsidRPr="00925747">
        <w:rPr>
          <w:rFonts w:ascii="SimSun" w:hAnsi="SimSun"/>
          <w:sz w:val="21"/>
        </w:rPr>
        <w:t>进行</w:t>
      </w:r>
      <w:r w:rsidRPr="00925747">
        <w:rPr>
          <w:rFonts w:ascii="SimSun" w:hAnsi="SimSun" w:hint="eastAsia"/>
          <w:sz w:val="21"/>
        </w:rPr>
        <w:t>了</w:t>
      </w:r>
      <w:r w:rsidRPr="00925747">
        <w:rPr>
          <w:rFonts w:ascii="SimSun" w:hAnsi="SimSun"/>
          <w:sz w:val="21"/>
        </w:rPr>
        <w:t>扩展，以</w:t>
      </w:r>
      <w:r w:rsidRPr="00925747">
        <w:rPr>
          <w:rFonts w:ascii="SimSun" w:hAnsi="SimSun" w:hint="eastAsia"/>
          <w:sz w:val="21"/>
        </w:rPr>
        <w:t>完全</w:t>
      </w:r>
      <w:r w:rsidRPr="00925747">
        <w:rPr>
          <w:rFonts w:ascii="SimSun" w:hAnsi="SimSun"/>
          <w:sz w:val="21"/>
        </w:rPr>
        <w:t>覆盖PCT国际阶段程序并遵循PCT指南。有关PCT检索和初步审查的流程描述均包含在</w:t>
      </w:r>
      <w:r w:rsidR="001E28FA" w:rsidRPr="00925747">
        <w:rPr>
          <w:rFonts w:ascii="SimSun" w:hAnsi="SimSun"/>
          <w:sz w:val="21"/>
        </w:rPr>
        <w:t>VPI/</w:t>
      </w:r>
      <w:r w:rsidR="001E28FA" w:rsidRPr="00925747">
        <w:rPr>
          <w:rFonts w:ascii="SimSun" w:hAnsi="SimSun" w:hint="eastAsia"/>
          <w:sz w:val="21"/>
        </w:rPr>
        <w:t>国家局</w:t>
      </w:r>
      <w:r w:rsidRPr="00925747">
        <w:rPr>
          <w:rFonts w:ascii="SimSun" w:hAnsi="SimSun"/>
          <w:sz w:val="21"/>
        </w:rPr>
        <w:t>质量管理体系中。VPI与每个</w:t>
      </w:r>
      <w:r w:rsidR="00F65866" w:rsidRPr="00925747">
        <w:rPr>
          <w:rFonts w:ascii="SimSun" w:hAnsi="SimSun" w:hint="eastAsia"/>
          <w:sz w:val="21"/>
        </w:rPr>
        <w:t>国家局</w:t>
      </w:r>
      <w:r w:rsidRPr="00925747">
        <w:rPr>
          <w:rFonts w:ascii="SimSun" w:hAnsi="SimSun"/>
          <w:sz w:val="21"/>
        </w:rPr>
        <w:t>都有服务等级协议，</w:t>
      </w:r>
      <w:r w:rsidR="00F65866" w:rsidRPr="00925747">
        <w:rPr>
          <w:rFonts w:ascii="SimSun" w:hAnsi="SimSun" w:hint="eastAsia"/>
          <w:sz w:val="21"/>
        </w:rPr>
        <w:t>国家局</w:t>
      </w:r>
      <w:r w:rsidRPr="00925747">
        <w:rPr>
          <w:rFonts w:ascii="SimSun" w:hAnsi="SimSun" w:hint="eastAsia"/>
          <w:sz w:val="21"/>
        </w:rPr>
        <w:t>依照协议</w:t>
      </w:r>
      <w:r w:rsidRPr="00925747">
        <w:rPr>
          <w:rFonts w:ascii="SimSun" w:hAnsi="SimSun"/>
          <w:sz w:val="21"/>
        </w:rPr>
        <w:t>履行VPI的PCT相关任务。</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每个</w:t>
      </w:r>
      <w:r w:rsidR="00F65866" w:rsidRPr="00925747">
        <w:rPr>
          <w:rFonts w:ascii="SimSun" w:hAnsi="SimSun"/>
          <w:sz w:val="21"/>
        </w:rPr>
        <w:t>VPI/</w:t>
      </w:r>
      <w:r w:rsidR="00F65866" w:rsidRPr="00925747">
        <w:rPr>
          <w:rFonts w:ascii="SimSun" w:hAnsi="SimSun" w:hint="eastAsia"/>
          <w:sz w:val="21"/>
        </w:rPr>
        <w:t>国家局</w:t>
      </w:r>
      <w:r w:rsidRPr="00925747">
        <w:rPr>
          <w:rFonts w:ascii="SimSun" w:hAnsi="SimSun"/>
          <w:sz w:val="21"/>
        </w:rPr>
        <w:t>都有ISO-9001认证的质量管理体系。</w:t>
      </w:r>
      <w:r w:rsidR="00AD46A1" w:rsidRPr="00925747">
        <w:rPr>
          <w:rFonts w:ascii="SimSun" w:hAnsi="SimSun"/>
          <w:sz w:val="21"/>
        </w:rPr>
        <w:t>VPI/</w:t>
      </w:r>
      <w:r w:rsidR="00AD46A1" w:rsidRPr="00925747">
        <w:rPr>
          <w:rFonts w:ascii="SimSun" w:hAnsi="SimSun" w:hint="eastAsia"/>
          <w:sz w:val="21"/>
        </w:rPr>
        <w:t>国家局</w:t>
      </w:r>
      <w:r w:rsidRPr="00925747">
        <w:rPr>
          <w:rFonts w:ascii="SimSun" w:hAnsi="SimSun"/>
          <w:sz w:val="21"/>
        </w:rPr>
        <w:t>质量管理体系涵盖了为继续改善开展工作和程序的</w:t>
      </w:r>
      <w:r w:rsidRPr="00925747">
        <w:rPr>
          <w:rFonts w:ascii="SimSun" w:hAnsi="SimSun" w:hint="eastAsia"/>
          <w:sz w:val="21"/>
        </w:rPr>
        <w:t>所有</w:t>
      </w:r>
      <w:r w:rsidRPr="00925747">
        <w:rPr>
          <w:rFonts w:ascii="SimSun" w:hAnsi="SimSun"/>
          <w:sz w:val="21"/>
        </w:rPr>
        <w:t>必要程序。VPI和</w:t>
      </w:r>
      <w:r w:rsidR="00AD46A1" w:rsidRPr="00925747">
        <w:rPr>
          <w:rFonts w:ascii="SimSun" w:hAnsi="SimSun"/>
          <w:sz w:val="21"/>
        </w:rPr>
        <w:t>VPI/</w:t>
      </w:r>
      <w:r w:rsidR="00AD46A1" w:rsidRPr="00925747">
        <w:rPr>
          <w:rFonts w:ascii="SimSun" w:hAnsi="SimSun" w:hint="eastAsia"/>
          <w:sz w:val="21"/>
        </w:rPr>
        <w:t>国家局</w:t>
      </w:r>
      <w:r w:rsidRPr="00925747">
        <w:rPr>
          <w:rFonts w:ascii="SimSun" w:hAnsi="SimSun"/>
          <w:sz w:val="21"/>
        </w:rPr>
        <w:t>之间的服务等级协议</w:t>
      </w:r>
      <w:r w:rsidRPr="00925747">
        <w:rPr>
          <w:rFonts w:ascii="SimSun" w:hAnsi="SimSun" w:hint="eastAsia"/>
          <w:sz w:val="21"/>
        </w:rPr>
        <w:t>中明确</w:t>
      </w:r>
      <w:r w:rsidRPr="00925747">
        <w:rPr>
          <w:rFonts w:ascii="SimSun" w:hAnsi="SimSun"/>
          <w:sz w:val="21"/>
        </w:rPr>
        <w:t>了</w:t>
      </w:r>
      <w:r w:rsidR="00AD46A1" w:rsidRPr="00925747">
        <w:rPr>
          <w:rFonts w:ascii="SimSun" w:hAnsi="SimSun"/>
          <w:sz w:val="21"/>
        </w:rPr>
        <w:t>VPI/</w:t>
      </w:r>
      <w:r w:rsidR="00AD46A1" w:rsidRPr="00925747">
        <w:rPr>
          <w:rFonts w:ascii="SimSun" w:hAnsi="SimSun" w:hint="eastAsia"/>
          <w:sz w:val="21"/>
        </w:rPr>
        <w:t>国家局</w:t>
      </w:r>
      <w:r w:rsidRPr="00925747">
        <w:rPr>
          <w:rFonts w:ascii="SimSun" w:hAnsi="SimSun"/>
          <w:sz w:val="21"/>
        </w:rPr>
        <w:t>质量管理体系必须满足的要求。VPI</w:t>
      </w:r>
      <w:proofErr w:type="gramStart"/>
      <w:r w:rsidRPr="00925747">
        <w:rPr>
          <w:rFonts w:ascii="SimSun" w:hAnsi="SimSun"/>
          <w:sz w:val="21"/>
        </w:rPr>
        <w:t>最</w:t>
      </w:r>
      <w:proofErr w:type="gramEnd"/>
      <w:r w:rsidRPr="00925747">
        <w:rPr>
          <w:rFonts w:ascii="SimSun" w:hAnsi="SimSun"/>
          <w:sz w:val="21"/>
        </w:rPr>
        <w:t>首要任务是</w:t>
      </w:r>
      <w:r w:rsidR="00AD46A1" w:rsidRPr="00925747">
        <w:rPr>
          <w:rFonts w:ascii="SimSun" w:hAnsi="SimSun" w:hint="eastAsia"/>
          <w:sz w:val="21"/>
        </w:rPr>
        <w:t>对</w:t>
      </w:r>
      <w:r w:rsidRPr="00925747">
        <w:rPr>
          <w:rFonts w:ascii="SimSun" w:hAnsi="SimSun"/>
          <w:sz w:val="21"/>
        </w:rPr>
        <w:t>VPI基本活动相关的程序</w:t>
      </w:r>
      <w:r w:rsidR="00AD46A1" w:rsidRPr="00925747">
        <w:rPr>
          <w:rFonts w:ascii="SimSun" w:hAnsi="SimSun" w:hint="eastAsia"/>
          <w:sz w:val="21"/>
        </w:rPr>
        <w:t>进行认证</w:t>
      </w:r>
      <w:r w:rsidRPr="00925747">
        <w:rPr>
          <w:rFonts w:ascii="SimSun" w:hAnsi="SimSun"/>
          <w:sz w:val="21"/>
        </w:rPr>
        <w:t>，即作为ISA/IPEA的检索和审查，以及</w:t>
      </w:r>
      <w:r w:rsidRPr="00925747">
        <w:rPr>
          <w:rFonts w:ascii="SimSun" w:hAnsi="SimSun" w:hint="eastAsia"/>
          <w:sz w:val="21"/>
        </w:rPr>
        <w:t>根据</w:t>
      </w:r>
      <w:r w:rsidRPr="00925747">
        <w:rPr>
          <w:rFonts w:ascii="SimSun" w:hAnsi="SimSun"/>
          <w:sz w:val="21"/>
        </w:rPr>
        <w:t>ISO标准</w:t>
      </w:r>
      <w:r w:rsidRPr="00925747">
        <w:rPr>
          <w:rFonts w:ascii="SimSun" w:hAnsi="SimSun" w:hint="eastAsia"/>
          <w:sz w:val="21"/>
        </w:rPr>
        <w:t>进行</w:t>
      </w:r>
      <w:r w:rsidRPr="00925747">
        <w:rPr>
          <w:rFonts w:ascii="SimSun" w:hAnsi="SimSun"/>
          <w:sz w:val="21"/>
        </w:rPr>
        <w:t>国际式检索。根据</w:t>
      </w:r>
      <w:r w:rsidR="001900B8" w:rsidRPr="00925747">
        <w:rPr>
          <w:rFonts w:ascii="SimSun" w:hAnsi="SimSun"/>
          <w:sz w:val="21"/>
        </w:rPr>
        <w:t>VPI/</w:t>
      </w:r>
      <w:r w:rsidR="001900B8" w:rsidRPr="00925747">
        <w:rPr>
          <w:rFonts w:ascii="SimSun" w:hAnsi="SimSun" w:hint="eastAsia"/>
          <w:sz w:val="21"/>
        </w:rPr>
        <w:t>国家局</w:t>
      </w:r>
      <w:r w:rsidRPr="00925747">
        <w:rPr>
          <w:rFonts w:ascii="SimSun" w:hAnsi="SimSun"/>
          <w:sz w:val="21"/>
        </w:rPr>
        <w:t>认证时间表，这些认证从2016年底</w:t>
      </w:r>
      <w:r w:rsidR="001900B8" w:rsidRPr="00925747">
        <w:rPr>
          <w:rFonts w:ascii="SimSun" w:hAnsi="SimSun" w:hint="eastAsia"/>
          <w:sz w:val="21"/>
        </w:rPr>
        <w:t>持续</w:t>
      </w:r>
      <w:r w:rsidRPr="00925747">
        <w:rPr>
          <w:rFonts w:ascii="SimSun" w:hAnsi="SimSun"/>
          <w:sz w:val="21"/>
        </w:rPr>
        <w:t>至2017年中。</w:t>
      </w:r>
    </w:p>
    <w:p w:rsidR="0046454C" w:rsidRPr="00925747" w:rsidRDefault="00211F9A" w:rsidP="00927786">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VPI的质量管理体系将在2017年最后一个季度根据ISO9001标准争取ISO认证，</w:t>
      </w:r>
      <w:r w:rsidR="0086281A" w:rsidRPr="00925747">
        <w:rPr>
          <w:rFonts w:ascii="SimSun" w:hAnsi="SimSun" w:hint="eastAsia"/>
          <w:sz w:val="21"/>
        </w:rPr>
        <w:t>届时</w:t>
      </w:r>
      <w:r w:rsidRPr="00925747">
        <w:rPr>
          <w:rFonts w:ascii="SimSun" w:hAnsi="SimSun"/>
          <w:sz w:val="21"/>
        </w:rPr>
        <w:t>它</w:t>
      </w:r>
      <w:r w:rsidRPr="00925747">
        <w:rPr>
          <w:rFonts w:ascii="SimSun" w:hAnsi="SimSun" w:hint="eastAsia"/>
          <w:sz w:val="21"/>
        </w:rPr>
        <w:t>能够</w:t>
      </w:r>
      <w:r w:rsidR="00ED4DE1" w:rsidRPr="00925747">
        <w:rPr>
          <w:rFonts w:ascii="SimSun" w:hAnsi="SimSun" w:hint="eastAsia"/>
          <w:sz w:val="21"/>
        </w:rPr>
        <w:t>展现出必要</w:t>
      </w:r>
      <w:r w:rsidR="00ED4DE1" w:rsidRPr="00925747">
        <w:rPr>
          <w:rFonts w:ascii="SimSun" w:hAnsi="SimSun"/>
          <w:sz w:val="21"/>
        </w:rPr>
        <w:t>的</w:t>
      </w:r>
      <w:r w:rsidR="00ED4DE1" w:rsidRPr="00925747">
        <w:rPr>
          <w:rFonts w:ascii="SimSun" w:hAnsi="SimSun" w:hint="eastAsia"/>
          <w:sz w:val="21"/>
        </w:rPr>
        <w:t>运营</w:t>
      </w:r>
      <w:r w:rsidR="00ED4DE1" w:rsidRPr="00925747">
        <w:rPr>
          <w:rFonts w:ascii="SimSun" w:hAnsi="SimSun"/>
          <w:sz w:val="21"/>
        </w:rPr>
        <w:t>时间</w:t>
      </w:r>
      <w:r w:rsidRPr="00925747">
        <w:rPr>
          <w:rFonts w:ascii="SimSun" w:hAnsi="SimSun"/>
          <w:sz w:val="21"/>
        </w:rPr>
        <w:t>。</w:t>
      </w:r>
    </w:p>
    <w:p w:rsidR="00A078C2" w:rsidRDefault="00211F9A" w:rsidP="00A078C2">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A078C2">
        <w:rPr>
          <w:rFonts w:ascii="SimSun" w:hAnsi="SimSun"/>
          <w:sz w:val="21"/>
        </w:rPr>
        <w:lastRenderedPageBreak/>
        <w:t>根据PCT国际检索和初审指南第21.26段和第21.27段，VPI作了两个有关其质量管理系统的年度报告，可在以下网址下载：</w:t>
      </w:r>
    </w:p>
    <w:p w:rsidR="0046454C" w:rsidRPr="00A078C2" w:rsidRDefault="00B759D6" w:rsidP="00A078C2">
      <w:pPr>
        <w:pStyle w:val="ONUME"/>
        <w:tabs>
          <w:tab w:val="clear" w:pos="567"/>
        </w:tabs>
        <w:overflowPunct w:val="0"/>
        <w:spacing w:afterLines="50" w:after="120" w:line="340" w:lineRule="atLeast"/>
        <w:contextualSpacing/>
        <w:jc w:val="both"/>
        <w:rPr>
          <w:rFonts w:ascii="SimSun" w:hAnsi="SimSun"/>
          <w:sz w:val="21"/>
        </w:rPr>
      </w:pPr>
      <w:hyperlink r:id="rId13" w:history="1">
        <w:r w:rsidR="00211F9A" w:rsidRPr="00A078C2">
          <w:rPr>
            <w:rStyle w:val="ae"/>
            <w:rFonts w:ascii="SimSun" w:hAnsi="SimSun"/>
            <w:color w:val="auto"/>
            <w:sz w:val="21"/>
            <w:u w:val="none"/>
          </w:rPr>
          <w:t>http：//www.wipo.int/export/sites/www/pct/en/quality/2015/2015_xv.pdf</w:t>
        </w:r>
      </w:hyperlink>
    </w:p>
    <w:p w:rsidR="0046454C" w:rsidRPr="00925747" w:rsidRDefault="00B759D6">
      <w:pPr>
        <w:pStyle w:val="ONUME"/>
        <w:rPr>
          <w:rFonts w:ascii="SimSun" w:hAnsi="SimSun"/>
          <w:sz w:val="21"/>
        </w:rPr>
      </w:pPr>
      <w:hyperlink r:id="rId14" w:history="1">
        <w:r w:rsidR="00211F9A" w:rsidRPr="00925747">
          <w:rPr>
            <w:rStyle w:val="ae"/>
            <w:rFonts w:ascii="SimSun" w:hAnsi="SimSun"/>
            <w:color w:val="auto"/>
            <w:sz w:val="21"/>
            <w:u w:val="none"/>
          </w:rPr>
          <w:t>http：//www.wipo.int/export/sites/www/pct/en/quality/2016/2016_xv.pdf</w:t>
        </w:r>
      </w:hyperlink>
    </w:p>
    <w:p w:rsidR="0046454C" w:rsidRPr="00927786" w:rsidRDefault="00211F9A" w:rsidP="00927786">
      <w:pPr>
        <w:pStyle w:val="4"/>
        <w:overflowPunct w:val="0"/>
        <w:spacing w:beforeLines="100" w:afterLines="50" w:after="120" w:line="340" w:lineRule="atLeast"/>
        <w:rPr>
          <w:rFonts w:ascii="KaiTi" w:eastAsia="KaiTi" w:hAnsi="KaiTi"/>
          <w:i w:val="0"/>
          <w:iCs/>
          <w:sz w:val="21"/>
        </w:rPr>
      </w:pPr>
      <w:r w:rsidRPr="00927786">
        <w:rPr>
          <w:rFonts w:ascii="KaiTi" w:eastAsia="KaiTi" w:hAnsi="KaiTi" w:hint="eastAsia"/>
          <w:i w:val="0"/>
          <w:iCs/>
          <w:sz w:val="21"/>
        </w:rPr>
        <w:t>2.5.内部复查措施</w:t>
      </w:r>
    </w:p>
    <w:p w:rsidR="0046454C" w:rsidRPr="00925747" w:rsidRDefault="00211F9A" w:rsidP="00A078C2">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VPI质量管理体系</w:t>
      </w:r>
      <w:r w:rsidRPr="00925747">
        <w:rPr>
          <w:rFonts w:ascii="SimSun" w:hAnsi="SimSun" w:hint="eastAsia"/>
          <w:sz w:val="21"/>
        </w:rPr>
        <w:t>的</w:t>
      </w:r>
      <w:r w:rsidRPr="00925747">
        <w:rPr>
          <w:rFonts w:ascii="SimSun" w:hAnsi="SimSun"/>
          <w:sz w:val="21"/>
        </w:rPr>
        <w:t>引入是</w:t>
      </w:r>
      <w:r w:rsidRPr="00925747">
        <w:rPr>
          <w:rFonts w:ascii="SimSun" w:hAnsi="SimSun" w:hint="eastAsia"/>
          <w:sz w:val="21"/>
        </w:rPr>
        <w:t>建立在</w:t>
      </w:r>
      <w:r w:rsidRPr="00925747">
        <w:rPr>
          <w:rFonts w:ascii="SimSun" w:hAnsi="SimSun"/>
          <w:sz w:val="21"/>
        </w:rPr>
        <w:t>对该体系所有必要组成部分，</w:t>
      </w:r>
      <w:r w:rsidRPr="00925747">
        <w:rPr>
          <w:rFonts w:ascii="SimSun" w:hAnsi="SimSun" w:hint="eastAsia"/>
          <w:sz w:val="21"/>
        </w:rPr>
        <w:t>所有</w:t>
      </w:r>
      <w:r w:rsidRPr="00925747">
        <w:rPr>
          <w:rFonts w:ascii="SimSun" w:hAnsi="SimSun"/>
          <w:sz w:val="21"/>
        </w:rPr>
        <w:t>参加者、提供者、用户以及客户需求的确认</w:t>
      </w:r>
      <w:r w:rsidRPr="00925747">
        <w:rPr>
          <w:rFonts w:ascii="SimSun" w:hAnsi="SimSun" w:hint="eastAsia"/>
          <w:sz w:val="21"/>
        </w:rPr>
        <w:t>的基础上</w:t>
      </w:r>
      <w:r w:rsidRPr="00925747">
        <w:rPr>
          <w:rFonts w:ascii="SimSun" w:hAnsi="SimSun"/>
          <w:sz w:val="21"/>
        </w:rPr>
        <w:t>。流程和程序根据不同层级进行设置，例如治理</w:t>
      </w:r>
      <w:r w:rsidRPr="00925747">
        <w:rPr>
          <w:rFonts w:ascii="SimSun" w:hAnsi="SimSun" w:hint="eastAsia"/>
          <w:sz w:val="21"/>
        </w:rPr>
        <w:t>（</w:t>
      </w:r>
      <w:r w:rsidRPr="00925747">
        <w:rPr>
          <w:rFonts w:ascii="SimSun" w:hAnsi="SimSun"/>
          <w:sz w:val="21"/>
        </w:rPr>
        <w:t>管理</w:t>
      </w:r>
      <w:r w:rsidRPr="00925747">
        <w:rPr>
          <w:rFonts w:ascii="SimSun" w:hAnsi="SimSun" w:hint="eastAsia"/>
          <w:sz w:val="21"/>
        </w:rPr>
        <w:t>）</w:t>
      </w:r>
      <w:r w:rsidRPr="00925747">
        <w:rPr>
          <w:rFonts w:ascii="SimSun" w:hAnsi="SimSun"/>
          <w:sz w:val="21"/>
        </w:rPr>
        <w:t>、基本活动的流程和支持</w:t>
      </w:r>
      <w:r w:rsidRPr="00925747">
        <w:rPr>
          <w:rFonts w:ascii="SimSun" w:hAnsi="SimSun" w:hint="eastAsia"/>
          <w:sz w:val="21"/>
        </w:rPr>
        <w:t>（</w:t>
      </w:r>
      <w:r w:rsidRPr="00925747">
        <w:rPr>
          <w:rFonts w:ascii="SimSun" w:hAnsi="SimSun"/>
          <w:sz w:val="21"/>
        </w:rPr>
        <w:t>功能</w:t>
      </w:r>
      <w:r w:rsidRPr="00925747">
        <w:rPr>
          <w:rFonts w:ascii="SimSun" w:hAnsi="SimSun" w:hint="eastAsia"/>
          <w:sz w:val="21"/>
        </w:rPr>
        <w:t>）</w:t>
      </w:r>
      <w:r w:rsidRPr="00925747">
        <w:rPr>
          <w:rFonts w:ascii="SimSun" w:hAnsi="SimSun"/>
          <w:sz w:val="21"/>
        </w:rPr>
        <w:t>程序。所有政策、流程和程序都在质量管理体系中得到记录。VPI的质量管理体系根据详细、易于理解且可以操作的指示执行，以实现所述的质量目标。同时建立复查机制以监控质量标准的执行情况，并在VPI内部建立联合复查小组。除了</w:t>
      </w:r>
      <w:r w:rsidR="003E4BC9" w:rsidRPr="00925747">
        <w:rPr>
          <w:rFonts w:ascii="SimSun" w:hAnsi="SimSun"/>
          <w:sz w:val="21"/>
        </w:rPr>
        <w:t>内部审计</w:t>
      </w:r>
      <w:r w:rsidRPr="00925747">
        <w:rPr>
          <w:rFonts w:ascii="SimSun" w:hAnsi="SimSun"/>
          <w:sz w:val="21"/>
        </w:rPr>
        <w:t>，还将以周期性的方式开展外部审查。</w:t>
      </w:r>
    </w:p>
    <w:p w:rsidR="0046454C" w:rsidRPr="00925747" w:rsidRDefault="00211F9A" w:rsidP="00A078C2">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每个</w:t>
      </w:r>
      <w:r w:rsidR="003E4BC9" w:rsidRPr="00925747">
        <w:rPr>
          <w:rFonts w:ascii="SimSun" w:hAnsi="SimSun" w:hint="eastAsia"/>
          <w:sz w:val="21"/>
        </w:rPr>
        <w:t>国家局</w:t>
      </w:r>
      <w:r w:rsidR="00CF1268" w:rsidRPr="00925747">
        <w:rPr>
          <w:rFonts w:ascii="SimSun" w:hAnsi="SimSun"/>
          <w:sz w:val="21"/>
        </w:rPr>
        <w:t>都有其</w:t>
      </w:r>
      <w:r w:rsidR="00CF1268" w:rsidRPr="00925747">
        <w:rPr>
          <w:rFonts w:ascii="SimSun" w:hAnsi="SimSun" w:hint="eastAsia"/>
          <w:sz w:val="21"/>
        </w:rPr>
        <w:t>自己的</w:t>
      </w:r>
      <w:r w:rsidR="003E4BC9" w:rsidRPr="00925747">
        <w:rPr>
          <w:rFonts w:ascii="SimSun" w:hAnsi="SimSun"/>
          <w:sz w:val="21"/>
        </w:rPr>
        <w:t>专家</w:t>
      </w:r>
      <w:r w:rsidR="003E4BC9" w:rsidRPr="00925747">
        <w:rPr>
          <w:rFonts w:ascii="SimSun" w:hAnsi="SimSun" w:hint="eastAsia"/>
          <w:sz w:val="21"/>
        </w:rPr>
        <w:t>，</w:t>
      </w:r>
      <w:r w:rsidRPr="00925747">
        <w:rPr>
          <w:rFonts w:ascii="SimSun" w:hAnsi="SimSun"/>
          <w:sz w:val="21"/>
        </w:rPr>
        <w:t>在</w:t>
      </w:r>
      <w:r w:rsidR="00CF1268" w:rsidRPr="00925747">
        <w:rPr>
          <w:rFonts w:ascii="SimSun" w:hAnsi="SimSun" w:hint="eastAsia"/>
          <w:sz w:val="21"/>
        </w:rPr>
        <w:t>本局</w:t>
      </w:r>
      <w:r w:rsidR="003E4BC9" w:rsidRPr="00925747">
        <w:rPr>
          <w:rFonts w:ascii="SimSun" w:hAnsi="SimSun"/>
          <w:sz w:val="21"/>
        </w:rPr>
        <w:t>开展内部</w:t>
      </w:r>
      <w:r w:rsidR="003E4BC9" w:rsidRPr="00925747">
        <w:rPr>
          <w:rFonts w:ascii="SimSun" w:hAnsi="SimSun" w:hint="eastAsia"/>
          <w:sz w:val="21"/>
        </w:rPr>
        <w:t>审计</w:t>
      </w:r>
      <w:r w:rsidR="0034220E" w:rsidRPr="00925747">
        <w:rPr>
          <w:rFonts w:ascii="SimSun" w:hAnsi="SimSun"/>
          <w:sz w:val="21"/>
        </w:rPr>
        <w:t>，</w:t>
      </w:r>
      <w:r w:rsidR="0034220E" w:rsidRPr="00925747">
        <w:rPr>
          <w:rFonts w:ascii="SimSun" w:hAnsi="SimSun" w:hint="eastAsia"/>
          <w:sz w:val="21"/>
        </w:rPr>
        <w:t>对作为</w:t>
      </w:r>
      <w:r w:rsidR="003E4BC9" w:rsidRPr="00925747">
        <w:rPr>
          <w:rFonts w:ascii="SimSun" w:hAnsi="SimSun"/>
          <w:sz w:val="21"/>
        </w:rPr>
        <w:t>VPI/</w:t>
      </w:r>
      <w:r w:rsidR="003E4BC9" w:rsidRPr="00925747">
        <w:rPr>
          <w:rFonts w:ascii="SimSun" w:hAnsi="SimSun" w:hint="eastAsia"/>
          <w:sz w:val="21"/>
        </w:rPr>
        <w:t>国家局</w:t>
      </w:r>
      <w:r w:rsidR="0034220E" w:rsidRPr="00925747">
        <w:rPr>
          <w:rFonts w:ascii="SimSun" w:hAnsi="SimSun" w:hint="eastAsia"/>
          <w:sz w:val="21"/>
        </w:rPr>
        <w:t>也是如此</w:t>
      </w:r>
      <w:r w:rsidRPr="00925747">
        <w:rPr>
          <w:rFonts w:ascii="SimSun" w:hAnsi="SimSun"/>
          <w:sz w:val="21"/>
        </w:rPr>
        <w:t>（即每名</w:t>
      </w:r>
      <w:r w:rsidR="003E4BC9" w:rsidRPr="00925747">
        <w:rPr>
          <w:rFonts w:ascii="SimSun" w:hAnsi="SimSun" w:hint="eastAsia"/>
          <w:sz w:val="21"/>
        </w:rPr>
        <w:t>国家局</w:t>
      </w:r>
      <w:r w:rsidRPr="00925747">
        <w:rPr>
          <w:rFonts w:ascii="SimSun" w:hAnsi="SimSun"/>
          <w:sz w:val="21"/>
        </w:rPr>
        <w:t>专家应开展相应</w:t>
      </w:r>
      <w:r w:rsidR="003E4BC9" w:rsidRPr="00925747">
        <w:rPr>
          <w:rFonts w:ascii="SimSun" w:hAnsi="SimSun"/>
          <w:sz w:val="21"/>
        </w:rPr>
        <w:t>VPI/</w:t>
      </w:r>
      <w:r w:rsidR="003E4BC9" w:rsidRPr="00925747">
        <w:rPr>
          <w:rFonts w:ascii="SimSun" w:hAnsi="SimSun" w:hint="eastAsia"/>
          <w:sz w:val="21"/>
        </w:rPr>
        <w:t>国家局</w:t>
      </w:r>
      <w:r w:rsidR="003E4BC9" w:rsidRPr="00925747">
        <w:rPr>
          <w:rFonts w:ascii="SimSun" w:hAnsi="SimSun"/>
          <w:sz w:val="21"/>
        </w:rPr>
        <w:t>的内部</w:t>
      </w:r>
      <w:r w:rsidR="003E4BC9" w:rsidRPr="00925747">
        <w:rPr>
          <w:rFonts w:ascii="SimSun" w:hAnsi="SimSun" w:hint="eastAsia"/>
          <w:sz w:val="21"/>
        </w:rPr>
        <w:t>审计</w:t>
      </w:r>
      <w:r w:rsidRPr="00925747">
        <w:rPr>
          <w:rFonts w:ascii="SimSun" w:hAnsi="SimSun"/>
          <w:sz w:val="21"/>
        </w:rPr>
        <w:t>）。</w:t>
      </w:r>
      <w:r w:rsidRPr="00925747">
        <w:rPr>
          <w:rFonts w:ascii="SimSun" w:hAnsi="SimSun" w:hint="eastAsia"/>
          <w:sz w:val="21"/>
        </w:rPr>
        <w:t>由于VPI秘书处也将接受</w:t>
      </w:r>
      <w:r w:rsidR="003E4BC9" w:rsidRPr="00925747">
        <w:rPr>
          <w:rFonts w:ascii="SimSun" w:hAnsi="SimSun" w:hint="eastAsia"/>
          <w:sz w:val="21"/>
        </w:rPr>
        <w:t>内部审计</w:t>
      </w:r>
      <w:r w:rsidRPr="00925747">
        <w:rPr>
          <w:rFonts w:ascii="SimSun" w:hAnsi="SimSun" w:hint="eastAsia"/>
          <w:sz w:val="21"/>
        </w:rPr>
        <w:t>，</w:t>
      </w:r>
      <w:r w:rsidR="003E4BC9" w:rsidRPr="00925747">
        <w:rPr>
          <w:rFonts w:ascii="SimSun" w:hAnsi="SimSun" w:hint="eastAsia"/>
          <w:sz w:val="21"/>
        </w:rPr>
        <w:t>内部审计</w:t>
      </w:r>
      <w:r w:rsidRPr="00925747">
        <w:rPr>
          <w:rFonts w:ascii="SimSun" w:hAnsi="SimSun" w:hint="eastAsia"/>
          <w:sz w:val="21"/>
        </w:rPr>
        <w:t>组的专家将轮流开展秘书处</w:t>
      </w:r>
      <w:r w:rsidR="003E4BC9" w:rsidRPr="00925747">
        <w:rPr>
          <w:rFonts w:ascii="SimSun" w:hAnsi="SimSun" w:hint="eastAsia"/>
          <w:sz w:val="21"/>
        </w:rPr>
        <w:t>内部审计（即每年</w:t>
      </w:r>
      <w:r w:rsidRPr="00925747">
        <w:rPr>
          <w:rFonts w:ascii="SimSun" w:hAnsi="SimSun" w:hint="eastAsia"/>
          <w:sz w:val="21"/>
        </w:rPr>
        <w:t>不同</w:t>
      </w:r>
      <w:r w:rsidR="003E4BC9" w:rsidRPr="00925747">
        <w:rPr>
          <w:rFonts w:ascii="SimSun" w:hAnsi="SimSun" w:hint="eastAsia"/>
          <w:sz w:val="21"/>
        </w:rPr>
        <w:t>VPI/国家局</w:t>
      </w:r>
      <w:r w:rsidRPr="00925747">
        <w:rPr>
          <w:rFonts w:ascii="SimSun" w:hAnsi="SimSun" w:hint="eastAsia"/>
          <w:sz w:val="21"/>
        </w:rPr>
        <w:t>专家将作为</w:t>
      </w:r>
      <w:r w:rsidR="003E4BC9" w:rsidRPr="00925747">
        <w:rPr>
          <w:rFonts w:ascii="SimSun" w:hAnsi="SimSun" w:hint="eastAsia"/>
          <w:sz w:val="21"/>
        </w:rPr>
        <w:t>内部审计</w:t>
      </w:r>
      <w:r w:rsidRPr="00925747">
        <w:rPr>
          <w:rFonts w:ascii="SimSun" w:hAnsi="SimSun" w:hint="eastAsia"/>
          <w:sz w:val="21"/>
        </w:rPr>
        <w:t>员）。</w:t>
      </w:r>
    </w:p>
    <w:p w:rsidR="0046454C" w:rsidRPr="00927786" w:rsidRDefault="00211F9A" w:rsidP="00927786">
      <w:pPr>
        <w:pStyle w:val="1"/>
        <w:spacing w:beforeLines="100" w:afterLines="50" w:after="120" w:line="340" w:lineRule="atLeast"/>
        <w:rPr>
          <w:rFonts w:ascii="SimHei" w:eastAsia="SimHei" w:hAnsi="SimHei"/>
          <w:b w:val="0"/>
          <w:sz w:val="21"/>
        </w:rPr>
      </w:pPr>
      <w:r w:rsidRPr="00927786">
        <w:rPr>
          <w:rFonts w:ascii="SimHei" w:eastAsia="SimHei" w:hAnsi="SimHei"/>
          <w:b w:val="0"/>
          <w:sz w:val="21"/>
        </w:rPr>
        <w:t xml:space="preserve">三、结　</w:t>
      </w:r>
      <w:r w:rsidR="00B759D6">
        <w:rPr>
          <w:rFonts w:ascii="SimHei" w:eastAsia="SimHei" w:hAnsi="SimHei" w:hint="eastAsia"/>
          <w:b w:val="0"/>
          <w:sz w:val="21"/>
        </w:rPr>
        <w:t>语</w:t>
      </w:r>
      <w:bookmarkStart w:id="7" w:name="_GoBack"/>
      <w:bookmarkEnd w:id="7"/>
    </w:p>
    <w:p w:rsidR="0046454C" w:rsidRPr="00925747" w:rsidRDefault="00211F9A" w:rsidP="00A078C2">
      <w:pPr>
        <w:pStyle w:val="ONUME"/>
        <w:numPr>
          <w:ilvl w:val="0"/>
          <w:numId w:val="6"/>
        </w:numPr>
        <w:tabs>
          <w:tab w:val="clear" w:pos="567"/>
        </w:tabs>
        <w:overflowPunct w:val="0"/>
        <w:spacing w:afterLines="50" w:after="120" w:line="340" w:lineRule="atLeast"/>
        <w:ind w:left="0" w:firstLine="0"/>
        <w:jc w:val="both"/>
        <w:rPr>
          <w:rFonts w:ascii="SimSun" w:hAnsi="SimSun"/>
          <w:sz w:val="21"/>
        </w:rPr>
      </w:pPr>
      <w:r w:rsidRPr="00925747">
        <w:rPr>
          <w:rFonts w:ascii="SimSun" w:hAnsi="SimSun"/>
          <w:sz w:val="21"/>
        </w:rPr>
        <w:t>总之，VPI协议的</w:t>
      </w:r>
      <w:r w:rsidRPr="00925747">
        <w:rPr>
          <w:rFonts w:ascii="SimSun" w:hAnsi="SimSun" w:hint="eastAsia"/>
          <w:sz w:val="21"/>
        </w:rPr>
        <w:t>成员</w:t>
      </w:r>
      <w:r w:rsidRPr="00925747">
        <w:rPr>
          <w:rFonts w:ascii="SimSun" w:hAnsi="SimSun"/>
          <w:sz w:val="21"/>
        </w:rPr>
        <w:t>国希望表达</w:t>
      </w:r>
      <w:r w:rsidRPr="00925747">
        <w:rPr>
          <w:rFonts w:ascii="SimSun" w:hAnsi="SimSun" w:hint="eastAsia"/>
          <w:sz w:val="21"/>
        </w:rPr>
        <w:t>其</w:t>
      </w:r>
      <w:r w:rsidRPr="00925747">
        <w:rPr>
          <w:rFonts w:ascii="SimSun" w:hAnsi="SimSun"/>
          <w:sz w:val="21"/>
        </w:rPr>
        <w:t>坚定</w:t>
      </w:r>
      <w:r w:rsidR="0001670F" w:rsidRPr="00925747">
        <w:rPr>
          <w:rFonts w:ascii="SimSun" w:hAnsi="SimSun" w:hint="eastAsia"/>
          <w:sz w:val="21"/>
        </w:rPr>
        <w:t>的</w:t>
      </w:r>
      <w:r w:rsidRPr="00925747">
        <w:rPr>
          <w:rFonts w:ascii="SimSun" w:hAnsi="SimSun"/>
          <w:sz w:val="21"/>
        </w:rPr>
        <w:t>观点，即VPI能够满足被重新指定为</w:t>
      </w:r>
      <w:r w:rsidRPr="00925747">
        <w:rPr>
          <w:rFonts w:ascii="SimSun" w:hAnsi="SimSun" w:hint="eastAsia"/>
          <w:sz w:val="21"/>
        </w:rPr>
        <w:t>ISA和IPEA</w:t>
      </w:r>
      <w:r w:rsidRPr="00925747">
        <w:rPr>
          <w:rFonts w:ascii="SimSun" w:hAnsi="SimSun"/>
          <w:sz w:val="21"/>
        </w:rPr>
        <w:t>所适用的所有要求，</w:t>
      </w:r>
      <w:r w:rsidRPr="00925747">
        <w:rPr>
          <w:rFonts w:ascii="SimSun" w:hAnsi="SimSun" w:hint="eastAsia"/>
          <w:sz w:val="21"/>
        </w:rPr>
        <w:t>并</w:t>
      </w:r>
      <w:r w:rsidRPr="00925747">
        <w:rPr>
          <w:rFonts w:ascii="SimSun" w:hAnsi="SimSun"/>
          <w:sz w:val="21"/>
        </w:rPr>
        <w:t>且VPI继续作为国际单位</w:t>
      </w:r>
      <w:r w:rsidRPr="00925747">
        <w:rPr>
          <w:rFonts w:ascii="SimSun" w:hAnsi="SimSun" w:hint="eastAsia"/>
          <w:sz w:val="21"/>
        </w:rPr>
        <w:t>运营</w:t>
      </w:r>
      <w:r w:rsidRPr="00925747">
        <w:rPr>
          <w:rFonts w:ascii="SimSun" w:hAnsi="SimSun"/>
          <w:sz w:val="21"/>
        </w:rPr>
        <w:t>对区域经济增长、竞争力和创新，以及PCT</w:t>
      </w:r>
      <w:r w:rsidRPr="00925747">
        <w:rPr>
          <w:rFonts w:ascii="SimSun" w:hAnsi="SimSun" w:hint="eastAsia"/>
          <w:sz w:val="21"/>
        </w:rPr>
        <w:t>下</w:t>
      </w:r>
      <w:r w:rsidRPr="00925747">
        <w:rPr>
          <w:rFonts w:ascii="SimSun" w:hAnsi="SimSun"/>
          <w:sz w:val="21"/>
        </w:rPr>
        <w:t>建立的全球体系发挥适当作用做出重要贡献。</w:t>
      </w:r>
    </w:p>
    <w:p w:rsidR="00927786" w:rsidRDefault="00927786" w:rsidP="00927786">
      <w:pPr>
        <w:pStyle w:val="ONUME"/>
        <w:tabs>
          <w:tab w:val="clear" w:pos="567"/>
        </w:tabs>
        <w:overflowPunct w:val="0"/>
        <w:spacing w:afterLines="50" w:after="120" w:line="340" w:lineRule="atLeast"/>
        <w:ind w:left="5534"/>
        <w:jc w:val="both"/>
        <w:rPr>
          <w:rFonts w:ascii="KaiTi" w:eastAsia="KaiTi" w:hAnsi="KaiTi"/>
          <w:sz w:val="21"/>
        </w:rPr>
      </w:pPr>
    </w:p>
    <w:p w:rsidR="0046454C" w:rsidRPr="00927786" w:rsidRDefault="00211F9A" w:rsidP="00927786">
      <w:pPr>
        <w:pStyle w:val="ONUME"/>
        <w:tabs>
          <w:tab w:val="clear" w:pos="567"/>
        </w:tabs>
        <w:overflowPunct w:val="0"/>
        <w:spacing w:afterLines="50" w:after="120" w:line="340" w:lineRule="atLeast"/>
        <w:ind w:left="5534"/>
        <w:jc w:val="both"/>
        <w:rPr>
          <w:rFonts w:ascii="KaiTi" w:eastAsia="KaiTi" w:hAnsi="KaiTi"/>
          <w:sz w:val="21"/>
        </w:rPr>
      </w:pPr>
      <w:r w:rsidRPr="00927786">
        <w:rPr>
          <w:rFonts w:ascii="KaiTi" w:eastAsia="KaiTi" w:hAnsi="KaiTi"/>
          <w:sz w:val="21"/>
        </w:rPr>
        <w:t>[附件和文件完]</w:t>
      </w:r>
    </w:p>
    <w:sectPr w:rsidR="0046454C" w:rsidRPr="00927786">
      <w:headerReference w:type="default" r:id="rId15"/>
      <w:headerReference w:type="first" r:id="rId16"/>
      <w:endnotePr>
        <w:numFmt w:val="decimal"/>
      </w:endnotePr>
      <w:pgSz w:w="11907" w:h="16840"/>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34" w:rsidRDefault="00661A34">
      <w:r>
        <w:separator/>
      </w:r>
    </w:p>
  </w:endnote>
  <w:endnote w:type="continuationSeparator" w:id="0">
    <w:p w:rsidR="00661A34" w:rsidRDefault="0066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34" w:rsidRDefault="00661A34">
      <w:r>
        <w:separator/>
      </w:r>
    </w:p>
  </w:footnote>
  <w:footnote w:type="continuationSeparator" w:id="0">
    <w:p w:rsidR="00661A34" w:rsidRDefault="00661A34">
      <w:r>
        <w:continuationSeparator/>
      </w:r>
    </w:p>
  </w:footnote>
  <w:footnote w:id="1">
    <w:p w:rsidR="0046454C" w:rsidRPr="008F4076" w:rsidRDefault="00211F9A" w:rsidP="008F4076">
      <w:pPr>
        <w:pStyle w:val="ad"/>
        <w:jc w:val="both"/>
        <w:rPr>
          <w:rFonts w:ascii="SimSun" w:hAnsi="SimSun"/>
          <w:lang w:val="en-GB"/>
        </w:rPr>
      </w:pPr>
      <w:r w:rsidRPr="008F4076">
        <w:rPr>
          <w:rStyle w:val="af"/>
          <w:rFonts w:ascii="SimSun" w:hAnsi="SimSun"/>
        </w:rPr>
        <w:footnoteRef/>
      </w:r>
      <w:r w:rsidRPr="008F4076">
        <w:rPr>
          <w:rFonts w:ascii="SimSun" w:hAnsi="SimSun"/>
        </w:rPr>
        <w:t xml:space="preserve"> </w:t>
      </w:r>
      <w:r w:rsidR="008F4076">
        <w:rPr>
          <w:rFonts w:ascii="SimSun" w:hAnsi="SimSun" w:hint="eastAsia"/>
        </w:rPr>
        <w:tab/>
      </w:r>
      <w:r w:rsidRPr="008F4076">
        <w:rPr>
          <w:rFonts w:ascii="SimSun" w:hAnsi="SimSun"/>
        </w:rPr>
        <w:t>根据VPI协议第5条，VPI的总部应该设在布达佩斯，其他每个成员国设VPI分支机构。</w:t>
      </w:r>
    </w:p>
  </w:footnote>
  <w:footnote w:id="2">
    <w:p w:rsidR="0046454C" w:rsidRDefault="00211F9A" w:rsidP="008F4076">
      <w:pPr>
        <w:pStyle w:val="ad"/>
        <w:jc w:val="both"/>
        <w:rPr>
          <w:rFonts w:ascii="Calibri" w:hAnsi="Calibri" w:cs="Times New Roman"/>
          <w:lang w:val="hu-HU"/>
        </w:rPr>
      </w:pPr>
      <w:r w:rsidRPr="008F4076">
        <w:rPr>
          <w:rStyle w:val="af"/>
          <w:rFonts w:ascii="SimSun" w:hAnsi="SimSun"/>
        </w:rPr>
        <w:footnoteRef/>
      </w:r>
      <w:r w:rsidRPr="008F4076">
        <w:rPr>
          <w:rFonts w:ascii="SimSun" w:hAnsi="SimSun"/>
        </w:rPr>
        <w:t xml:space="preserve"> </w:t>
      </w:r>
      <w:r w:rsidR="008F4076">
        <w:rPr>
          <w:rFonts w:ascii="SimSun" w:hAnsi="SimSun" w:hint="eastAsia"/>
        </w:rPr>
        <w:tab/>
      </w:r>
      <w:r w:rsidRPr="008F4076">
        <w:rPr>
          <w:rFonts w:ascii="SimSun" w:hAnsi="SimSun"/>
        </w:rPr>
        <w:t>技术领域根据WIPO对照表定义：http：//www.wipo.int/ipstats/en/statistics/technology_concordance.</w:t>
      </w:r>
      <w:r w:rsidR="008F4076" w:rsidRPr="008F4076">
        <w:rPr>
          <w:rFonts w:ascii="SimSun" w:hAnsi="SimSun"/>
        </w:rPr>
        <w:t>‌</w:t>
      </w:r>
      <w:r w:rsidRPr="008F4076">
        <w:rPr>
          <w:rFonts w:ascii="SimSun" w:hAnsi="SimSun"/>
        </w:rPr>
        <w: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4C" w:rsidRPr="00925747" w:rsidRDefault="00211F9A">
    <w:pPr>
      <w:jc w:val="right"/>
      <w:rPr>
        <w:rFonts w:ascii="SimSun" w:hAnsi="SimSun"/>
        <w:sz w:val="21"/>
      </w:rPr>
    </w:pPr>
    <w:bookmarkStart w:id="6" w:name="Code2"/>
    <w:bookmarkEnd w:id="6"/>
    <w:r w:rsidRPr="00925747">
      <w:rPr>
        <w:rFonts w:ascii="SimSun" w:hAnsi="SimSun"/>
        <w:sz w:val="21"/>
      </w:rPr>
      <w:t>PCT/CTC/30/xx</w:t>
    </w:r>
  </w:p>
  <w:p w:rsidR="0046454C" w:rsidRPr="00925747" w:rsidRDefault="00211F9A">
    <w:pPr>
      <w:jc w:val="right"/>
      <w:rPr>
        <w:rFonts w:ascii="SimSun" w:hAnsi="SimSun"/>
        <w:sz w:val="21"/>
      </w:rPr>
    </w:pPr>
    <w:proofErr w:type="gramStart"/>
    <w:r w:rsidRPr="00925747">
      <w:rPr>
        <w:rFonts w:ascii="SimSun" w:hAnsi="SimSun"/>
        <w:sz w:val="21"/>
      </w:rPr>
      <w:t>page</w:t>
    </w:r>
    <w:proofErr w:type="gramEnd"/>
    <w:r w:rsidRPr="00925747">
      <w:rPr>
        <w:rFonts w:ascii="SimSun" w:hAnsi="SimSun"/>
        <w:sz w:val="21"/>
      </w:rPr>
      <w:t xml:space="preserve"> </w:t>
    </w:r>
    <w:r w:rsidRPr="00925747">
      <w:rPr>
        <w:rFonts w:ascii="SimSun" w:hAnsi="SimSun"/>
        <w:sz w:val="21"/>
      </w:rPr>
      <w:fldChar w:fldCharType="begin"/>
    </w:r>
    <w:r w:rsidRPr="00925747">
      <w:rPr>
        <w:rFonts w:ascii="SimSun" w:hAnsi="SimSun"/>
        <w:sz w:val="21"/>
      </w:rPr>
      <w:instrText xml:space="preserve"> PAGE  \* MERGEFORMAT </w:instrText>
    </w:r>
    <w:r w:rsidRPr="00925747">
      <w:rPr>
        <w:rFonts w:ascii="SimSun" w:hAnsi="SimSun"/>
        <w:sz w:val="21"/>
      </w:rPr>
      <w:fldChar w:fldCharType="separate"/>
    </w:r>
    <w:r w:rsidR="00BD14CB" w:rsidRPr="00925747">
      <w:rPr>
        <w:rFonts w:ascii="SimSun" w:hAnsi="SimSun"/>
        <w:noProof/>
        <w:sz w:val="21"/>
      </w:rPr>
      <w:t>9</w:t>
    </w:r>
    <w:r w:rsidRPr="00925747">
      <w:rPr>
        <w:rFonts w:ascii="SimSun" w:hAnsi="SimSun"/>
        <w:sz w:val="21"/>
      </w:rPr>
      <w:fldChar w:fldCharType="end"/>
    </w:r>
  </w:p>
  <w:p w:rsidR="0046454C" w:rsidRPr="00925747" w:rsidRDefault="0046454C">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4C" w:rsidRPr="00925747" w:rsidRDefault="00211F9A">
    <w:pPr>
      <w:jc w:val="right"/>
      <w:rPr>
        <w:rFonts w:ascii="SimSun" w:hAnsi="SimSun"/>
        <w:sz w:val="21"/>
        <w:lang w:val="fr-FR"/>
      </w:rPr>
    </w:pPr>
    <w:r w:rsidRPr="00925747">
      <w:rPr>
        <w:rFonts w:ascii="SimSun" w:hAnsi="SimSun"/>
        <w:sz w:val="21"/>
      </w:rPr>
      <w:t>PCT/CTC/30/24</w:t>
    </w:r>
  </w:p>
  <w:p w:rsidR="0046454C" w:rsidRPr="00925747" w:rsidRDefault="00927786">
    <w:pPr>
      <w:jc w:val="right"/>
      <w:rPr>
        <w:rFonts w:ascii="SimSun" w:hAnsi="SimSun"/>
        <w:sz w:val="21"/>
        <w:lang w:val="fr-FR"/>
      </w:rPr>
    </w:pPr>
    <w:proofErr w:type="gramStart"/>
    <w:r>
      <w:rPr>
        <w:rFonts w:ascii="SimSun" w:hAnsi="SimSun" w:hint="eastAsia"/>
        <w:sz w:val="21"/>
      </w:rPr>
      <w:t>附件第</w:t>
    </w:r>
    <w:proofErr w:type="gramEnd"/>
    <w:r w:rsidR="00211F9A" w:rsidRPr="00925747">
      <w:rPr>
        <w:rFonts w:ascii="SimSun" w:hAnsi="SimSun"/>
        <w:sz w:val="21"/>
      </w:rPr>
      <w:fldChar w:fldCharType="begin"/>
    </w:r>
    <w:r w:rsidR="00211F9A" w:rsidRPr="00925747">
      <w:rPr>
        <w:rFonts w:ascii="SimSun" w:hAnsi="SimSun"/>
        <w:sz w:val="21"/>
        <w:lang w:val="fr-FR"/>
      </w:rPr>
      <w:instrText xml:space="preserve"> PAGE  \* MERGEFORMAT </w:instrText>
    </w:r>
    <w:r w:rsidR="00211F9A" w:rsidRPr="00925747">
      <w:rPr>
        <w:rFonts w:ascii="SimSun" w:hAnsi="SimSun"/>
        <w:sz w:val="21"/>
      </w:rPr>
      <w:fldChar w:fldCharType="separate"/>
    </w:r>
    <w:r w:rsidR="00B759D6">
      <w:rPr>
        <w:rFonts w:ascii="SimSun" w:hAnsi="SimSun"/>
        <w:noProof/>
        <w:sz w:val="21"/>
        <w:lang w:val="fr-FR"/>
      </w:rPr>
      <w:t>9</w:t>
    </w:r>
    <w:r w:rsidR="00211F9A" w:rsidRPr="00925747">
      <w:rPr>
        <w:rFonts w:ascii="SimSun" w:hAnsi="SimSun"/>
        <w:sz w:val="21"/>
      </w:rPr>
      <w:fldChar w:fldCharType="end"/>
    </w:r>
    <w:r>
      <w:rPr>
        <w:rFonts w:ascii="SimSun" w:hAnsi="SimSun" w:hint="eastAsia"/>
        <w:sz w:val="21"/>
      </w:rPr>
      <w:t>页</w:t>
    </w:r>
  </w:p>
  <w:p w:rsidR="0046454C" w:rsidRPr="00925747" w:rsidRDefault="0046454C">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4C" w:rsidRPr="00925747" w:rsidRDefault="00211F9A">
    <w:pPr>
      <w:pStyle w:val="ab"/>
      <w:jc w:val="right"/>
      <w:rPr>
        <w:rFonts w:ascii="SimSun" w:hAnsi="SimSun"/>
        <w:sz w:val="21"/>
      </w:rPr>
    </w:pPr>
    <w:r w:rsidRPr="00925747">
      <w:rPr>
        <w:rFonts w:ascii="SimSun" w:hAnsi="SimSun"/>
        <w:sz w:val="21"/>
      </w:rPr>
      <w:t>PCT/CTC/30/24</w:t>
    </w:r>
  </w:p>
  <w:p w:rsidR="0046454C" w:rsidRDefault="00927786" w:rsidP="00927786">
    <w:pPr>
      <w:pStyle w:val="ab"/>
      <w:jc w:val="right"/>
      <w:rPr>
        <w:rFonts w:ascii="SimSun" w:hAnsi="SimSun"/>
        <w:sz w:val="21"/>
      </w:rPr>
    </w:pPr>
    <w:r>
      <w:rPr>
        <w:rFonts w:ascii="SimSun" w:hAnsi="SimSun" w:hint="eastAsia"/>
        <w:sz w:val="21"/>
      </w:rPr>
      <w:t>附　件</w:t>
    </w:r>
  </w:p>
  <w:p w:rsidR="00927786" w:rsidRPr="00925747" w:rsidRDefault="00927786" w:rsidP="00927786">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6CD29E3"/>
    <w:lvl w:ilvl="0">
      <w:start w:val="1"/>
      <w:numFmt w:val="decimal"/>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nsid w:val="07C949D0"/>
    <w:multiLevelType w:val="hybridMultilevel"/>
    <w:tmpl w:val="A1302F88"/>
    <w:lvl w:ilvl="0" w:tplc="DAE07810">
      <w:start w:val="2"/>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nsid w:val="0DFE736F"/>
    <w:multiLevelType w:val="hybridMultilevel"/>
    <w:tmpl w:val="72B4FF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4">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8D36056"/>
    <w:multiLevelType w:val="multilevel"/>
    <w:tmpl w:val="58D36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670F"/>
    <w:rsid w:val="00043CAA"/>
    <w:rsid w:val="00075432"/>
    <w:rsid w:val="00086BC0"/>
    <w:rsid w:val="000968ED"/>
    <w:rsid w:val="000C49C2"/>
    <w:rsid w:val="000F5E56"/>
    <w:rsid w:val="001362EE"/>
    <w:rsid w:val="00140B06"/>
    <w:rsid w:val="001832A6"/>
    <w:rsid w:val="001900B8"/>
    <w:rsid w:val="001E28FA"/>
    <w:rsid w:val="00205FF8"/>
    <w:rsid w:val="00211F9A"/>
    <w:rsid w:val="0021217E"/>
    <w:rsid w:val="002634C4"/>
    <w:rsid w:val="002928D3"/>
    <w:rsid w:val="002F1FE6"/>
    <w:rsid w:val="002F4E68"/>
    <w:rsid w:val="00312F7F"/>
    <w:rsid w:val="0034220E"/>
    <w:rsid w:val="0035027E"/>
    <w:rsid w:val="00361450"/>
    <w:rsid w:val="003673CF"/>
    <w:rsid w:val="003845C1"/>
    <w:rsid w:val="003922BA"/>
    <w:rsid w:val="003A6F89"/>
    <w:rsid w:val="003B38C1"/>
    <w:rsid w:val="003E4BC9"/>
    <w:rsid w:val="003F68F7"/>
    <w:rsid w:val="00423E3E"/>
    <w:rsid w:val="00427AF4"/>
    <w:rsid w:val="0046454C"/>
    <w:rsid w:val="004647DA"/>
    <w:rsid w:val="00473D7F"/>
    <w:rsid w:val="00474062"/>
    <w:rsid w:val="00477D6B"/>
    <w:rsid w:val="004F74E6"/>
    <w:rsid w:val="00500805"/>
    <w:rsid w:val="005019FF"/>
    <w:rsid w:val="0053057A"/>
    <w:rsid w:val="0055786C"/>
    <w:rsid w:val="00560A29"/>
    <w:rsid w:val="005C3177"/>
    <w:rsid w:val="005C40A3"/>
    <w:rsid w:val="005C6649"/>
    <w:rsid w:val="005F1213"/>
    <w:rsid w:val="00605827"/>
    <w:rsid w:val="00646050"/>
    <w:rsid w:val="00661A34"/>
    <w:rsid w:val="006713CA"/>
    <w:rsid w:val="00676C5C"/>
    <w:rsid w:val="0069470B"/>
    <w:rsid w:val="006F4246"/>
    <w:rsid w:val="007D1613"/>
    <w:rsid w:val="007E4C0E"/>
    <w:rsid w:val="00837953"/>
    <w:rsid w:val="0086281A"/>
    <w:rsid w:val="00865A1C"/>
    <w:rsid w:val="008A00F5"/>
    <w:rsid w:val="008B2CC1"/>
    <w:rsid w:val="008B50A2"/>
    <w:rsid w:val="008B60B2"/>
    <w:rsid w:val="008C5ECC"/>
    <w:rsid w:val="008E3F63"/>
    <w:rsid w:val="008F4076"/>
    <w:rsid w:val="0090731E"/>
    <w:rsid w:val="00916EE2"/>
    <w:rsid w:val="0091759C"/>
    <w:rsid w:val="00925747"/>
    <w:rsid w:val="00927786"/>
    <w:rsid w:val="00966A22"/>
    <w:rsid w:val="0096722F"/>
    <w:rsid w:val="00980843"/>
    <w:rsid w:val="009E2791"/>
    <w:rsid w:val="009E3A3C"/>
    <w:rsid w:val="009E3F6F"/>
    <w:rsid w:val="009F499F"/>
    <w:rsid w:val="00A04C86"/>
    <w:rsid w:val="00A05CF3"/>
    <w:rsid w:val="00A078C2"/>
    <w:rsid w:val="00A42DAF"/>
    <w:rsid w:val="00A45BD8"/>
    <w:rsid w:val="00A75CC5"/>
    <w:rsid w:val="00A823F5"/>
    <w:rsid w:val="00A869B7"/>
    <w:rsid w:val="00A93FC2"/>
    <w:rsid w:val="00AA5F79"/>
    <w:rsid w:val="00AC205C"/>
    <w:rsid w:val="00AD46A1"/>
    <w:rsid w:val="00AF0A6B"/>
    <w:rsid w:val="00B05A69"/>
    <w:rsid w:val="00B37A14"/>
    <w:rsid w:val="00B759D6"/>
    <w:rsid w:val="00B9734B"/>
    <w:rsid w:val="00BA30E2"/>
    <w:rsid w:val="00BA62DE"/>
    <w:rsid w:val="00BD078D"/>
    <w:rsid w:val="00BD14CB"/>
    <w:rsid w:val="00C11BFE"/>
    <w:rsid w:val="00C5068F"/>
    <w:rsid w:val="00C64A97"/>
    <w:rsid w:val="00C650A4"/>
    <w:rsid w:val="00CD04F1"/>
    <w:rsid w:val="00CD0D8F"/>
    <w:rsid w:val="00CF1268"/>
    <w:rsid w:val="00D45252"/>
    <w:rsid w:val="00D71B4D"/>
    <w:rsid w:val="00D93D55"/>
    <w:rsid w:val="00D95826"/>
    <w:rsid w:val="00E15015"/>
    <w:rsid w:val="00E22C57"/>
    <w:rsid w:val="00E23161"/>
    <w:rsid w:val="00E335FE"/>
    <w:rsid w:val="00E53495"/>
    <w:rsid w:val="00E82D0C"/>
    <w:rsid w:val="00EC4E49"/>
    <w:rsid w:val="00ED4DE1"/>
    <w:rsid w:val="00ED77FB"/>
    <w:rsid w:val="00EE45FA"/>
    <w:rsid w:val="00F04591"/>
    <w:rsid w:val="00F65866"/>
    <w:rsid w:val="00F66152"/>
    <w:rsid w:val="00FA4CE0"/>
    <w:rsid w:val="00FD06A7"/>
    <w:rsid w:val="014330C0"/>
    <w:rsid w:val="02073FB6"/>
    <w:rsid w:val="03C65CCA"/>
    <w:rsid w:val="0AE364B5"/>
    <w:rsid w:val="0C12216A"/>
    <w:rsid w:val="0E182462"/>
    <w:rsid w:val="0EC54BC9"/>
    <w:rsid w:val="12E009A0"/>
    <w:rsid w:val="173F5F56"/>
    <w:rsid w:val="178D7050"/>
    <w:rsid w:val="1E0612E6"/>
    <w:rsid w:val="22F479F4"/>
    <w:rsid w:val="24121AD1"/>
    <w:rsid w:val="24E34416"/>
    <w:rsid w:val="272273C3"/>
    <w:rsid w:val="27F0104B"/>
    <w:rsid w:val="281531D2"/>
    <w:rsid w:val="294D2CE3"/>
    <w:rsid w:val="29723BC9"/>
    <w:rsid w:val="2EF73F44"/>
    <w:rsid w:val="305D4A87"/>
    <w:rsid w:val="352470BD"/>
    <w:rsid w:val="3653388C"/>
    <w:rsid w:val="36660ED8"/>
    <w:rsid w:val="36AE72ED"/>
    <w:rsid w:val="382D06EB"/>
    <w:rsid w:val="38BA7106"/>
    <w:rsid w:val="3A953C1A"/>
    <w:rsid w:val="3B4E5446"/>
    <w:rsid w:val="3D4C3477"/>
    <w:rsid w:val="42274092"/>
    <w:rsid w:val="42B41EFE"/>
    <w:rsid w:val="4F615BBE"/>
    <w:rsid w:val="4F685587"/>
    <w:rsid w:val="4FB02B8C"/>
    <w:rsid w:val="55A7790B"/>
    <w:rsid w:val="588106B9"/>
    <w:rsid w:val="598D3355"/>
    <w:rsid w:val="5EA13AFC"/>
    <w:rsid w:val="606650B4"/>
    <w:rsid w:val="6239765E"/>
    <w:rsid w:val="64876279"/>
    <w:rsid w:val="67107E9A"/>
    <w:rsid w:val="68E90460"/>
    <w:rsid w:val="6A8F4219"/>
    <w:rsid w:val="716300BD"/>
    <w:rsid w:val="71937C70"/>
    <w:rsid w:val="720F39BD"/>
    <w:rsid w:val="726B705A"/>
    <w:rsid w:val="74022CB2"/>
    <w:rsid w:val="77421248"/>
    <w:rsid w:val="774C2C5C"/>
    <w:rsid w:val="775744E1"/>
    <w:rsid w:val="7B147B40"/>
    <w:rsid w:val="7B263B6D"/>
    <w:rsid w:val="7E90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lsdException w:name="header" w:semiHidden="1" w:qFormat="1"/>
    <w:lsdException w:name="footer" w:semiHidden="1" w:qFormat="1"/>
    <w:lsdException w:name="caption" w:qFormat="1"/>
    <w:lsdException w:name="footnote reference" w:uiPriority="99" w:unhideWhenUsed="1"/>
    <w:lsdException w:name="endnote text" w:semiHidden="1"/>
    <w:lsdException w:name="List Number" w:semiHidden="1" w:qFormat="1"/>
    <w:lsdException w:name="Title" w:qFormat="1"/>
    <w:lsdException w:name="Signature" w:semiHidden="1"/>
    <w:lsdException w:name="Default Paragraph Font" w:semiHidden="1" w:uiPriority="1" w:unhideWhenUsed="1"/>
    <w:lsdException w:name="Subtitle" w:qFormat="1"/>
    <w:lsdException w:name="Salutation"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semiHidden/>
    <w:qFormat/>
    <w:pPr>
      <w:numPr>
        <w:numId w:val="1"/>
      </w:numPr>
    </w:pPr>
  </w:style>
  <w:style w:type="paragraph" w:styleId="a4">
    <w:name w:val="caption"/>
    <w:basedOn w:val="a0"/>
    <w:next w:val="a0"/>
    <w:qFormat/>
    <w:rPr>
      <w:b/>
      <w:bCs/>
      <w:sz w:val="18"/>
    </w:rPr>
  </w:style>
  <w:style w:type="paragraph" w:styleId="a5">
    <w:name w:val="annotation text"/>
    <w:basedOn w:val="a0"/>
    <w:semiHidden/>
    <w:rPr>
      <w:sz w:val="18"/>
    </w:rPr>
  </w:style>
  <w:style w:type="paragraph" w:styleId="a6">
    <w:name w:val="Salutation"/>
    <w:basedOn w:val="a0"/>
    <w:next w:val="a0"/>
    <w:semiHidden/>
  </w:style>
  <w:style w:type="paragraph" w:styleId="a7">
    <w:name w:val="Body Text"/>
    <w:basedOn w:val="a0"/>
    <w:pPr>
      <w:spacing w:after="220"/>
    </w:pPr>
  </w:style>
  <w:style w:type="paragraph" w:styleId="a8">
    <w:name w:val="endnote text"/>
    <w:basedOn w:val="a0"/>
    <w:semiHidden/>
    <w:rPr>
      <w:sz w:val="18"/>
    </w:rPr>
  </w:style>
  <w:style w:type="paragraph" w:styleId="a9">
    <w:name w:val="Balloon Text"/>
    <w:basedOn w:val="a0"/>
    <w:link w:val="Char"/>
    <w:rPr>
      <w:rFonts w:ascii="Tahoma" w:hAnsi="Tahoma" w:cs="Tahoma"/>
      <w:sz w:val="16"/>
      <w:szCs w:val="16"/>
    </w:rPr>
  </w:style>
  <w:style w:type="paragraph" w:styleId="aa">
    <w:name w:val="footer"/>
    <w:basedOn w:val="a0"/>
    <w:semiHidden/>
    <w:qFormat/>
    <w:pPr>
      <w:tabs>
        <w:tab w:val="center" w:pos="4320"/>
        <w:tab w:val="right" w:pos="8640"/>
      </w:tabs>
    </w:pPr>
  </w:style>
  <w:style w:type="paragraph" w:styleId="ab">
    <w:name w:val="header"/>
    <w:basedOn w:val="a0"/>
    <w:semiHidden/>
    <w:qFormat/>
    <w:pPr>
      <w:tabs>
        <w:tab w:val="center" w:pos="4536"/>
        <w:tab w:val="right" w:pos="9072"/>
      </w:tabs>
    </w:pPr>
  </w:style>
  <w:style w:type="paragraph" w:styleId="ac">
    <w:name w:val="Signature"/>
    <w:basedOn w:val="a0"/>
    <w:semiHidden/>
    <w:pPr>
      <w:ind w:left="5250"/>
    </w:pPr>
  </w:style>
  <w:style w:type="paragraph" w:styleId="ad">
    <w:name w:val="footnote text"/>
    <w:basedOn w:val="a0"/>
    <w:link w:val="Char0"/>
    <w:uiPriority w:val="99"/>
    <w:semiHidden/>
    <w:qFormat/>
    <w:rPr>
      <w:sz w:val="18"/>
    </w:rPr>
  </w:style>
  <w:style w:type="character" w:styleId="ae">
    <w:name w:val="Hyperlink"/>
    <w:basedOn w:val="a1"/>
    <w:rPr>
      <w:color w:val="0000FF" w:themeColor="hyperlink"/>
      <w:u w:val="single"/>
    </w:rPr>
  </w:style>
  <w:style w:type="character" w:styleId="af">
    <w:name w:val="footnote reference"/>
    <w:basedOn w:val="a1"/>
    <w:uiPriority w:val="99"/>
    <w:unhideWhenUsed/>
    <w:rPr>
      <w:rFonts w:ascii="Times New Roman" w:hAnsi="Times New Roman" w:cs="Times New Roman" w:hint="default"/>
      <w:vertAlign w:val="superscript"/>
    </w:rPr>
  </w:style>
  <w:style w:type="paragraph" w:customStyle="1" w:styleId="Endofdocument-Annex">
    <w:name w:val="[End of document - Annex]"/>
    <w:basedOn w:val="a0"/>
    <w:pPr>
      <w:ind w:left="5534"/>
    </w:pPr>
  </w:style>
  <w:style w:type="paragraph" w:customStyle="1" w:styleId="ONUME">
    <w:name w:val="ONUM E"/>
    <w:basedOn w:val="a7"/>
    <w:link w:val="ONUMEChar"/>
    <w:uiPriority w:val="99"/>
    <w:qFormat/>
    <w:pPr>
      <w:tabs>
        <w:tab w:val="left" w:pos="567"/>
      </w:tabs>
    </w:pPr>
  </w:style>
  <w:style w:type="paragraph" w:customStyle="1" w:styleId="ONUMFS">
    <w:name w:val="ONUM FS"/>
    <w:basedOn w:val="a7"/>
    <w:pPr>
      <w:numPr>
        <w:numId w:val="3"/>
      </w:numPr>
    </w:pPr>
  </w:style>
  <w:style w:type="character" w:customStyle="1" w:styleId="Char">
    <w:name w:val="批注框文本 Char"/>
    <w:basedOn w:val="a1"/>
    <w:link w:val="a9"/>
    <w:rPr>
      <w:rFonts w:ascii="Tahoma" w:eastAsia="SimSun" w:hAnsi="Tahoma" w:cs="Tahoma"/>
      <w:sz w:val="16"/>
      <w:szCs w:val="16"/>
      <w:lang w:eastAsia="zh-CN"/>
    </w:rPr>
  </w:style>
  <w:style w:type="character" w:customStyle="1" w:styleId="ONUMEChar">
    <w:name w:val="ONUM E Char"/>
    <w:basedOn w:val="a1"/>
    <w:link w:val="ONUME"/>
    <w:uiPriority w:val="99"/>
    <w:locked/>
    <w:rPr>
      <w:rFonts w:ascii="Arial" w:eastAsia="SimSun" w:hAnsi="Arial" w:cs="Arial"/>
      <w:sz w:val="22"/>
      <w:lang w:eastAsia="zh-CN"/>
    </w:rPr>
  </w:style>
  <w:style w:type="character" w:customStyle="1" w:styleId="Char0">
    <w:name w:val="脚注文本 Char"/>
    <w:basedOn w:val="a1"/>
    <w:link w:val="ad"/>
    <w:uiPriority w:val="99"/>
    <w:semiHidden/>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lsdException w:name="header" w:semiHidden="1" w:qFormat="1"/>
    <w:lsdException w:name="footer" w:semiHidden="1" w:qFormat="1"/>
    <w:lsdException w:name="caption" w:qFormat="1"/>
    <w:lsdException w:name="footnote reference" w:uiPriority="99" w:unhideWhenUsed="1"/>
    <w:lsdException w:name="endnote text" w:semiHidden="1"/>
    <w:lsdException w:name="List Number" w:semiHidden="1" w:qFormat="1"/>
    <w:lsdException w:name="Title" w:qFormat="1"/>
    <w:lsdException w:name="Signature" w:semiHidden="1"/>
    <w:lsdException w:name="Default Paragraph Font" w:semiHidden="1" w:uiPriority="1" w:unhideWhenUsed="1"/>
    <w:lsdException w:name="Subtitle" w:qFormat="1"/>
    <w:lsdException w:name="Salutation"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semiHidden/>
    <w:qFormat/>
    <w:pPr>
      <w:numPr>
        <w:numId w:val="1"/>
      </w:numPr>
    </w:pPr>
  </w:style>
  <w:style w:type="paragraph" w:styleId="a4">
    <w:name w:val="caption"/>
    <w:basedOn w:val="a0"/>
    <w:next w:val="a0"/>
    <w:qFormat/>
    <w:rPr>
      <w:b/>
      <w:bCs/>
      <w:sz w:val="18"/>
    </w:rPr>
  </w:style>
  <w:style w:type="paragraph" w:styleId="a5">
    <w:name w:val="annotation text"/>
    <w:basedOn w:val="a0"/>
    <w:semiHidden/>
    <w:rPr>
      <w:sz w:val="18"/>
    </w:rPr>
  </w:style>
  <w:style w:type="paragraph" w:styleId="a6">
    <w:name w:val="Salutation"/>
    <w:basedOn w:val="a0"/>
    <w:next w:val="a0"/>
    <w:semiHidden/>
  </w:style>
  <w:style w:type="paragraph" w:styleId="a7">
    <w:name w:val="Body Text"/>
    <w:basedOn w:val="a0"/>
    <w:pPr>
      <w:spacing w:after="220"/>
    </w:pPr>
  </w:style>
  <w:style w:type="paragraph" w:styleId="a8">
    <w:name w:val="endnote text"/>
    <w:basedOn w:val="a0"/>
    <w:semiHidden/>
    <w:rPr>
      <w:sz w:val="18"/>
    </w:rPr>
  </w:style>
  <w:style w:type="paragraph" w:styleId="a9">
    <w:name w:val="Balloon Text"/>
    <w:basedOn w:val="a0"/>
    <w:link w:val="Char"/>
    <w:rPr>
      <w:rFonts w:ascii="Tahoma" w:hAnsi="Tahoma" w:cs="Tahoma"/>
      <w:sz w:val="16"/>
      <w:szCs w:val="16"/>
    </w:rPr>
  </w:style>
  <w:style w:type="paragraph" w:styleId="aa">
    <w:name w:val="footer"/>
    <w:basedOn w:val="a0"/>
    <w:semiHidden/>
    <w:qFormat/>
    <w:pPr>
      <w:tabs>
        <w:tab w:val="center" w:pos="4320"/>
        <w:tab w:val="right" w:pos="8640"/>
      </w:tabs>
    </w:pPr>
  </w:style>
  <w:style w:type="paragraph" w:styleId="ab">
    <w:name w:val="header"/>
    <w:basedOn w:val="a0"/>
    <w:semiHidden/>
    <w:qFormat/>
    <w:pPr>
      <w:tabs>
        <w:tab w:val="center" w:pos="4536"/>
        <w:tab w:val="right" w:pos="9072"/>
      </w:tabs>
    </w:pPr>
  </w:style>
  <w:style w:type="paragraph" w:styleId="ac">
    <w:name w:val="Signature"/>
    <w:basedOn w:val="a0"/>
    <w:semiHidden/>
    <w:pPr>
      <w:ind w:left="5250"/>
    </w:pPr>
  </w:style>
  <w:style w:type="paragraph" w:styleId="ad">
    <w:name w:val="footnote text"/>
    <w:basedOn w:val="a0"/>
    <w:link w:val="Char0"/>
    <w:uiPriority w:val="99"/>
    <w:semiHidden/>
    <w:qFormat/>
    <w:rPr>
      <w:sz w:val="18"/>
    </w:rPr>
  </w:style>
  <w:style w:type="character" w:styleId="ae">
    <w:name w:val="Hyperlink"/>
    <w:basedOn w:val="a1"/>
    <w:rPr>
      <w:color w:val="0000FF" w:themeColor="hyperlink"/>
      <w:u w:val="single"/>
    </w:rPr>
  </w:style>
  <w:style w:type="character" w:styleId="af">
    <w:name w:val="footnote reference"/>
    <w:basedOn w:val="a1"/>
    <w:uiPriority w:val="99"/>
    <w:unhideWhenUsed/>
    <w:rPr>
      <w:rFonts w:ascii="Times New Roman" w:hAnsi="Times New Roman" w:cs="Times New Roman" w:hint="default"/>
      <w:vertAlign w:val="superscript"/>
    </w:rPr>
  </w:style>
  <w:style w:type="paragraph" w:customStyle="1" w:styleId="Endofdocument-Annex">
    <w:name w:val="[End of document - Annex]"/>
    <w:basedOn w:val="a0"/>
    <w:pPr>
      <w:ind w:left="5534"/>
    </w:pPr>
  </w:style>
  <w:style w:type="paragraph" w:customStyle="1" w:styleId="ONUME">
    <w:name w:val="ONUM E"/>
    <w:basedOn w:val="a7"/>
    <w:link w:val="ONUMEChar"/>
    <w:uiPriority w:val="99"/>
    <w:qFormat/>
    <w:pPr>
      <w:tabs>
        <w:tab w:val="left" w:pos="567"/>
      </w:tabs>
    </w:pPr>
  </w:style>
  <w:style w:type="paragraph" w:customStyle="1" w:styleId="ONUMFS">
    <w:name w:val="ONUM FS"/>
    <w:basedOn w:val="a7"/>
    <w:pPr>
      <w:numPr>
        <w:numId w:val="3"/>
      </w:numPr>
    </w:pPr>
  </w:style>
  <w:style w:type="character" w:customStyle="1" w:styleId="Char">
    <w:name w:val="批注框文本 Char"/>
    <w:basedOn w:val="a1"/>
    <w:link w:val="a9"/>
    <w:rPr>
      <w:rFonts w:ascii="Tahoma" w:eastAsia="SimSun" w:hAnsi="Tahoma" w:cs="Tahoma"/>
      <w:sz w:val="16"/>
      <w:szCs w:val="16"/>
      <w:lang w:eastAsia="zh-CN"/>
    </w:rPr>
  </w:style>
  <w:style w:type="character" w:customStyle="1" w:styleId="ONUMEChar">
    <w:name w:val="ONUM E Char"/>
    <w:basedOn w:val="a1"/>
    <w:link w:val="ONUME"/>
    <w:uiPriority w:val="99"/>
    <w:locked/>
    <w:rPr>
      <w:rFonts w:ascii="Arial" w:eastAsia="SimSun" w:hAnsi="Arial" w:cs="Arial"/>
      <w:sz w:val="22"/>
      <w:lang w:eastAsia="zh-CN"/>
    </w:rPr>
  </w:style>
  <w:style w:type="character" w:customStyle="1" w:styleId="Char0">
    <w:name w:val="脚注文本 Char"/>
    <w:basedOn w:val="a1"/>
    <w:link w:val="ad"/>
    <w:uiPriority w:val="99"/>
    <w:semiHidden/>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po.int/export/sites/www/pct/en/quality/2015/2015_xv.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po.int/export/sites/www/pct/en/quality/2016/2016_x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74292-AEC1-441C-822F-22DC7B1E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133</TotalTime>
  <Pages>10</Pages>
  <Words>9287</Words>
  <Characters>1534</Characters>
  <Application>Microsoft Office Word</Application>
  <DocSecurity>0</DocSecurity>
  <Lines>49</Lines>
  <Paragraphs>133</Paragraphs>
  <ScaleCrop>false</ScaleCrop>
  <Company>WIPO</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PCT/CTC/30/24</dc:title>
  <dc:subject>延长对维谢格拉德专利局作为PCT国际检索和初步审查单位的指定</dc:subject>
  <dc:creator/>
  <cp:lastModifiedBy>MA Weihai</cp:lastModifiedBy>
  <cp:revision>40</cp:revision>
  <cp:lastPrinted>2017-04-03T08:03:00Z</cp:lastPrinted>
  <dcterms:created xsi:type="dcterms:W3CDTF">2017-03-10T14:44:00Z</dcterms:created>
  <dcterms:modified xsi:type="dcterms:W3CDTF">2017-04-03T15:28:00Z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