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18CC" w:rsidP="00916EE2">
            <w:r>
              <w:rPr>
                <w:noProof/>
                <w:lang w:val="en-US" w:eastAsia="en-US" w:bidi="ar-SA"/>
              </w:rPr>
              <w:drawing>
                <wp:inline distT="0" distB="0" distL="0" distR="0" wp14:anchorId="18DE5B9C" wp14:editId="68E70395">
                  <wp:extent cx="1832977" cy="1365738"/>
                  <wp:effectExtent l="0" t="0" r="0" b="635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038" cy="136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A2A0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20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47F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5 мая 2015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60AB0" w:rsidRPr="00660AB0" w:rsidRDefault="00660AB0" w:rsidP="00660AB0">
      <w:pPr>
        <w:rPr>
          <w:b/>
          <w:sz w:val="28"/>
        </w:rPr>
      </w:pPr>
      <w:r w:rsidRPr="00660AB0">
        <w:rPr>
          <w:b/>
          <w:sz w:val="28"/>
        </w:rPr>
        <w:t>Рабочая группа по</w:t>
      </w:r>
    </w:p>
    <w:p w:rsidR="008B2CC1" w:rsidRPr="003845C1" w:rsidRDefault="00660AB0" w:rsidP="00660AB0">
      <w:pPr>
        <w:rPr>
          <w:b/>
          <w:sz w:val="28"/>
          <w:szCs w:val="28"/>
        </w:rPr>
      </w:pPr>
      <w:r w:rsidRPr="00660AB0">
        <w:rPr>
          <w:b/>
          <w:sz w:val="28"/>
        </w:rPr>
        <w:t>Договору о патентной кооперации (РСТ)</w:t>
      </w:r>
    </w:p>
    <w:p w:rsidR="003845C1" w:rsidRDefault="003845C1" w:rsidP="003845C1"/>
    <w:p w:rsidR="003845C1" w:rsidRDefault="003845C1" w:rsidP="003845C1"/>
    <w:p w:rsidR="008B2CC1" w:rsidRPr="003845C1" w:rsidRDefault="00424263" w:rsidP="008B2CC1">
      <w:pPr>
        <w:rPr>
          <w:b/>
          <w:sz w:val="24"/>
          <w:szCs w:val="24"/>
        </w:rPr>
      </w:pPr>
      <w:r>
        <w:rPr>
          <w:b/>
          <w:sz w:val="24"/>
        </w:rPr>
        <w:t>Восьмая сессия</w:t>
      </w:r>
    </w:p>
    <w:p w:rsidR="008B2CC1" w:rsidRPr="003845C1" w:rsidRDefault="00424263" w:rsidP="008B2CC1">
      <w:pPr>
        <w:rPr>
          <w:b/>
          <w:sz w:val="24"/>
          <w:szCs w:val="24"/>
        </w:rPr>
      </w:pPr>
      <w:r>
        <w:rPr>
          <w:b/>
          <w:sz w:val="24"/>
        </w:rPr>
        <w:t>Женева, 26–29 мая 2015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363A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Онлайновые услуги PCT</w:t>
      </w:r>
    </w:p>
    <w:p w:rsidR="008B2CC1" w:rsidRPr="008B2CC1" w:rsidRDefault="008B2CC1" w:rsidP="008B2CC1"/>
    <w:p w:rsidR="008B2CC1" w:rsidRPr="008B2CC1" w:rsidRDefault="008363AA" w:rsidP="008B2CC1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0D0199" w:rsidP="000D0199">
      <w:pPr>
        <w:pStyle w:val="Heading1"/>
      </w:pPr>
      <w:r>
        <w:t>Резюме</w:t>
      </w:r>
    </w:p>
    <w:p w:rsidR="00C97079" w:rsidRDefault="00C97079" w:rsidP="00F15E8D">
      <w:pPr>
        <w:pStyle w:val="ONUME"/>
      </w:pPr>
      <w:r>
        <w:t xml:space="preserve">16 апреля 2015 г. завершился пилотный этап внедрения системы ePCT, в течение которого интерфейс системы был представлен только на английском языке; по завершении этого этапа была </w:t>
      </w:r>
      <w:r w:rsidR="00660AB0">
        <w:t>внедрена</w:t>
      </w:r>
      <w:r>
        <w:t xml:space="preserve"> многоязыковая версия ePCT, в которой интерфейс и боль</w:t>
      </w:r>
      <w:r w:rsidR="007841A2">
        <w:t>шинство технических функций</w:t>
      </w:r>
      <w:r>
        <w:t xml:space="preserve"> представлены на всех 10 языках публикации.   В настоящее время ePCT дает возможность</w:t>
      </w:r>
      <w:r w:rsidR="007841A2">
        <w:t xml:space="preserve"> онлайновой подачи заявок в 16 п</w:t>
      </w:r>
      <w:r>
        <w:t xml:space="preserve">олучающих ведомств (и еще в несколько </w:t>
      </w:r>
      <w:r w:rsidR="007841A2">
        <w:t xml:space="preserve">ведомств </w:t>
      </w:r>
      <w:r>
        <w:t xml:space="preserve">на разных стадиях тестирования) и </w:t>
      </w:r>
      <w:r w:rsidR="007841A2">
        <w:t>поддерживает растущее число функций ведомств, особенно п</w:t>
      </w:r>
      <w:r>
        <w:t>олучающих ведомств.</w:t>
      </w:r>
    </w:p>
    <w:p w:rsidR="00C97079" w:rsidRDefault="00B01101" w:rsidP="00E00ECB">
      <w:pPr>
        <w:pStyle w:val="ONUME"/>
      </w:pPr>
      <w:r>
        <w:t xml:space="preserve">Система ePCT и развитие других электронных сервисов, </w:t>
      </w:r>
      <w:r w:rsidR="007841A2">
        <w:t>хостинг которых обеспечивает Международное бюро, дае</w:t>
      </w:r>
      <w:r>
        <w:t xml:space="preserve">т возможность </w:t>
      </w:r>
      <w:r w:rsidR="007841A2">
        <w:t>значительно повысить</w:t>
      </w:r>
      <w:r>
        <w:t xml:space="preserve"> эффективност</w:t>
      </w:r>
      <w:r w:rsidR="007841A2">
        <w:t>ь</w:t>
      </w:r>
      <w:r>
        <w:t xml:space="preserve"> услуг, оказываемых </w:t>
      </w:r>
      <w:r w:rsidR="007841A2">
        <w:t xml:space="preserve">в рамках PCT </w:t>
      </w:r>
      <w:r>
        <w:t>заявителям из разны</w:t>
      </w:r>
      <w:r w:rsidR="007841A2">
        <w:t xml:space="preserve">х Договаривающихся государств.  </w:t>
      </w:r>
      <w:r>
        <w:t xml:space="preserve">Это требует более </w:t>
      </w:r>
      <w:r w:rsidR="007841A2">
        <w:t>активного участия национальных в</w:t>
      </w:r>
      <w:r>
        <w:t>едомств, но необязательно более значительн</w:t>
      </w:r>
      <w:r w:rsidR="007841A2">
        <w:t>ых затрат; напротив, во многих в</w:t>
      </w:r>
      <w:r>
        <w:t xml:space="preserve">едомствах есть </w:t>
      </w:r>
      <w:r w:rsidR="007841A2">
        <w:t xml:space="preserve">возможности для сокращения расходов благодаря уменьшению длительности </w:t>
      </w:r>
      <w:r>
        <w:t xml:space="preserve">обработки, </w:t>
      </w:r>
      <w:r w:rsidR="007841A2">
        <w:t xml:space="preserve">снижению </w:t>
      </w:r>
      <w:r>
        <w:t xml:space="preserve">затрат на почтовые отправления и </w:t>
      </w:r>
      <w:r w:rsidR="007841A2">
        <w:t xml:space="preserve">объема </w:t>
      </w:r>
      <w:r>
        <w:t>использован</w:t>
      </w:r>
      <w:r w:rsidR="007841A2">
        <w:t>ия поддержки со стороны местной ИТ-</w:t>
      </w:r>
      <w:r>
        <w:t>системы.</w:t>
      </w:r>
    </w:p>
    <w:p w:rsidR="00FD3881" w:rsidRDefault="000D448C">
      <w:pPr>
        <w:pStyle w:val="ONUME"/>
      </w:pPr>
      <w:r>
        <w:t>В качестве приоритетных на период 2015–2016 гг. Международное бюро рассматривает несколько областей р</w:t>
      </w:r>
      <w:r w:rsidR="007841A2">
        <w:t>аботы, требующих также участия п</w:t>
      </w:r>
      <w:r>
        <w:t>олучающих ведомств и международных органов, включая</w:t>
      </w:r>
      <w:r w:rsidR="007841A2">
        <w:t xml:space="preserve"> следующие области</w:t>
      </w:r>
      <w:r>
        <w:t>:</w:t>
      </w:r>
    </w:p>
    <w:p w:rsidR="00B01101" w:rsidRDefault="007841A2" w:rsidP="00B01101">
      <w:pPr>
        <w:pStyle w:val="ONUME"/>
        <w:numPr>
          <w:ilvl w:val="1"/>
          <w:numId w:val="5"/>
        </w:numPr>
      </w:pPr>
      <w:r>
        <w:lastRenderedPageBreak/>
        <w:t>увеличение числа п</w:t>
      </w:r>
      <w:r w:rsidR="00E00ECB">
        <w:t>олучающих ведомств, которые способны получать международные заявки, подготовленные и поданные через ePCT;</w:t>
      </w:r>
    </w:p>
    <w:p w:rsidR="00E00ECB" w:rsidRDefault="007841A2" w:rsidP="00E00ECB">
      <w:pPr>
        <w:pStyle w:val="ONUME"/>
        <w:numPr>
          <w:ilvl w:val="1"/>
          <w:numId w:val="5"/>
        </w:numPr>
      </w:pPr>
      <w:r>
        <w:t>обеспечение принятия п</w:t>
      </w:r>
      <w:r w:rsidR="00E00ECB">
        <w:t>олучающими ведомс</w:t>
      </w:r>
      <w:r w:rsidR="00572CD7">
        <w:t>твами и международными органами</w:t>
      </w:r>
      <w:r w:rsidR="00E00ECB">
        <w:t xml:space="preserve"> </w:t>
      </w:r>
      <w:r w:rsidR="00572CD7">
        <w:t xml:space="preserve">представляемых после подачи заявки </w:t>
      </w:r>
      <w:r w:rsidR="00E00ECB">
        <w:t>документов, которые загружаются заявителем через ePCT;</w:t>
      </w:r>
    </w:p>
    <w:p w:rsidR="00E00ECB" w:rsidRDefault="007841A2" w:rsidP="00E00ECB">
      <w:pPr>
        <w:pStyle w:val="ONUME"/>
        <w:numPr>
          <w:ilvl w:val="1"/>
          <w:numId w:val="5"/>
        </w:numPr>
      </w:pPr>
      <w:r>
        <w:t>обеспечение предоставления п</w:t>
      </w:r>
      <w:r w:rsidR="00E00ECB">
        <w:t>олучающими ведомст</w:t>
      </w:r>
      <w:r w:rsidR="00572CD7">
        <w:t xml:space="preserve">вами и международными органами </w:t>
      </w:r>
      <w:r w:rsidR="00E00ECB">
        <w:t>дополнительных документов Международному бюро с целью предоставления к ним доступа заявителям через ePCT;</w:t>
      </w:r>
    </w:p>
    <w:p w:rsidR="00FD3881" w:rsidRDefault="00E00ECB" w:rsidP="00E00ECB">
      <w:pPr>
        <w:pStyle w:val="ONUME"/>
        <w:numPr>
          <w:ilvl w:val="1"/>
          <w:numId w:val="5"/>
        </w:numPr>
      </w:pPr>
      <w:r>
        <w:t>обеспечение возможности получения международными орган</w:t>
      </w:r>
      <w:r w:rsidR="007841A2">
        <w:t>ами копий для поиска от других в</w:t>
      </w:r>
      <w:r>
        <w:t>е</w:t>
      </w:r>
      <w:r w:rsidR="007841A2">
        <w:t>домств, выступающих в качестве п</w:t>
      </w:r>
      <w:r>
        <w:t>олучающих ведомств, через электронные системы Международного бюро с использованием eSearchCopy;</w:t>
      </w:r>
    </w:p>
    <w:p w:rsidR="00F1524A" w:rsidRDefault="00FD3881" w:rsidP="00FD3881">
      <w:pPr>
        <w:pStyle w:val="ONUME"/>
        <w:numPr>
          <w:ilvl w:val="1"/>
          <w:numId w:val="5"/>
        </w:numPr>
      </w:pPr>
      <w:r>
        <w:t>проведение работы в на</w:t>
      </w:r>
      <w:r w:rsidR="00572CD7">
        <w:t>правлении обмена данными</w:t>
      </w:r>
      <w:r>
        <w:t xml:space="preserve">, которые могут быть использованы сразу, а не формами на основе изображений, что особенно актуально для отчетов о международном поиске и важной информации о статусе документа, такой как информация о получении копии для поиска; </w:t>
      </w:r>
      <w:r w:rsidR="00572CD7">
        <w:t>и</w:t>
      </w:r>
    </w:p>
    <w:p w:rsidR="00FD3881" w:rsidRDefault="00572CD7" w:rsidP="00F1524A">
      <w:pPr>
        <w:pStyle w:val="ONUME"/>
        <w:numPr>
          <w:ilvl w:val="1"/>
          <w:numId w:val="5"/>
        </w:numPr>
      </w:pPr>
      <w:r>
        <w:t xml:space="preserve">выявление возможностей для </w:t>
      </w:r>
      <w:r w:rsidR="00F1524A">
        <w:t>повышени</w:t>
      </w:r>
      <w:r>
        <w:t>я</w:t>
      </w:r>
      <w:r w:rsidR="00F1524A">
        <w:t xml:space="preserve"> эффективности или полезности системы PCT в целом путем обеспечения взаимодействия практически в режиме реального времени между </w:t>
      </w:r>
      <w:r w:rsidR="007841A2">
        <w:t>в</w:t>
      </w:r>
      <w:r w:rsidR="00F1524A">
        <w:t>едо</w:t>
      </w:r>
      <w:r w:rsidR="007841A2">
        <w:t>мствами или межу заявителями и в</w:t>
      </w:r>
      <w:r w:rsidR="00F1524A">
        <w:t>едомствами с помощью использования веб-сервисов.</w:t>
      </w:r>
    </w:p>
    <w:p w:rsidR="00FD3881" w:rsidRDefault="00FD3881" w:rsidP="00FD3881">
      <w:pPr>
        <w:pStyle w:val="Heading1"/>
      </w:pPr>
      <w:r>
        <w:t>Общие положения</w:t>
      </w:r>
    </w:p>
    <w:p w:rsidR="00FD3881" w:rsidRDefault="00FD3881" w:rsidP="00FD3881">
      <w:pPr>
        <w:pStyle w:val="ONUME"/>
      </w:pPr>
      <w:r>
        <w:t xml:space="preserve">В течение многих лет Международное бюро </w:t>
      </w:r>
      <w:r w:rsidR="006A7937">
        <w:t>поддерживает</w:t>
      </w:r>
      <w:r>
        <w:t xml:space="preserve"> работ</w:t>
      </w:r>
      <w:r w:rsidR="006A7937">
        <w:t>у</w:t>
      </w:r>
      <w:r>
        <w:t xml:space="preserve"> множества электронных сервисов, которые способствуют реализации его со</w:t>
      </w:r>
      <w:r w:rsidR="007841A2">
        <w:t>бственных задач, а также задач п</w:t>
      </w:r>
      <w:r w:rsidR="00AB1199">
        <w:t>олучающих ведомств, м</w:t>
      </w:r>
      <w:r>
        <w:t xml:space="preserve">еждународных поисковых органов и </w:t>
      </w:r>
      <w:r w:rsidR="00AB1199">
        <w:t>о</w:t>
      </w:r>
      <w:r>
        <w:t>рганов международн</w:t>
      </w:r>
      <w:r w:rsidR="00AB1199">
        <w:t>ой предварительной экспертизы («</w:t>
      </w:r>
      <w:r>
        <w:t>международные органы</w:t>
      </w:r>
      <w:r w:rsidR="00AB1199">
        <w:t>»</w:t>
      </w:r>
      <w:r>
        <w:t>)</w:t>
      </w:r>
      <w:r w:rsidR="006A7937">
        <w:t>, а также</w:t>
      </w:r>
      <w:r>
        <w:t xml:space="preserve"> у</w:t>
      </w:r>
      <w:r w:rsidR="00AB1199">
        <w:t>казанных и выбранных ведомств («указанные ведомства»</w:t>
      </w:r>
      <w:r>
        <w:t>).  В целом эти сервисы оказались очень успешными: примерно 92 процента международных заявок, поданных за последние шесть месяцев, были получены полностью в электронном формате,</w:t>
      </w:r>
      <w:r w:rsidR="006A7937">
        <w:t xml:space="preserve"> и</w:t>
      </w:r>
      <w:r>
        <w:t xml:space="preserve"> подавляющее большинство документов, которыми обменивались Международное бюро и национальные </w:t>
      </w:r>
      <w:r w:rsidR="00572CD7">
        <w:t>в</w:t>
      </w:r>
      <w:r>
        <w:t xml:space="preserve">едомства, выступающие в различных качествах в рамках PCT, передавались в электронном формате.  Это позволило значительно повысить эффективность </w:t>
      </w:r>
      <w:r w:rsidR="006A7937">
        <w:t xml:space="preserve">работы </w:t>
      </w:r>
      <w:r>
        <w:t xml:space="preserve">благодаря снижению почтовых затрат, сокращению задержек при доставке почтой, а также быстрому и точному распределению работы </w:t>
      </w:r>
      <w:r w:rsidR="006A7937">
        <w:t>с учетом  материалов</w:t>
      </w:r>
      <w:r>
        <w:t xml:space="preserve"> соответствующей международной заявки и назначению </w:t>
      </w:r>
      <w:r w:rsidR="006A7937">
        <w:t>необходимого</w:t>
      </w:r>
      <w:r>
        <w:t xml:space="preserve"> персонала для рассмотрения документов конкретного типа.</w:t>
      </w:r>
    </w:p>
    <w:p w:rsidR="00EE23C0" w:rsidRPr="00EE23C0" w:rsidRDefault="00FD3881">
      <w:pPr>
        <w:pStyle w:val="ONUME"/>
      </w:pPr>
      <w:r>
        <w:t>Однако со временем меняются ожидания пользователей, труд</w:t>
      </w:r>
      <w:r w:rsidR="00572CD7">
        <w:t>ности, с которыми сталкиваются в</w:t>
      </w:r>
      <w:r>
        <w:t>едомства, а также технические возможности.  Постоянно растет желание повысить качество информации, связанной с международными заявками, как со стороны заявителей, которые хотя</w:t>
      </w:r>
      <w:r w:rsidR="006A7937">
        <w:t>т</w:t>
      </w:r>
      <w:r>
        <w:t xml:space="preserve"> эффективно управлять своими заявками, так и со стороны третьих сторон, которые хотели бы отслеживать процесс развития технологий и деятельность своих конкурентов.  Постоянно растет разнообразие международных заявок: как с точки зрения их географического происхождения, так и с точки зрения языков, которые используются для подачи заявок, поиска и публикации.  Несколько международных органов получают знач</w:t>
      </w:r>
      <w:r w:rsidR="00572CD7">
        <w:t>ительную часть своей работы от п</w:t>
      </w:r>
      <w:r>
        <w:t>олучающих ведомств, расположенных в самых разных географ</w:t>
      </w:r>
      <w:r w:rsidR="00572CD7">
        <w:t>ических регионах мира.  Разные в</w:t>
      </w:r>
      <w:r>
        <w:t>едомства внедряли электронные сервисы в разные моменты времени в зависимости от того, какие технологии были доступны; поддержание работоспособности нескольких</w:t>
      </w:r>
      <w:r w:rsidR="00EE23C0" w:rsidRPr="00EE23C0">
        <w:t xml:space="preserve"> </w:t>
      </w:r>
    </w:p>
    <w:p w:rsidR="00FD3881" w:rsidRDefault="00FD3881" w:rsidP="00EE23C0">
      <w:pPr>
        <w:pStyle w:val="ONUME"/>
        <w:numPr>
          <w:ilvl w:val="0"/>
          <w:numId w:val="0"/>
        </w:numPr>
      </w:pPr>
      <w:r>
        <w:t xml:space="preserve">систем одновременно — это все более сложная задача, которая отвлекает от разработки </w:t>
      </w:r>
      <w:r>
        <w:lastRenderedPageBreak/>
        <w:t xml:space="preserve">новых сервисов, необходимых для удовлетворения </w:t>
      </w:r>
      <w:r w:rsidR="006A7937">
        <w:t>потребностей</w:t>
      </w:r>
      <w:r>
        <w:t xml:space="preserve"> более эффективным образом.</w:t>
      </w:r>
    </w:p>
    <w:p w:rsidR="002450C0" w:rsidRDefault="00FD3881" w:rsidP="00FD3881">
      <w:pPr>
        <w:pStyle w:val="ONUME"/>
      </w:pPr>
      <w:r>
        <w:t xml:space="preserve">Международное бюро стремится </w:t>
      </w:r>
      <w:r w:rsidR="006A7937">
        <w:t>совершенствовать свои онлайновые</w:t>
      </w:r>
      <w:r>
        <w:t xml:space="preserve"> сервисы, а также консолидировать их и способствовать внедрению новых технол</w:t>
      </w:r>
      <w:r w:rsidR="006A7937">
        <w:t>огий в национальных в</w:t>
      </w:r>
      <w:r>
        <w:t xml:space="preserve">едомствах, что позволит </w:t>
      </w:r>
      <w:r w:rsidR="006A7937">
        <w:t xml:space="preserve">им </w:t>
      </w:r>
      <w:r>
        <w:t>сотрудничать более эффективно и сделает систему PCT более полезной</w:t>
      </w:r>
      <w:r w:rsidR="006A7937">
        <w:t xml:space="preserve"> как для заявителей, так и для в</w:t>
      </w:r>
      <w:r>
        <w:t>едомств и третьих сторон.</w:t>
      </w:r>
    </w:p>
    <w:p w:rsidR="002450C0" w:rsidRDefault="00FD3881">
      <w:pPr>
        <w:pStyle w:val="ONUME"/>
      </w:pPr>
      <w:r>
        <w:t xml:space="preserve">Был принят ряд важных мер, таких как решение прекратить </w:t>
      </w:r>
      <w:r w:rsidR="006A7937">
        <w:t>функционирование</w:t>
      </w:r>
      <w:r>
        <w:t xml:space="preserve"> механизма подачи заявок PCT-EASY с июля 2015 г. и сосредоточиться на расширении доступности и использования системы электронной подачи заявок во всех получающих ведомствах.  Международное бюро продолжает развивать сервисы, которые работают напрямую.  Однако наиболее важные дальнейшие улучшения систем</w:t>
      </w:r>
      <w:r w:rsidR="006A7937">
        <w:t>ы требуют участия национальных в</w:t>
      </w:r>
      <w:r>
        <w:t xml:space="preserve">едомств: либо через непосредственное использование браузерных сервисов, либо путем оптимизации </w:t>
      </w:r>
      <w:r w:rsidR="006A7937">
        <w:t>своих</w:t>
      </w:r>
      <w:r>
        <w:t xml:space="preserve"> местных </w:t>
      </w:r>
      <w:r w:rsidR="006A7937">
        <w:t xml:space="preserve">ИТ-систем в целях обеспечения </w:t>
      </w:r>
      <w:r>
        <w:t>возможност</w:t>
      </w:r>
      <w:r w:rsidR="006A7937">
        <w:t>и</w:t>
      </w:r>
      <w:r>
        <w:t xml:space="preserve"> использования новых се</w:t>
      </w:r>
      <w:r w:rsidR="006A7937">
        <w:t>рвисов как в интересах самих в</w:t>
      </w:r>
      <w:r>
        <w:t>едомств, так и в интересах заявителей, которые используют их в качестве получающих ведомств или международных органов.</w:t>
      </w:r>
    </w:p>
    <w:p w:rsidR="004E5A30" w:rsidRDefault="004E5A30" w:rsidP="004E5A30">
      <w:pPr>
        <w:pStyle w:val="Heading1"/>
      </w:pPr>
      <w:r>
        <w:t>Статус сервисов</w:t>
      </w:r>
    </w:p>
    <w:p w:rsidR="00E00ECB" w:rsidRDefault="006A7937" w:rsidP="00CF6CA7">
      <w:pPr>
        <w:pStyle w:val="Heading2"/>
      </w:pPr>
      <w:r w:rsidRPr="006A7937">
        <w:rPr>
          <w:caps w:val="0"/>
          <w:lang w:val="en-US"/>
        </w:rPr>
        <w:t>e</w:t>
      </w:r>
      <w:r w:rsidRPr="006A7937">
        <w:rPr>
          <w:lang w:val="en-US"/>
        </w:rPr>
        <w:t>PCT</w:t>
      </w:r>
    </w:p>
    <w:p w:rsidR="00096AF0" w:rsidRDefault="00096AF0" w:rsidP="00270E5E">
      <w:pPr>
        <w:pStyle w:val="ONUME"/>
      </w:pPr>
      <w:r>
        <w:t xml:space="preserve">Система ePCT позволяет заявителям и ведомствам пользоваться целым комплексом сервисов </w:t>
      </w:r>
      <w:r w:rsidR="00A06931">
        <w:t>через</w:t>
      </w:r>
      <w:r>
        <w:t xml:space="preserve"> браузерн</w:t>
      </w:r>
      <w:r w:rsidR="00A06931">
        <w:t>ый</w:t>
      </w:r>
      <w:r>
        <w:t xml:space="preserve"> интерфейс.  С 16 апреля 2015 г. этот интерфейс доступен на всех 10 языках пуб</w:t>
      </w:r>
      <w:r w:rsidR="00A06931">
        <w:t>ликации, что обеспечивает заявителям и в</w:t>
      </w:r>
      <w:r>
        <w:t>едомствам по всему миру простой доступ к таким функциям, как подача заявок PCT на международной фазе, их отслеживание и сопровождение.</w:t>
      </w:r>
    </w:p>
    <w:p w:rsidR="00270E5E" w:rsidRDefault="00270E5E">
      <w:pPr>
        <w:pStyle w:val="ONUME"/>
      </w:pPr>
      <w:r>
        <w:t>На момент подготовки этого документа система подачи заявок через ePCT давала возможность подготовки и подачи международных заявок в 16 получающих ведомств, а некоторые другие ведомства находились на различных этапах тестировани</w:t>
      </w:r>
      <w:r w:rsidR="00A06931">
        <w:t>я системы.  Для десяти из этих в</w:t>
      </w:r>
      <w:r>
        <w:t>едомств хостинг серверов электронной подачи осуществляет Международное бюро, что позволяет им обеспечивать процедуру подачи полностью в режиме онлайн напрямую через ePCT, тогда как ранее они давали возможность подачи заявок только на физических носителях, с помощью загрузки вручную пакета документов и с помощью повторной загрузки на от</w:t>
      </w:r>
      <w:r w:rsidR="00A06931">
        <w:t>дельный сервер или иным образом на бумаге</w:t>
      </w:r>
      <w:r>
        <w:t xml:space="preserve"> либо только на бумаге и на дискете PCT</w:t>
      </w:r>
      <w:r>
        <w:noBreakHyphen/>
        <w:t>EASY.  Пятьдес</w:t>
      </w:r>
      <w:r w:rsidR="00A06931">
        <w:t>ят национальных и региональных в</w:t>
      </w:r>
      <w:r>
        <w:t>едомств, выступающих в качестве получающих ведомств, международных органов или указанных ведомств, получили доступ к ePCT и используют эту систему в основном как инструмент обработки, инструмент поддержки или просто для оценки ее возможностей.</w:t>
      </w:r>
    </w:p>
    <w:p w:rsidR="00FD3881" w:rsidRDefault="00A06931" w:rsidP="00CF6CA7">
      <w:pPr>
        <w:pStyle w:val="Heading2"/>
      </w:pPr>
      <w:r>
        <w:rPr>
          <w:caps w:val="0"/>
        </w:rPr>
        <w:t>e</w:t>
      </w:r>
      <w:r w:rsidR="00FD3881">
        <w:t>SearchCopy</w:t>
      </w:r>
    </w:p>
    <w:p w:rsidR="00FD3881" w:rsidRDefault="00FD3881" w:rsidP="00FD3881">
      <w:pPr>
        <w:pStyle w:val="ONUME"/>
      </w:pPr>
      <w:r>
        <w:t>Сервис eSearchCopy в настоящее время действует для небольшого количества пар</w:t>
      </w:r>
      <w:r w:rsidR="00A06931">
        <w:t>, состоящих из получающего</w:t>
      </w:r>
      <w:r>
        <w:t xml:space="preserve"> ведомств</w:t>
      </w:r>
      <w:r w:rsidR="00A06931">
        <w:t>а и международного органа</w:t>
      </w:r>
      <w:r>
        <w:t>, а именно:</w:t>
      </w:r>
    </w:p>
    <w:p w:rsidR="00FD3881" w:rsidRPr="00C4205A" w:rsidRDefault="00A06931" w:rsidP="00E41F61">
      <w:pPr>
        <w:pStyle w:val="ONUME"/>
        <w:numPr>
          <w:ilvl w:val="0"/>
          <w:numId w:val="0"/>
        </w:numPr>
        <w:tabs>
          <w:tab w:val="left" w:pos="3969"/>
        </w:tabs>
        <w:ind w:left="567"/>
      </w:pPr>
      <w:r>
        <w:t>ПВ</w:t>
      </w:r>
      <w:r w:rsidR="00E41F61">
        <w:t>/SG</w:t>
      </w:r>
      <w:r w:rsidR="00E41F61">
        <w:tab/>
        <w:t>→</w:t>
      </w:r>
      <w:r w:rsidR="00E41F61">
        <w:tab/>
      </w:r>
      <w:r>
        <w:t>МПО</w:t>
      </w:r>
      <w:r w:rsidR="00E41F61">
        <w:t>/AT</w:t>
      </w:r>
      <w:r w:rsidR="00E41F61">
        <w:br/>
      </w:r>
      <w:r>
        <w:t>ПВ</w:t>
      </w:r>
      <w:r w:rsidR="00E41F61">
        <w:t xml:space="preserve">/MY, </w:t>
      </w:r>
      <w:r>
        <w:t xml:space="preserve">ПВ </w:t>
      </w:r>
      <w:r w:rsidR="00E41F61">
        <w:t xml:space="preserve">/NZ, </w:t>
      </w:r>
      <w:r>
        <w:t xml:space="preserve">ПВ </w:t>
      </w:r>
      <w:r w:rsidR="00E41F61">
        <w:t xml:space="preserve">/PH, </w:t>
      </w:r>
      <w:r>
        <w:t xml:space="preserve">ПВ </w:t>
      </w:r>
      <w:r w:rsidR="00E41F61">
        <w:t>/SG</w:t>
      </w:r>
      <w:r w:rsidR="00E41F61">
        <w:tab/>
        <w:t>→</w:t>
      </w:r>
      <w:r w:rsidR="00E41F61">
        <w:tab/>
      </w:r>
      <w:r>
        <w:t xml:space="preserve">МПО </w:t>
      </w:r>
      <w:r w:rsidR="00E41F61">
        <w:t>/AU</w:t>
      </w:r>
      <w:r w:rsidR="00E41F61">
        <w:br/>
      </w:r>
      <w:r>
        <w:t xml:space="preserve">ПВ </w:t>
      </w:r>
      <w:r w:rsidR="00E41F61">
        <w:t>/US</w:t>
      </w:r>
      <w:r w:rsidR="00E41F61">
        <w:tab/>
        <w:t>→</w:t>
      </w:r>
      <w:r w:rsidR="00E41F61">
        <w:tab/>
      </w:r>
      <w:r>
        <w:t xml:space="preserve">МПО </w:t>
      </w:r>
      <w:r w:rsidR="00E41F61">
        <w:t>/IL</w:t>
      </w:r>
      <w:r w:rsidR="00E41F61">
        <w:br/>
      </w:r>
      <w:r>
        <w:t xml:space="preserve">ПВ </w:t>
      </w:r>
      <w:r w:rsidR="00E41F61">
        <w:t xml:space="preserve">/MY, </w:t>
      </w:r>
      <w:r>
        <w:t xml:space="preserve">ПВ </w:t>
      </w:r>
      <w:r w:rsidR="00E41F61">
        <w:t xml:space="preserve">/PH, </w:t>
      </w:r>
      <w:r>
        <w:t xml:space="preserve">ПВ </w:t>
      </w:r>
      <w:r w:rsidR="00E41F61">
        <w:t>/SG</w:t>
      </w:r>
      <w:r w:rsidR="00E41F61">
        <w:tab/>
        <w:t>→</w:t>
      </w:r>
      <w:r w:rsidR="00E41F61">
        <w:tab/>
      </w:r>
      <w:r>
        <w:t xml:space="preserve">МПО </w:t>
      </w:r>
      <w:r w:rsidR="00E41F61">
        <w:t>/JP</w:t>
      </w:r>
      <w:r w:rsidR="00E41F61">
        <w:br/>
      </w:r>
      <w:r>
        <w:t xml:space="preserve">ПВ </w:t>
      </w:r>
      <w:r w:rsidR="00E41F61">
        <w:t>/EA</w:t>
      </w:r>
      <w:r w:rsidR="00E41F61">
        <w:tab/>
        <w:t>→</w:t>
      </w:r>
      <w:r w:rsidR="00E41F61">
        <w:tab/>
      </w:r>
      <w:r>
        <w:t xml:space="preserve">МПО </w:t>
      </w:r>
      <w:r w:rsidR="00E41F61">
        <w:t>/RU</w:t>
      </w:r>
      <w:r w:rsidR="00E41F61">
        <w:br/>
      </w:r>
      <w:r>
        <w:t xml:space="preserve">ПВ </w:t>
      </w:r>
      <w:r w:rsidR="00E41F61">
        <w:t>/FI</w:t>
      </w:r>
      <w:r w:rsidR="00E41F61">
        <w:tab/>
        <w:t>→</w:t>
      </w:r>
      <w:r w:rsidR="00E41F61">
        <w:tab/>
      </w:r>
      <w:r>
        <w:t xml:space="preserve">МПО </w:t>
      </w:r>
      <w:r w:rsidR="00E41F61">
        <w:t>/SE</w:t>
      </w:r>
    </w:p>
    <w:p w:rsidR="002450C0" w:rsidRDefault="002450C0" w:rsidP="002450C0">
      <w:pPr>
        <w:pStyle w:val="ONUME"/>
        <w:keepLines/>
      </w:pPr>
      <w:r>
        <w:t>Эти пары охватывают основные ожидаемые варианты использования этого сервиса, а регистрационные экземпляры направляются как вместе с пакетом PCT-EDI</w:t>
      </w:r>
      <w:r>
        <w:rPr>
          <w:rStyle w:val="FootnoteReference"/>
        </w:rPr>
        <w:footnoteReference w:id="2"/>
      </w:r>
      <w:r>
        <w:t xml:space="preserve">, так и отдельно через загрузку в системе ePCT; при этом подтверждение уплаты пошлины за поиск осуществляется путем направления списков, </w:t>
      </w:r>
      <w:r w:rsidR="00A06931">
        <w:t>включающих</w:t>
      </w:r>
      <w:r>
        <w:t xml:space="preserve"> множество международных заявок, или путем постановки соответствующей галочки в системе ePCT, что позволяет получать подтверждения </w:t>
      </w:r>
      <w:r w:rsidR="00A06931">
        <w:t>при выполнении</w:t>
      </w:r>
      <w:r>
        <w:t xml:space="preserve"> большинства ключевых функций.</w:t>
      </w:r>
    </w:p>
    <w:p w:rsidR="00FD3881" w:rsidRDefault="0029262B" w:rsidP="00F1524A">
      <w:pPr>
        <w:pStyle w:val="ONUME"/>
        <w:keepLines/>
      </w:pPr>
      <w:r>
        <w:t xml:space="preserve">Ведется подготовка к добавлению еще нескольких пар.  В частности, </w:t>
      </w:r>
      <w:r w:rsidR="00A06931">
        <w:t>МПО</w:t>
      </w:r>
      <w:r>
        <w:t xml:space="preserve">/EP начинает тестирование в режиме реального времени при участии всего трех получающих ведомств, но успешное проведение такого тестирования имеет особое значение, так как Европейское патентное ведомство действует как </w:t>
      </w:r>
      <w:r w:rsidR="00AB1199">
        <w:t>м</w:t>
      </w:r>
      <w:r>
        <w:t xml:space="preserve">еждународный поисковый орган для 105 получающих ведомств </w:t>
      </w:r>
      <w:r w:rsidR="00A06931">
        <w:t>по</w:t>
      </w:r>
      <w:r>
        <w:t xml:space="preserve"> все</w:t>
      </w:r>
      <w:r w:rsidR="00A06931">
        <w:t>му миру</w:t>
      </w:r>
      <w:r>
        <w:t>.</w:t>
      </w:r>
    </w:p>
    <w:p w:rsidR="00883FD2" w:rsidRDefault="00883FD2" w:rsidP="00883FD2">
      <w:pPr>
        <w:pStyle w:val="Heading1"/>
      </w:pPr>
      <w:r>
        <w:t>Приоритетные сферы деятельности</w:t>
      </w:r>
    </w:p>
    <w:p w:rsidR="00710C56" w:rsidRPr="00710C56" w:rsidRDefault="00710C56">
      <w:pPr>
        <w:pStyle w:val="ONUME"/>
      </w:pPr>
      <w:r>
        <w:t>Международное бюро намерено</w:t>
      </w:r>
      <w:r w:rsidR="00A06931">
        <w:t xml:space="preserve"> и впредь повышать</w:t>
      </w:r>
      <w:r>
        <w:t xml:space="preserve"> качеств</w:t>
      </w:r>
      <w:r w:rsidR="00A06931">
        <w:t xml:space="preserve">о, расширять спектр </w:t>
      </w:r>
      <w:r>
        <w:t xml:space="preserve">и </w:t>
      </w:r>
      <w:r w:rsidR="00A06931">
        <w:t>упрощать</w:t>
      </w:r>
      <w:r>
        <w:t xml:space="preserve"> использовани</w:t>
      </w:r>
      <w:r w:rsidR="00A06931">
        <w:t>е</w:t>
      </w:r>
      <w:r>
        <w:t xml:space="preserve"> онлайновых инструментов, доступных заявителям и </w:t>
      </w:r>
      <w:r w:rsidR="00A06931">
        <w:t>в</w:t>
      </w:r>
      <w:r>
        <w:t xml:space="preserve">едомствам, но получение наибольших преимуществ в ближайшие годы потребует участия национальных </w:t>
      </w:r>
      <w:r w:rsidR="00A06931">
        <w:t>в</w:t>
      </w:r>
      <w:r>
        <w:t xml:space="preserve">едомств.  Как указано далее, </w:t>
      </w:r>
      <w:r w:rsidR="00A06931">
        <w:t xml:space="preserve">некоторые сферы деятельности дают </w:t>
      </w:r>
      <w:r>
        <w:t>возможности для получени</w:t>
      </w:r>
      <w:r w:rsidR="00A06931">
        <w:t>я конкретных выгод заявителям и в</w:t>
      </w:r>
      <w:r>
        <w:t>едомствам или для повышения качества патентной информации, доступной в системе в целом.</w:t>
      </w:r>
    </w:p>
    <w:p w:rsidR="00883FD2" w:rsidRDefault="00883FD2" w:rsidP="00CF6CA7">
      <w:pPr>
        <w:pStyle w:val="Heading2"/>
      </w:pPr>
      <w:r>
        <w:t xml:space="preserve">Подача заявок через </w:t>
      </w:r>
      <w:r w:rsidR="00A06931">
        <w:rPr>
          <w:caps w:val="0"/>
        </w:rPr>
        <w:t>e</w:t>
      </w:r>
      <w:r>
        <w:t>PCT</w:t>
      </w:r>
    </w:p>
    <w:p w:rsidR="008071BA" w:rsidRDefault="008071BA" w:rsidP="00A65C28">
      <w:pPr>
        <w:pStyle w:val="ONUME"/>
      </w:pPr>
      <w:r>
        <w:t xml:space="preserve">Международное бюро предлагает получающим ведомствам, которые пока не имеют возможности получать электронные заявки через ePCT и не работают над созданием такой возможности, провести работу вместе с Международным бюро, с тем чтобы </w:t>
      </w:r>
      <w:r w:rsidR="00A06931">
        <w:t>запустить такой сервис в своем в</w:t>
      </w:r>
      <w:r>
        <w:t>едомстве, причем его хостинг может осуществляться Международным бюро, если это необходимо.  Все заявители имеют возможность использовать онлайновую подачу, если они выберут Международное бюро в качестве получающег</w:t>
      </w:r>
      <w:r w:rsidR="00A06931">
        <w:t>о ведомства; однако со стороны ведомства внедрение онлайновых сервисов больше не требует значительных затрат</w:t>
      </w:r>
      <w:r>
        <w:t xml:space="preserve">, </w:t>
      </w:r>
      <w:r w:rsidR="00A06931">
        <w:t>если такое в</w:t>
      </w:r>
      <w:r>
        <w:t>едомство хочет действовать в качестве получающего ведомства для национальных заявителей.</w:t>
      </w:r>
    </w:p>
    <w:p w:rsidR="00647A6F" w:rsidRDefault="00647A6F" w:rsidP="00647A6F">
      <w:pPr>
        <w:pStyle w:val="ONUME"/>
      </w:pPr>
      <w:r>
        <w:t xml:space="preserve">Ассамблея PCT приняла решение отменить снижение пошлин для заявок, поданных в рамках PCT-EASY, начиная с 1 июля 2015 г. в основном </w:t>
      </w:r>
      <w:r w:rsidR="000B047C">
        <w:t>из-за того</w:t>
      </w:r>
      <w:r>
        <w:t>, что этот способ в настоящее время редко используется в большинстве получающих ведомств, которые дают возможность онлайновой подачи заявок.  Более того, Международное бюро пре</w:t>
      </w:r>
      <w:r w:rsidR="000B047C">
        <w:t>дложило обеспечить</w:t>
      </w:r>
      <w:r>
        <w:t xml:space="preserve"> хостинг онлайновых услуг по подаче заявок, что</w:t>
      </w:r>
      <w:r w:rsidR="000B047C">
        <w:t>бы получающие</w:t>
      </w:r>
      <w:r>
        <w:t xml:space="preserve"> ведомства</w:t>
      </w:r>
      <w:r w:rsidR="000B047C">
        <w:t xml:space="preserve"> могли</w:t>
      </w:r>
      <w:r>
        <w:t xml:space="preserve"> предлагать услугу, которая </w:t>
      </w:r>
      <w:r w:rsidR="000B047C">
        <w:t xml:space="preserve">более эффективна </w:t>
      </w:r>
      <w:r>
        <w:t xml:space="preserve">для заявителей и национальных ведомств, использующих </w:t>
      </w:r>
      <w:r w:rsidR="000B047C">
        <w:t xml:space="preserve">поданные вместе с заявкой </w:t>
      </w:r>
      <w:r>
        <w:t>документы и данные (см. пункты 2–6 документа PCT/WG/7/15 и пункты 16–17 документа PCT/A/46/3).</w:t>
      </w:r>
    </w:p>
    <w:p w:rsidR="00EA4129" w:rsidRDefault="00030450">
      <w:pPr>
        <w:pStyle w:val="ONUME"/>
      </w:pPr>
      <w:r>
        <w:t>Система ePCT позволяет заявителям подготовить и подать международные заявки, загрузив их на сервер, хостинг которого осуществляет</w:t>
      </w:r>
      <w:r w:rsidR="000B047C">
        <w:t xml:space="preserve"> либо</w:t>
      </w:r>
      <w:r>
        <w:t xml:space="preserve"> непосредственно получающее ведомство, </w:t>
      </w:r>
      <w:r w:rsidR="000B047C">
        <w:t xml:space="preserve">либо </w:t>
      </w:r>
      <w:r>
        <w:t xml:space="preserve">Международное бюро от имени получающего ведомства, с использованием тех же форматов файлов и протоколов подачи, которые успешно используются многими получающими ведомствами в течение многих лет.  Если хостинг сервера осуществляется Международным бюро, то поданные международные заявки могут обрабатываться получающим ведомством </w:t>
      </w:r>
      <w:r w:rsidR="000B047C">
        <w:t>через</w:t>
      </w:r>
      <w:r>
        <w:t xml:space="preserve"> браузерн</w:t>
      </w:r>
      <w:r w:rsidR="000B047C">
        <w:t>ый интерфейс PCT, предназначенный для в</w:t>
      </w:r>
      <w:r>
        <w:t xml:space="preserve">едомств, или </w:t>
      </w:r>
      <w:r w:rsidR="000B047C">
        <w:t>заявки</w:t>
      </w:r>
      <w:r>
        <w:t xml:space="preserve"> могут быть импортированы через PCT-EDI для обработки в локальной системе.  Следовательно, любое получающее ведомство в настоящее время должно иметь возможность предложить доступную систему онлайновой подачи заявок или открытый доступ к своей действующей системе подачи через ePCT без дополнительных затрат на создание и обеспечение функционирования локальной ИТ-инфраструктуры.</w:t>
      </w:r>
    </w:p>
    <w:p w:rsidR="00EA4129" w:rsidRDefault="00EA4129" w:rsidP="00347F2A">
      <w:pPr>
        <w:pStyle w:val="ONUME"/>
      </w:pPr>
      <w:r>
        <w:t xml:space="preserve">Подача заявок через ePCT имеет несколько преимуществ по сравнению с предыдущим программным обеспечением для электронной подачи: оно не требует установки заявителем специального программного обеспечения, справочные данные и сервисы для проверки соответствия требованиям PCT всегда доступны для всех пользователей, а система обеспечивает возможность проверки и предварительного просмотра, которые осуществляются той же системой, которая </w:t>
      </w:r>
      <w:r w:rsidR="000B047C">
        <w:t xml:space="preserve">используется </w:t>
      </w:r>
      <w:r>
        <w:t xml:space="preserve">Международным бюро для обработки заявок, и благодаря этому </w:t>
      </w:r>
      <w:r w:rsidR="000B047C">
        <w:t>на более позднем этапе заявитель не сталкивается с непредвиденными</w:t>
      </w:r>
      <w:r>
        <w:t xml:space="preserve"> несоответствия</w:t>
      </w:r>
      <w:r w:rsidR="000B047C">
        <w:t>ми</w:t>
      </w:r>
      <w:r>
        <w:t>.  Широкая доступность и распространенность ePCT позволит в итоге прекратить использование PCT-SAFE, что даст возможность использовать ресурсы, которые в настоящее время необходимы для обеспечения функционирования этой системы, где-либо еще.</w:t>
      </w:r>
    </w:p>
    <w:p w:rsidR="00883FD2" w:rsidRDefault="00883FD2" w:rsidP="00CF6CA7">
      <w:pPr>
        <w:pStyle w:val="Heading2"/>
      </w:pPr>
      <w:r>
        <w:t xml:space="preserve">Электронная передача </w:t>
      </w:r>
      <w:r w:rsidR="000B047C">
        <w:t xml:space="preserve">от заявителей документов, подаваемых </w:t>
      </w:r>
      <w:r>
        <w:t xml:space="preserve">позднее </w:t>
      </w:r>
    </w:p>
    <w:p w:rsidR="00883FD2" w:rsidRDefault="00030450">
      <w:pPr>
        <w:pStyle w:val="ONUME"/>
      </w:pPr>
      <w:r>
        <w:t>Система ePCT дает возможность загрузки документов не только для Международного бюро, но и для получающих ведомств и международных органов, которые готовы получать их через эту систему.  В зависимости от местны</w:t>
      </w:r>
      <w:r w:rsidR="0070763E">
        <w:t>х потребностей в автоматизации в</w:t>
      </w:r>
      <w:r>
        <w:t>едомство может выбрать, будет ли оно получать документы пакетом через PCT-EDI или ему будет направляться уведомление о том, что новый документ дос</w:t>
      </w:r>
      <w:r w:rsidR="0070763E">
        <w:t>тупен для просмотра и загрузки в</w:t>
      </w:r>
      <w:r>
        <w:t>едомствами через браузерный сервис ePCT.</w:t>
      </w:r>
    </w:p>
    <w:p w:rsidR="008071BA" w:rsidRDefault="008071BA" w:rsidP="008071BA">
      <w:pPr>
        <w:pStyle w:val="ONUME"/>
      </w:pPr>
      <w:r>
        <w:t>Активация такого сервиса для всех получающих ведомств и международных органов позволил</w:t>
      </w:r>
      <w:r w:rsidR="0070763E">
        <w:t>а</w:t>
      </w:r>
      <w:r>
        <w:t xml:space="preserve"> бы значительно повысить эффективность этой системы особенно для тех заявителей, которые взаимодействуют с международным органом из другой страны, то есть в случаях, </w:t>
      </w:r>
      <w:r w:rsidR="0070763E">
        <w:t>когда</w:t>
      </w:r>
      <w:r>
        <w:t xml:space="preserve"> возможны значительные почтовые задержки.  Ведомства получают преимущества</w:t>
      </w:r>
      <w:r w:rsidR="0070763E">
        <w:t xml:space="preserve"> благодаря тому</w:t>
      </w:r>
      <w:r>
        <w:t>, что документы поступают к ним уже в электронном формате, они имеют но</w:t>
      </w:r>
      <w:r w:rsidR="0070763E">
        <w:t>мер международной заявки и их тип определен; это</w:t>
      </w:r>
      <w:r>
        <w:t xml:space="preserve"> со</w:t>
      </w:r>
      <w:r w:rsidR="0070763E">
        <w:t>кращает объем работы по импортированию и сортировке</w:t>
      </w:r>
      <w:r>
        <w:t xml:space="preserve"> поступающих почтовых сообщений.</w:t>
      </w:r>
    </w:p>
    <w:p w:rsidR="00883FD2" w:rsidRDefault="008071BA" w:rsidP="00CF6CA7">
      <w:pPr>
        <w:pStyle w:val="Heading2"/>
      </w:pPr>
      <w:r>
        <w:t>Передача документов дополнительных типов в Международное бюро</w:t>
      </w:r>
    </w:p>
    <w:p w:rsidR="00883FD2" w:rsidRDefault="008071BA" w:rsidP="007067B9">
      <w:pPr>
        <w:pStyle w:val="ONUME"/>
        <w:keepLines/>
      </w:pPr>
      <w:r>
        <w:t xml:space="preserve">В настоящее время получающие ведомства и международные органы делают копии большинства документов, фиксируя окончательный результат </w:t>
      </w:r>
      <w:r w:rsidR="0070763E">
        <w:t>процесса, проведенного в таком в</w:t>
      </w:r>
      <w:r>
        <w:t xml:space="preserve">едомстве или органе, для Международного бюро.  Такие документы видны заявителям в файле ePCT, и большинство таких документов видны в системе PATENTSCOPE.  Однако нередко промежуточные сообщения не копируются для Международного бюро, а направляются заявителю обычной почтой.  Задержки в процессе доставки могут создать значительные трудности для заявителей в том, что касается соблюдения указанных </w:t>
      </w:r>
      <w:r w:rsidR="0070763E">
        <w:t>сроков</w:t>
      </w:r>
      <w:r>
        <w:t xml:space="preserve">; это, в свою очередь, приводит к задержкам в </w:t>
      </w:r>
      <w:r w:rsidR="0070763E">
        <w:t>в</w:t>
      </w:r>
      <w:r>
        <w:t>едомствах, затрудняя своевременное завершение соответствующих процессов.</w:t>
      </w:r>
    </w:p>
    <w:p w:rsidR="00BE7A33" w:rsidRDefault="0070763E" w:rsidP="00BE7A33">
      <w:pPr>
        <w:pStyle w:val="ONUME"/>
      </w:pPr>
      <w:r>
        <w:t>В случаях, когда национальные в</w:t>
      </w:r>
      <w:r w:rsidR="00BE7A33">
        <w:t>едомства управляют своими сообщения</w:t>
      </w:r>
      <w:r>
        <w:t>ми через ePCT,</w:t>
      </w:r>
      <w:r w:rsidR="00BE7A33">
        <w:t xml:space="preserve"> такие документы </w:t>
      </w:r>
      <w:r>
        <w:t>уже могут быть виды заявителю</w:t>
      </w:r>
      <w:r w:rsidR="00BE7A33">
        <w:t xml:space="preserve"> в системе ePCT, несмотря на то, что официально они не передаются в Международное бюро.  Однако в ц</w:t>
      </w:r>
      <w:r>
        <w:t>елом было бы желательно, чтобы в</w:t>
      </w:r>
      <w:r w:rsidR="00BE7A33">
        <w:t>едомства передавали более широкий спектр документов в Международное бюро таким образом, чтобы такие документы автоматически становились доступны заявител</w:t>
      </w:r>
      <w:r>
        <w:t>ю</w:t>
      </w:r>
      <w:r w:rsidR="00BE7A33">
        <w:t xml:space="preserve"> через ePCT без ручного вмешательства со стороны Международного бюро.</w:t>
      </w:r>
    </w:p>
    <w:p w:rsidR="00B15B4F" w:rsidRDefault="00BE7A33" w:rsidP="00EE23C0">
      <w:pPr>
        <w:pStyle w:val="ONUME"/>
        <w:keepNext/>
      </w:pPr>
      <w:r>
        <w:t>Особенно важно распространить такую практику на следующие виды документов:</w:t>
      </w:r>
    </w:p>
    <w:p w:rsidR="00B15B4F" w:rsidRDefault="00B15B4F" w:rsidP="00EE23C0">
      <w:pPr>
        <w:pStyle w:val="ONUME"/>
        <w:keepNext/>
        <w:numPr>
          <w:ilvl w:val="1"/>
          <w:numId w:val="5"/>
        </w:numPr>
      </w:pPr>
      <w:r>
        <w:t xml:space="preserve">письменные заключения </w:t>
      </w:r>
      <w:r w:rsidR="00AB1199">
        <w:t>о</w:t>
      </w:r>
      <w:r>
        <w:t>ргана международной предварительной экспертизы (PCT/IPEA/408);</w:t>
      </w:r>
    </w:p>
    <w:p w:rsidR="00B15B4F" w:rsidRDefault="00B15B4F" w:rsidP="00B15B4F">
      <w:pPr>
        <w:pStyle w:val="ONUME"/>
        <w:numPr>
          <w:ilvl w:val="1"/>
          <w:numId w:val="5"/>
        </w:numPr>
      </w:pPr>
      <w:r>
        <w:t>предложени</w:t>
      </w:r>
      <w:r w:rsidR="0070763E">
        <w:t>я</w:t>
      </w:r>
      <w:r>
        <w:t xml:space="preserve"> об уплате дополнительных пошлин по причине невыполнения требования единства изобретения (PCT/ISA/206 или PCT/IPEA/405);</w:t>
      </w:r>
    </w:p>
    <w:p w:rsidR="00B15B4F" w:rsidRDefault="00B15B4F" w:rsidP="00B15B4F">
      <w:pPr>
        <w:pStyle w:val="ONUME"/>
        <w:numPr>
          <w:ilvl w:val="1"/>
          <w:numId w:val="5"/>
        </w:numPr>
      </w:pPr>
      <w:r>
        <w:t>документы, процитированные в ходе международного поиска или предварительной экспертизы (такие документы недоступны через PATENTSCOPE, но доступны для заявителя или указанного ведомства в соответствии со статьей 20(3), что не требует дополнительной работы или почтовых затрат со стороны международного органа);</w:t>
      </w:r>
    </w:p>
    <w:p w:rsidR="00BE7A33" w:rsidRDefault="00B15B4F">
      <w:pPr>
        <w:pStyle w:val="ONUME"/>
        <w:numPr>
          <w:ilvl w:val="1"/>
          <w:numId w:val="5"/>
        </w:numPr>
      </w:pPr>
      <w:r>
        <w:t>прочие предложения об уплате пошлин, просьбы об испр</w:t>
      </w:r>
      <w:r w:rsidR="0070763E">
        <w:t>авлении, представлении документов</w:t>
      </w:r>
      <w:r>
        <w:t>, об исправлении недостатков или об указании компетентного международного органа.</w:t>
      </w:r>
    </w:p>
    <w:p w:rsidR="00883FD2" w:rsidRDefault="0070763E" w:rsidP="00CF6CA7">
      <w:pPr>
        <w:pStyle w:val="Heading2"/>
      </w:pPr>
      <w:r>
        <w:rPr>
          <w:caps w:val="0"/>
        </w:rPr>
        <w:t>e</w:t>
      </w:r>
      <w:r w:rsidR="00FC49B5">
        <w:t>SearchCopy</w:t>
      </w:r>
    </w:p>
    <w:p w:rsidR="00FC49B5" w:rsidRDefault="00A06931" w:rsidP="00CF6CA7">
      <w:pPr>
        <w:pStyle w:val="ONUME"/>
      </w:pPr>
      <w:r>
        <w:t xml:space="preserve">Большинство </w:t>
      </w:r>
      <w:r w:rsidR="00AB1199">
        <w:t>м</w:t>
      </w:r>
      <w:r w:rsidR="00FC49B5">
        <w:t xml:space="preserve">еждународных поисковых органов обладают </w:t>
      </w:r>
      <w:r w:rsidR="0070763E">
        <w:t xml:space="preserve">достаточной </w:t>
      </w:r>
      <w:r w:rsidR="00FC49B5">
        <w:t>компетенцией, чтобы обрабатывать заявки, поданные в не</w:t>
      </w:r>
      <w:r w:rsidR="0070763E">
        <w:t xml:space="preserve">которых </w:t>
      </w:r>
      <w:r w:rsidR="00FC49B5">
        <w:t>других получающих ведомствах, помимо заявок, поданных в эти органы как в получающие ведомства, что показано в таблице ниже.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53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</w:tblGrid>
      <w:tr w:rsidR="00FC49B5" w:rsidRPr="00CD1223" w:rsidTr="00FE0C5F">
        <w:trPr>
          <w:trHeight w:val="300"/>
        </w:trPr>
        <w:tc>
          <w:tcPr>
            <w:tcW w:w="1653" w:type="dxa"/>
            <w:vAlign w:val="center"/>
          </w:tcPr>
          <w:p w:rsidR="00FC49B5" w:rsidRPr="00CD1223" w:rsidRDefault="0070763E" w:rsidP="00FE0C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МПО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AT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AU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BR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CA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CL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CN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EG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EP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ES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FI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IL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IN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JP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KR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RU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SE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US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XN</w:t>
            </w:r>
          </w:p>
        </w:tc>
      </w:tr>
      <w:tr w:rsidR="00FC49B5" w:rsidRPr="00CD1223" w:rsidTr="00FE0C5F">
        <w:trPr>
          <w:trHeight w:val="300"/>
        </w:trPr>
        <w:tc>
          <w:tcPr>
            <w:tcW w:w="1653" w:type="dxa"/>
            <w:vAlign w:val="center"/>
          </w:tcPr>
          <w:p w:rsidR="00FC49B5" w:rsidRPr="00CD1223" w:rsidRDefault="00FC49B5" w:rsidP="00FE0C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Количество ПВ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105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CD1223" w:rsidRDefault="00FC49B5" w:rsidP="00FE0C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5</w:t>
            </w:r>
          </w:p>
        </w:tc>
      </w:tr>
    </w:tbl>
    <w:p w:rsidR="00883FD2" w:rsidRDefault="00883FD2" w:rsidP="00FC49B5"/>
    <w:p w:rsidR="00CF6CA7" w:rsidRPr="00883FD2" w:rsidRDefault="00AB1199" w:rsidP="00CF6CA7">
      <w:pPr>
        <w:pStyle w:val="ONUME"/>
      </w:pPr>
      <w:r>
        <w:t>eSearchCopy дает м</w:t>
      </w:r>
      <w:r w:rsidR="00CF6CA7">
        <w:t xml:space="preserve">еждународным поисковым органам возможность сократить административные расходы благодаря тому, что копии для поиска доставляются в едином электронном формате вне зависимости от того, какое </w:t>
      </w:r>
      <w:r w:rsidR="0070763E">
        <w:t>в</w:t>
      </w:r>
      <w:r w:rsidR="00CF6CA7">
        <w:t>едомство выступало в качестве получающего ведомства, а также благодаря устранению задержек при пересылке и при импортировании бумажных копий для поиска.  Необходимо провести оценку этого проекта, что</w:t>
      </w:r>
      <w:r w:rsidR="0070763E">
        <w:t>бы</w:t>
      </w:r>
      <w:r w:rsidR="00CF6CA7">
        <w:t xml:space="preserve"> определить, действительно ли он отвечает ожиданиям, и в зависимости от полученных результатов улучшить его или расширить сферу его действия, включи</w:t>
      </w:r>
      <w:r w:rsidR="0070763E">
        <w:t>в в нее большее количество пар в</w:t>
      </w:r>
      <w:r w:rsidR="00CF6CA7">
        <w:t>едомств.</w:t>
      </w:r>
    </w:p>
    <w:p w:rsidR="00883FD2" w:rsidRDefault="00CF6CA7" w:rsidP="00CF6CA7">
      <w:pPr>
        <w:pStyle w:val="Heading2"/>
      </w:pPr>
      <w:r>
        <w:t>Эффективное использование машиночитаемой информации</w:t>
      </w:r>
    </w:p>
    <w:p w:rsidR="00C70AF9" w:rsidRDefault="00C70AF9" w:rsidP="00C70AF9">
      <w:pPr>
        <w:pStyle w:val="ONUME"/>
      </w:pPr>
      <w:r>
        <w:t xml:space="preserve">Система ePCT содержит несколько вариантов </w:t>
      </w:r>
      <w:r w:rsidR="0070763E">
        <w:t>«действий»</w:t>
      </w:r>
      <w:r>
        <w:t>, что позволяет заявителям вв</w:t>
      </w:r>
      <w:r w:rsidR="0070763E">
        <w:t xml:space="preserve">одить </w:t>
      </w:r>
      <w:r>
        <w:t>информацию</w:t>
      </w:r>
      <w:r w:rsidR="0070763E">
        <w:t xml:space="preserve"> таким образом, что она </w:t>
      </w:r>
      <w:r>
        <w:t>используется при обработке</w:t>
      </w:r>
      <w:r w:rsidR="0070763E" w:rsidRPr="0070763E">
        <w:t xml:space="preserve"> </w:t>
      </w:r>
      <w:r w:rsidR="0070763E">
        <w:t>напрямую</w:t>
      </w:r>
      <w:r>
        <w:t xml:space="preserve">, </w:t>
      </w:r>
      <w:r w:rsidR="0070763E">
        <w:t>а не описывать инструкции</w:t>
      </w:r>
      <w:r>
        <w:t xml:space="preserve"> в письме.  Это значительно повышает эффективность обработки и снижает вероятность возникновения ошибок при вводе информации, содержащейся в письме.  В настоящее время эти действия касаются процессов, осуществляемых в Международном бюро, таких как подача запросов о внесении изменений в имена и адреса в соответствии с правилом  92</w:t>
      </w:r>
      <w:r>
        <w:rPr>
          <w:i/>
        </w:rPr>
        <w:t>bis</w:t>
      </w:r>
      <w:r>
        <w:t xml:space="preserve">, отзыв международной заявки или особых указаний </w:t>
      </w:r>
      <w:r w:rsidR="0044606B">
        <w:t>либо</w:t>
      </w:r>
      <w:r>
        <w:t xml:space="preserve"> получение копии приоритетного документа из действующей в ВОИС Службы цифрового доступа к приоритетным документам.  Однако Международное бюро хотело бы разработать эквивалентные системы для получающих ведомств и международных органов, при усло</w:t>
      </w:r>
      <w:r w:rsidR="0044606B">
        <w:t>вии что достаточное количество в</w:t>
      </w:r>
      <w:r>
        <w:t xml:space="preserve">едомств либо внедрят такие системы </w:t>
      </w:r>
      <w:r w:rsidR="0044606B">
        <w:t>с целью</w:t>
      </w:r>
      <w:r>
        <w:t xml:space="preserve"> эффективной обработки полученной информации, либо будут проводить обработку через системы, работу которых </w:t>
      </w:r>
      <w:r w:rsidR="0044606B">
        <w:t xml:space="preserve">напрямую обеспечивает </w:t>
      </w:r>
      <w:r>
        <w:t>Международное бюро.</w:t>
      </w:r>
    </w:p>
    <w:p w:rsidR="00C70AF9" w:rsidRDefault="00C70AF9" w:rsidP="00EE23C0">
      <w:pPr>
        <w:pStyle w:val="ONUME"/>
        <w:keepLines/>
      </w:pPr>
      <w:r>
        <w:t>Помимо ePCT</w:t>
      </w:r>
      <w:r w:rsidR="0044606B">
        <w:t>,</w:t>
      </w:r>
      <w:r>
        <w:t xml:space="preserve"> существуют и другие возможности для эффективной передачи структурированной информации, а не бумажных форм.  Например, на административном уровне передача уведомлений о получении копии для поиска (обыч</w:t>
      </w:r>
      <w:r w:rsidR="0044606B">
        <w:t xml:space="preserve">но это форма PCT/ISA/202) может </w:t>
      </w:r>
      <w:r>
        <w:t>б</w:t>
      </w:r>
      <w:r w:rsidR="0044606B">
        <w:t>ыть полностью автоматизирована посредством</w:t>
      </w:r>
      <w:r>
        <w:t xml:space="preserve"> использовани</w:t>
      </w:r>
      <w:r w:rsidR="0044606B">
        <w:t>я</w:t>
      </w:r>
      <w:r>
        <w:t xml:space="preserve"> потока данных.  Что касается более субстантивного уровня, то несколько международных органов начали направлять отчеты о международном поиске и международные предварительные заключения о патентоспособности в формате XML (</w:t>
      </w:r>
      <w:r w:rsidR="0044606B">
        <w:t>в Государственном ведомстве интеллектуальной собственности Китайской Народной Республики такие документы</w:t>
      </w:r>
      <w:r>
        <w:t xml:space="preserve"> в настоящее время находятся на стадии разработки; документы от Европейского патентного ведомства и Ведомства интеллектуальной собственности Республики Корея, как ожидается, должны перейти на стадию разработки в этом году).  Получение таких данных дает возможность сократить расходы на перевод и повысить качество услуг, доступных пользов</w:t>
      </w:r>
      <w:r w:rsidR="0044606B">
        <w:t>ателям, включая, возможно,</w:t>
      </w:r>
      <w:r>
        <w:t xml:space="preserve"> машинный перевод </w:t>
      </w:r>
      <w:r w:rsidR="0044606B">
        <w:t xml:space="preserve">по запросу </w:t>
      </w:r>
      <w:r>
        <w:t>на ряд языков.</w:t>
      </w:r>
    </w:p>
    <w:p w:rsidR="00084A69" w:rsidRDefault="00084A69" w:rsidP="00084A69">
      <w:pPr>
        <w:pStyle w:val="ONUME"/>
      </w:pPr>
      <w:r>
        <w:t>Международное бюро готов</w:t>
      </w:r>
      <w:r w:rsidR="0044606B">
        <w:t>о обсудить этот вопрос с любым в</w:t>
      </w:r>
      <w:r>
        <w:t>едомством, заинтересованным в обмене данными в машиночитаемой форме, если такой обмен может быть использован для сокращения расходов или повышения качества оказываемых услуг.</w:t>
      </w:r>
    </w:p>
    <w:p w:rsidR="00FD3881" w:rsidRDefault="00FD3881" w:rsidP="00CF6CA7">
      <w:pPr>
        <w:pStyle w:val="Heading2"/>
      </w:pPr>
      <w:r>
        <w:t>Межмашинная передача</w:t>
      </w:r>
    </w:p>
    <w:p w:rsidR="00FD3881" w:rsidRDefault="00FD3881">
      <w:pPr>
        <w:pStyle w:val="ONUME"/>
      </w:pPr>
      <w:r>
        <w:t>В настоящее вре</w:t>
      </w:r>
      <w:r w:rsidR="0044606B">
        <w:t>мя единственная возможность полностью автоматизировать</w:t>
      </w:r>
      <w:r>
        <w:t xml:space="preserve"> процесс обработки между Международным бюро и получающими ведомствами, международными органами и указанными ведомствами </w:t>
      </w:r>
      <w:r w:rsidR="0044606B">
        <w:t xml:space="preserve">связана с обменом </w:t>
      </w:r>
      <w:r>
        <w:t>документами и данными через систему PCT-EDI.  Преимущество этой системы заключается в ее простоте и надежности, так как временный перебой в ее работе приводит только к задержке в обработке данных, не создавая риск потери документов или данных.  Однако обработка пакета данных обычно осуществляется только раз в день, а в некоторых случаях — раз в неделю.  Поэтому с помощью этой системы невозможно обеспечить надежное оказание услуг в режиме реального времени.</w:t>
      </w:r>
    </w:p>
    <w:p w:rsidR="00FD3881" w:rsidRDefault="00FD3881">
      <w:pPr>
        <w:pStyle w:val="ONUME"/>
      </w:pPr>
      <w:r>
        <w:t xml:space="preserve">Была начата работа по разработке веб-сервисов в рамках ePCT, которые позволят оказывать автоматизированные услуги в режиме, близком к реальному времени, включая обычные ключевые услуги или </w:t>
      </w:r>
      <w:r w:rsidR="0044606B">
        <w:t>получение</w:t>
      </w:r>
      <w:r>
        <w:t xml:space="preserve"> необходимых документов по требованию, если это является предпочтительным вариантом по сравнению с передачей полных пакетов документов.  Внедрение таких сервисов зависит от внедрения новой системы управления идентификацией (IDM) в Международном бюро, которая более приспособлена для аутентификации систем автоматизации.  Международное бюро проведет консультации по этим вопросам, как только будут известны подробные характеристики IDM, а в настоящее время оно готово принять общие комментарии касательно того, какие сервисы могли бы быть полезны.</w:t>
      </w:r>
    </w:p>
    <w:p w:rsidR="00A360B0" w:rsidRDefault="00A360B0">
      <w:pPr>
        <w:pStyle w:val="Heading1"/>
      </w:pPr>
      <w:r>
        <w:t>Прочие вопросы</w:t>
      </w:r>
    </w:p>
    <w:p w:rsidR="00A360B0" w:rsidRPr="007067B9" w:rsidRDefault="00A360B0" w:rsidP="007067B9">
      <w:pPr>
        <w:pStyle w:val="ONUME"/>
      </w:pPr>
      <w:r>
        <w:t xml:space="preserve">Ряд вопросов, связанных с онлайновыми сервисами, рассмотрены в других документах этой Рабочей группы, включая следующие: переход на национальную фазу с помощью ePCT (документ PCT/WG/8/21), цветные чертежи (документ PCT/WG/8/21), несоблюдение сроков и форс-мажор для электронных сообщений (документ PCT/WG/8/22) и языки для обмена сообщениями с Международным бюро (документ PCT/WG/8/23).  Кроме того, </w:t>
      </w:r>
      <w:r w:rsidR="0044606B">
        <w:t>далее описан</w:t>
      </w:r>
      <w:r>
        <w:t>ы вопросы, о которых национа</w:t>
      </w:r>
      <w:r w:rsidR="0044606B">
        <w:t>льным в</w:t>
      </w:r>
      <w:r>
        <w:t>едомствам следует знать, хотя они и не являются приоритетными областями, где требуется принятие конкретных мер.</w:t>
      </w:r>
    </w:p>
    <w:p w:rsidR="00A063DD" w:rsidRDefault="00A063DD" w:rsidP="007067B9">
      <w:pPr>
        <w:pStyle w:val="Heading2"/>
      </w:pPr>
      <w:r>
        <w:t>Полнотек</w:t>
      </w:r>
      <w:r w:rsidR="0044606B">
        <w:t>С</w:t>
      </w:r>
      <w:r>
        <w:t>товый основной текст заявок</w:t>
      </w:r>
    </w:p>
    <w:p w:rsidR="00A063DD" w:rsidRDefault="00A063DD">
      <w:pPr>
        <w:pStyle w:val="ONUME"/>
      </w:pPr>
      <w:r>
        <w:t>Международное бюро призывает к подаче и обработке международных заявок в полнотекстовом формате.  Однако использование подачи с помощью традиционн</w:t>
      </w:r>
      <w:r w:rsidR="006D6E00">
        <w:t>ого формата XML ограничивается в</w:t>
      </w:r>
      <w:r>
        <w:t xml:space="preserve">едомствами, которые также предлагают в качестве альтернативы формат PDF.  Это обусловлено множеством причин, но одна из них состоит в том, что, по мнению заявителей, составление документов в XML или конвертация в этот формат менее удобна, чем прямая конвертация в PDF из текстового редактора или даже сканирование в формат PDF распечатанных материалов.  Система подачи заявок через ePCT в настоящее время дает возможность загрузки </w:t>
      </w:r>
      <w:r w:rsidR="006D6E00">
        <w:t xml:space="preserve">в формате Office Open XML (.docx) </w:t>
      </w:r>
      <w:r>
        <w:t xml:space="preserve">документов, созданных непосредственно в программе Microsoft Word или в другом текстовом редакторе.  Такие документы автоматически конвертируются в формат XML, о чем говорится в приложении F к Административной инструкции к PCT.  Предупреждающие сообщения указывают на то, что какие-то элементы, возможно, были конвертированы неверно, а опция предварительного просмотра позволяет увидеть, как будет выглядеть заявка в электронной системе Международного бюро и в итоге при публикации. </w:t>
      </w:r>
      <w:r w:rsidR="006D6E00">
        <w:t xml:space="preserve"> Первоначальный</w:t>
      </w:r>
      <w:r>
        <w:t xml:space="preserve"> документ, созданный в текстовом редакторе, сохраняется как файл </w:t>
      </w:r>
      <w:r w:rsidR="006D6E00">
        <w:t>«в предконвертационном формате»</w:t>
      </w:r>
      <w:r>
        <w:t xml:space="preserve"> в соответствии с разделом 706 Административной инструкции к PCT, что позволяет исправить любые ошибки, появившиеся в результате конвертации, которые обнаруживаются на более позднем этапе.</w:t>
      </w:r>
    </w:p>
    <w:p w:rsidR="00A063DD" w:rsidRPr="00883FD2" w:rsidRDefault="00A063DD" w:rsidP="00D5183B">
      <w:pPr>
        <w:pStyle w:val="ONUME"/>
      </w:pPr>
      <w:r>
        <w:t>Национальным Ведомствам и группам пользователей предлагается оценить этот инструмент и обсудить то, как этот и другие инструменты и сервисы могут способствовать созданию системы, основанной на полнотекстовой обработке основного текста заявок.</w:t>
      </w:r>
    </w:p>
    <w:p w:rsidR="00FD3881" w:rsidRDefault="00E15710" w:rsidP="007067B9">
      <w:pPr>
        <w:pStyle w:val="Heading2"/>
      </w:pPr>
      <w:r>
        <w:t>Централизованная уплата пошлин</w:t>
      </w:r>
    </w:p>
    <w:p w:rsidR="00FD3881" w:rsidRDefault="00FD3881" w:rsidP="00267479">
      <w:pPr>
        <w:pStyle w:val="ONUME"/>
      </w:pPr>
      <w:r>
        <w:t>В настоящее время ePCT дает возможность уплаты пошлин Междунаро</w:t>
      </w:r>
      <w:r w:rsidR="006D6E00">
        <w:t xml:space="preserve">дному бюро в режиме онлайн </w:t>
      </w:r>
      <w:r>
        <w:t>с помощью кредитной карты</w:t>
      </w:r>
      <w:r w:rsidR="006D6E00">
        <w:t xml:space="preserve"> или</w:t>
      </w:r>
      <w:r>
        <w:t xml:space="preserve"> с помощью текущего счета в ВОИС.  Возможно, те же механизмы могут быть использованы и для обеспечения возможности централизованной уплаты пошлин на определенном этапе в будущем, но в настоящее время по-прежнему необходимо, чтобы получающие ведомства, которые принимают электронные заявки через ePCT, и международные органы, в которые обращаются заявители за пределами собственной страны, продолжали обеспечивать функционирование эффективных систем платежей, необходимых для таких заявителей.</w:t>
      </w:r>
    </w:p>
    <w:p w:rsidR="00FD3881" w:rsidRDefault="00FD3881" w:rsidP="00E15710">
      <w:pPr>
        <w:pStyle w:val="ONUME"/>
      </w:pPr>
      <w:r>
        <w:t>Подробное предложение в этой области могло бы быть разработано на основе дискуссии по поводу механизма взаимозачетов, о котором идет речь в документе PCT/WG/8/15 и в циркулярном письме C PCT 1440.  Однако Международное бюро предлагает получающим ведомствам и международным органам направлять свои замечания касательно того, насколько такой механизм был бы полезен, если его реализация окажется практически возможной, а также замечания по поводу любых вопросов, которые следует принять во внимание в ходе оценки.</w:t>
      </w:r>
    </w:p>
    <w:p w:rsidR="00FD3881" w:rsidRDefault="00FD3881" w:rsidP="009C3976">
      <w:pPr>
        <w:pStyle w:val="Heading1"/>
      </w:pPr>
      <w:r>
        <w:t>Обсуждение использования сервисов национальными Ведомствами</w:t>
      </w:r>
    </w:p>
    <w:p w:rsidR="00FD3881" w:rsidRDefault="00FD3881" w:rsidP="009C3976">
      <w:pPr>
        <w:pStyle w:val="ONUME"/>
        <w:keepLines/>
      </w:pPr>
      <w:r>
        <w:t>Помимо комментариев, сделанных н</w:t>
      </w:r>
      <w:r w:rsidR="006D6E00">
        <w:t>а Рабочей группе, национальным в</w:t>
      </w:r>
      <w:r>
        <w:t xml:space="preserve">едомствам, членам и наблюдателям Рабочей группы предлагается направить свои </w:t>
      </w:r>
      <w:r w:rsidR="006D6E00">
        <w:t>замечания</w:t>
      </w:r>
      <w:r>
        <w:t xml:space="preserve"> </w:t>
      </w:r>
      <w:r w:rsidR="006D6E00">
        <w:t xml:space="preserve">по поводу разработки сервисов </w:t>
      </w:r>
      <w:r>
        <w:t xml:space="preserve">в любой момент в Отдел деловой практики РСТ по адресу </w:t>
      </w:r>
      <w:hyperlink r:id="rId9" w:history="1">
        <w:r w:rsidR="006D6E00" w:rsidRPr="00EE23C0">
          <w:rPr>
            <w:rStyle w:val="Hyperlink"/>
            <w:color w:val="auto"/>
            <w:u w:val="none"/>
          </w:rPr>
          <w:t>pctbdd@wipo.int</w:t>
        </w:r>
      </w:hyperlink>
      <w:r>
        <w:t>.</w:t>
      </w:r>
      <w:r w:rsidR="006D6E00">
        <w:t xml:space="preserve"> </w:t>
      </w:r>
      <w:r>
        <w:t xml:space="preserve"> Кроме того, чтобы начать двустороннее обсуждение технических требований, сроков реализации, требований к разработке и тестированию с целью начала использования новых сервисов</w:t>
      </w:r>
      <w:r w:rsidR="006D6E00">
        <w:t>,</w:t>
      </w:r>
      <w:r>
        <w:t xml:space="preserve"> следует обратиться в Отдел международного сотрудничества РСТ по адресу pcticd@wipo.int. </w:t>
      </w:r>
      <w:bookmarkStart w:id="5" w:name="_GoBack"/>
      <w:bookmarkEnd w:id="5"/>
    </w:p>
    <w:p w:rsidR="00E15710" w:rsidRPr="007067B9" w:rsidRDefault="00E15710" w:rsidP="00E15710">
      <w:pPr>
        <w:pStyle w:val="ONUME"/>
        <w:ind w:left="5533"/>
        <w:rPr>
          <w:i/>
          <w:iCs/>
        </w:rPr>
      </w:pPr>
      <w:r>
        <w:rPr>
          <w:i/>
        </w:rPr>
        <w:t>Рабочей группе предлагается представить замечания по вопросам, изложенным в настоящем документе.</w:t>
      </w:r>
    </w:p>
    <w:p w:rsidR="000D0199" w:rsidRDefault="00E15710" w:rsidP="00E15710">
      <w:pPr>
        <w:pStyle w:val="Endofdocument-Annex"/>
      </w:pPr>
      <w:r>
        <w:t>[Конец документа]</w:t>
      </w:r>
    </w:p>
    <w:sectPr w:rsidR="000D0199" w:rsidSect="008363A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D3" w:rsidRDefault="00E923D3">
      <w:r>
        <w:separator/>
      </w:r>
    </w:p>
  </w:endnote>
  <w:endnote w:type="continuationSeparator" w:id="0">
    <w:p w:rsidR="00E923D3" w:rsidRDefault="00E923D3" w:rsidP="003B38C1">
      <w:r>
        <w:separator/>
      </w:r>
    </w:p>
    <w:p w:rsidR="00E923D3" w:rsidRPr="005A18CC" w:rsidRDefault="00E923D3" w:rsidP="003B38C1">
      <w:pPr>
        <w:spacing w:after="60"/>
        <w:rPr>
          <w:sz w:val="17"/>
          <w:lang w:val="en-US"/>
        </w:rPr>
      </w:pPr>
      <w:r w:rsidRPr="005A18CC">
        <w:rPr>
          <w:sz w:val="17"/>
          <w:lang w:val="en-US"/>
        </w:rPr>
        <w:t>[Endnote continued from previous page]</w:t>
      </w:r>
    </w:p>
  </w:endnote>
  <w:endnote w:type="continuationNotice" w:id="1">
    <w:p w:rsidR="00E923D3" w:rsidRPr="005A18CC" w:rsidRDefault="00E923D3" w:rsidP="003B38C1">
      <w:pPr>
        <w:spacing w:before="60"/>
        <w:jc w:val="right"/>
        <w:rPr>
          <w:sz w:val="17"/>
          <w:szCs w:val="17"/>
          <w:lang w:val="en-US"/>
        </w:rPr>
      </w:pPr>
      <w:r w:rsidRPr="005A18C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D3" w:rsidRDefault="00E923D3">
      <w:r>
        <w:separator/>
      </w:r>
    </w:p>
  </w:footnote>
  <w:footnote w:type="continuationSeparator" w:id="0">
    <w:p w:rsidR="00E923D3" w:rsidRDefault="00E923D3" w:rsidP="008B60B2">
      <w:r>
        <w:separator/>
      </w:r>
    </w:p>
    <w:p w:rsidR="00E923D3" w:rsidRPr="005A18CC" w:rsidRDefault="00E923D3" w:rsidP="008B60B2">
      <w:pPr>
        <w:spacing w:after="60"/>
        <w:rPr>
          <w:sz w:val="17"/>
          <w:szCs w:val="17"/>
          <w:lang w:val="en-US"/>
        </w:rPr>
      </w:pPr>
      <w:r w:rsidRPr="005A18C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E923D3" w:rsidRPr="005A18CC" w:rsidRDefault="00E923D3" w:rsidP="008B60B2">
      <w:pPr>
        <w:spacing w:before="60"/>
        <w:jc w:val="right"/>
        <w:rPr>
          <w:sz w:val="17"/>
          <w:szCs w:val="17"/>
          <w:lang w:val="en-US"/>
        </w:rPr>
      </w:pPr>
      <w:r w:rsidRPr="005A18CC">
        <w:rPr>
          <w:sz w:val="17"/>
          <w:szCs w:val="17"/>
          <w:lang w:val="en-US"/>
        </w:rPr>
        <w:t>[Footnote continued on next page]</w:t>
      </w:r>
    </w:p>
  </w:footnote>
  <w:footnote w:id="2">
    <w:p w:rsidR="002450C0" w:rsidRDefault="002450C0" w:rsidP="002450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PCT-EDI — это сервис, основанный на SFTP, который используется для большинства электронных сообщений на международной фазе</w:t>
      </w:r>
      <w:r w:rsidR="000B047C">
        <w:t xml:space="preserve"> в ходе взаимодействия</w:t>
      </w:r>
      <w:r>
        <w:t xml:space="preserve"> между Международным бюро и национальным</w:t>
      </w:r>
      <w:r w:rsidR="000B047C">
        <w:t>и в</w:t>
      </w:r>
      <w:r>
        <w:t>едомствами.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D3881" w:rsidP="00270E5E">
    <w:pPr>
      <w:jc w:val="right"/>
    </w:pPr>
    <w:bookmarkStart w:id="6" w:name="Code2"/>
    <w:bookmarkEnd w:id="6"/>
    <w:r>
      <w:t>PCT/WG/8/20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E23C0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AA"/>
    <w:rsid w:val="00004EA7"/>
    <w:rsid w:val="00006B11"/>
    <w:rsid w:val="00025678"/>
    <w:rsid w:val="00030450"/>
    <w:rsid w:val="00043CAA"/>
    <w:rsid w:val="00075432"/>
    <w:rsid w:val="00084A69"/>
    <w:rsid w:val="000968ED"/>
    <w:rsid w:val="00096AF0"/>
    <w:rsid w:val="000B047C"/>
    <w:rsid w:val="000D0199"/>
    <w:rsid w:val="000D448C"/>
    <w:rsid w:val="000F5E56"/>
    <w:rsid w:val="0010507A"/>
    <w:rsid w:val="001362EE"/>
    <w:rsid w:val="001832A6"/>
    <w:rsid w:val="002450C0"/>
    <w:rsid w:val="002634C4"/>
    <w:rsid w:val="00267479"/>
    <w:rsid w:val="00270E5E"/>
    <w:rsid w:val="0029262B"/>
    <w:rsid w:val="002928D3"/>
    <w:rsid w:val="00295129"/>
    <w:rsid w:val="002F1FE6"/>
    <w:rsid w:val="002F4E68"/>
    <w:rsid w:val="00300514"/>
    <w:rsid w:val="00312F7F"/>
    <w:rsid w:val="00347F2A"/>
    <w:rsid w:val="00361450"/>
    <w:rsid w:val="003673CF"/>
    <w:rsid w:val="003845C1"/>
    <w:rsid w:val="003A2A01"/>
    <w:rsid w:val="003A6F89"/>
    <w:rsid w:val="003B38C1"/>
    <w:rsid w:val="003E0F03"/>
    <w:rsid w:val="00401AFD"/>
    <w:rsid w:val="00412DAE"/>
    <w:rsid w:val="00423E3E"/>
    <w:rsid w:val="00424263"/>
    <w:rsid w:val="00427AF4"/>
    <w:rsid w:val="0044606B"/>
    <w:rsid w:val="004647DA"/>
    <w:rsid w:val="00473415"/>
    <w:rsid w:val="00474062"/>
    <w:rsid w:val="00477D6B"/>
    <w:rsid w:val="004E5A30"/>
    <w:rsid w:val="005019FF"/>
    <w:rsid w:val="0053057A"/>
    <w:rsid w:val="00560A29"/>
    <w:rsid w:val="00572CD7"/>
    <w:rsid w:val="005A18CC"/>
    <w:rsid w:val="005C347B"/>
    <w:rsid w:val="005C6649"/>
    <w:rsid w:val="00605827"/>
    <w:rsid w:val="00642636"/>
    <w:rsid w:val="00646050"/>
    <w:rsid w:val="00647A6F"/>
    <w:rsid w:val="00660AB0"/>
    <w:rsid w:val="006713CA"/>
    <w:rsid w:val="00676C5C"/>
    <w:rsid w:val="006A7937"/>
    <w:rsid w:val="006D6E00"/>
    <w:rsid w:val="007067B9"/>
    <w:rsid w:val="0070763E"/>
    <w:rsid w:val="00710C56"/>
    <w:rsid w:val="007841A2"/>
    <w:rsid w:val="007D1613"/>
    <w:rsid w:val="0080588E"/>
    <w:rsid w:val="008071BA"/>
    <w:rsid w:val="00825662"/>
    <w:rsid w:val="008363AA"/>
    <w:rsid w:val="0085705D"/>
    <w:rsid w:val="00883FD2"/>
    <w:rsid w:val="008B2CC1"/>
    <w:rsid w:val="008B60B2"/>
    <w:rsid w:val="0090731E"/>
    <w:rsid w:val="00916EE2"/>
    <w:rsid w:val="009612CC"/>
    <w:rsid w:val="00966A22"/>
    <w:rsid w:val="0096722F"/>
    <w:rsid w:val="00980843"/>
    <w:rsid w:val="009C3976"/>
    <w:rsid w:val="009E2791"/>
    <w:rsid w:val="009E3F6F"/>
    <w:rsid w:val="009F2F4D"/>
    <w:rsid w:val="009F499F"/>
    <w:rsid w:val="00A063DD"/>
    <w:rsid w:val="00A06931"/>
    <w:rsid w:val="00A360B0"/>
    <w:rsid w:val="00A42DAF"/>
    <w:rsid w:val="00A45BD8"/>
    <w:rsid w:val="00A65C28"/>
    <w:rsid w:val="00A83062"/>
    <w:rsid w:val="00A869B7"/>
    <w:rsid w:val="00AB1199"/>
    <w:rsid w:val="00AC205C"/>
    <w:rsid w:val="00AF03A0"/>
    <w:rsid w:val="00AF0A6B"/>
    <w:rsid w:val="00B01101"/>
    <w:rsid w:val="00B05A69"/>
    <w:rsid w:val="00B15B4F"/>
    <w:rsid w:val="00B9734B"/>
    <w:rsid w:val="00BE7A33"/>
    <w:rsid w:val="00C11BFE"/>
    <w:rsid w:val="00C27EB3"/>
    <w:rsid w:val="00C4205A"/>
    <w:rsid w:val="00C66F0C"/>
    <w:rsid w:val="00C70AF9"/>
    <w:rsid w:val="00C97079"/>
    <w:rsid w:val="00CC5A1F"/>
    <w:rsid w:val="00CF6CA7"/>
    <w:rsid w:val="00D04AA7"/>
    <w:rsid w:val="00D45252"/>
    <w:rsid w:val="00D5183B"/>
    <w:rsid w:val="00D71B4D"/>
    <w:rsid w:val="00D93D55"/>
    <w:rsid w:val="00E00ECB"/>
    <w:rsid w:val="00E15710"/>
    <w:rsid w:val="00E335FE"/>
    <w:rsid w:val="00E34979"/>
    <w:rsid w:val="00E41F61"/>
    <w:rsid w:val="00E57228"/>
    <w:rsid w:val="00E923D3"/>
    <w:rsid w:val="00EA4129"/>
    <w:rsid w:val="00EC4E49"/>
    <w:rsid w:val="00ED77FB"/>
    <w:rsid w:val="00EE23C0"/>
    <w:rsid w:val="00EE45FA"/>
    <w:rsid w:val="00EF67BB"/>
    <w:rsid w:val="00F1524A"/>
    <w:rsid w:val="00F15E8D"/>
    <w:rsid w:val="00F27A64"/>
    <w:rsid w:val="00F44E9B"/>
    <w:rsid w:val="00F66152"/>
    <w:rsid w:val="00FC49B5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0D0199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F6CA7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D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D3881"/>
    <w:rPr>
      <w:vertAlign w:val="superscript"/>
    </w:rPr>
  </w:style>
  <w:style w:type="paragraph" w:styleId="BalloonText">
    <w:name w:val="Balloon Text"/>
    <w:basedOn w:val="Normal"/>
    <w:link w:val="BalloonTextChar"/>
    <w:rsid w:val="000D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48C"/>
    <w:rPr>
      <w:rFonts w:ascii="Tahoma" w:eastAsia="SimSu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rsid w:val="005C34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C34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347B"/>
    <w:rPr>
      <w:rFonts w:ascii="Arial" w:eastAsia="SimSun" w:hAnsi="Arial" w:cs="Arial"/>
      <w:sz w:val="18"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5C347B"/>
    <w:rPr>
      <w:rFonts w:ascii="Arial" w:eastAsia="SimSun" w:hAnsi="Arial" w:cs="Arial"/>
      <w:b/>
      <w:bCs/>
      <w:sz w:val="18"/>
      <w:lang w:eastAsia="ru-RU"/>
    </w:rPr>
  </w:style>
  <w:style w:type="character" w:styleId="Hyperlink">
    <w:name w:val="Hyperlink"/>
    <w:basedOn w:val="DefaultParagraphFont"/>
    <w:rsid w:val="006D6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0D0199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F6CA7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D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D3881"/>
    <w:rPr>
      <w:vertAlign w:val="superscript"/>
    </w:rPr>
  </w:style>
  <w:style w:type="paragraph" w:styleId="BalloonText">
    <w:name w:val="Balloon Text"/>
    <w:basedOn w:val="Normal"/>
    <w:link w:val="BalloonTextChar"/>
    <w:rsid w:val="000D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48C"/>
    <w:rPr>
      <w:rFonts w:ascii="Tahoma" w:eastAsia="SimSu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rsid w:val="005C34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C34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347B"/>
    <w:rPr>
      <w:rFonts w:ascii="Arial" w:eastAsia="SimSun" w:hAnsi="Arial" w:cs="Arial"/>
      <w:sz w:val="18"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5C347B"/>
    <w:rPr>
      <w:rFonts w:ascii="Arial" w:eastAsia="SimSun" w:hAnsi="Arial" w:cs="Arial"/>
      <w:b/>
      <w:bCs/>
      <w:sz w:val="18"/>
      <w:lang w:eastAsia="ru-RU"/>
    </w:rPr>
  </w:style>
  <w:style w:type="character" w:styleId="Hyperlink">
    <w:name w:val="Hyperlink"/>
    <w:basedOn w:val="DefaultParagraphFont"/>
    <w:rsid w:val="006D6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ctbdd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3113</Words>
  <Characters>20962</Characters>
  <Application>Microsoft Office Word</Application>
  <DocSecurity>0</DocSecurity>
  <Lines>174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PCT Online Services</dc:subject>
  <dc:creator>RICHARDSON Michael</dc:creator>
  <cp:lastModifiedBy>MARLOW Thomas</cp:lastModifiedBy>
  <cp:revision>3</cp:revision>
  <cp:lastPrinted>2015-05-04T09:12:00Z</cp:lastPrinted>
  <dcterms:created xsi:type="dcterms:W3CDTF">2015-05-13T14:04:00Z</dcterms:created>
  <dcterms:modified xsi:type="dcterms:W3CDTF">2015-05-13T14:05:00Z</dcterms:modified>
</cp:coreProperties>
</file>