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AD2B" w14:textId="370F4DEF" w:rsidR="008B2CC1" w:rsidRPr="008B2CC1" w:rsidRDefault="00FB0529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643ED33A" wp14:editId="7906F70E">
            <wp:extent cx="3246120" cy="1501140"/>
            <wp:effectExtent l="0" t="0" r="0" b="3810"/>
            <wp:docPr id="138636239" name="Picture 138636239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46E62C25" wp14:editId="612D911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579474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504F9F9" w14:textId="4380E749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PCT/WG/19/</w:t>
      </w:r>
      <w:bookmarkStart w:id="0" w:name="Code"/>
      <w:bookmarkEnd w:id="0"/>
      <w:r>
        <w:rPr>
          <w:rFonts w:ascii="Arial Black" w:hAnsi="Arial Black"/>
          <w:caps/>
          <w:sz w:val="15"/>
        </w:rPr>
        <w:t>8</w:t>
      </w:r>
    </w:p>
    <w:p w14:paraId="5AF6BDDE" w14:textId="5725EA1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6DEC397" w14:textId="206BEE43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19 декабря 2025 года</w:t>
      </w:r>
    </w:p>
    <w:bookmarkEnd w:id="2"/>
    <w:p w14:paraId="6B025ECE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54FBF4B4" w14:textId="77777777" w:rsidR="008B2CC1" w:rsidRPr="003845C1" w:rsidRDefault="00B36CA2" w:rsidP="008B2CC1">
      <w:pPr>
        <w:rPr>
          <w:b/>
          <w:sz w:val="24"/>
          <w:szCs w:val="24"/>
        </w:rPr>
      </w:pPr>
      <w:r>
        <w:rPr>
          <w:b/>
          <w:sz w:val="24"/>
        </w:rPr>
        <w:t>Девятнадцатая сессия</w:t>
      </w:r>
    </w:p>
    <w:p w14:paraId="60E77E92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2–6 февраля 2026 года</w:t>
      </w:r>
    </w:p>
    <w:p w14:paraId="2BEF976F" w14:textId="534F36C0" w:rsidR="008B2CC1" w:rsidRPr="009F3BF9" w:rsidRDefault="007A5E3A" w:rsidP="007A5E3A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Принятие Международным бюро документов от имени компетентного органа</w:t>
      </w:r>
    </w:p>
    <w:p w14:paraId="2191427C" w14:textId="0EF7C640" w:rsidR="008B2CC1" w:rsidRPr="004D39C4" w:rsidRDefault="00735743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Международным бюро</w:t>
      </w:r>
    </w:p>
    <w:bookmarkEnd w:id="4"/>
    <w:p w14:paraId="137077E2" w14:textId="1D6A9294" w:rsidR="007A5E3A" w:rsidRDefault="007A5E3A" w:rsidP="007A5E3A">
      <w:pPr>
        <w:pStyle w:val="Heading1"/>
      </w:pPr>
      <w:r>
        <w:t>Резюме</w:t>
      </w:r>
    </w:p>
    <w:p w14:paraId="5D27C6F2" w14:textId="4C788CBC" w:rsidR="007A5E3A" w:rsidRPr="007A5E3A" w:rsidRDefault="00FF26C4" w:rsidP="00CF1B22">
      <w:pPr>
        <w:pStyle w:val="ONUME"/>
      </w:pPr>
      <w:r>
        <w:t>В приложении представлены предложения</w:t>
      </w:r>
      <w:r w:rsidR="00C56E3E">
        <w:t>, касающиеся</w:t>
      </w:r>
      <w:r>
        <w:t xml:space="preserve"> правила, которое позвол</w:t>
      </w:r>
      <w:r w:rsidR="003608B4">
        <w:t>и</w:t>
      </w:r>
      <w:r>
        <w:t xml:space="preserve">т Международному бюро </w:t>
      </w:r>
      <w:r w:rsidR="00900B8D">
        <w:t>п</w:t>
      </w:r>
      <w:r w:rsidR="00313146">
        <w:t>ринимать</w:t>
      </w:r>
      <w:r>
        <w:t xml:space="preserve"> корреспонденцию от имени национального ведомства в качестве Получающего ведомства, Международного поискового органа, Органа, являющегося компетентным для проведения дополнительного поиска, или Органа международной предварительной экспертизы (компетентного органа), </w:t>
      </w:r>
      <w:r w:rsidR="00DC3BDA">
        <w:t xml:space="preserve">при этом </w:t>
      </w:r>
      <w:r w:rsidR="00652E10">
        <w:t>такая</w:t>
      </w:r>
      <w:r>
        <w:t xml:space="preserve"> корреспонденция</w:t>
      </w:r>
      <w:r w:rsidR="00DC3BDA">
        <w:t xml:space="preserve"> </w:t>
      </w:r>
      <w:r w:rsidR="00652E10">
        <w:t>будет</w:t>
      </w:r>
      <w:r>
        <w:t xml:space="preserve"> переда</w:t>
      </w:r>
      <w:r w:rsidR="00DC3BDA">
        <w:t>ваться</w:t>
      </w:r>
      <w:r>
        <w:t xml:space="preserve"> компетентному органу и считаться полученной компетентным органо</w:t>
      </w:r>
      <w:r w:rsidR="00DC3BDA">
        <w:t>м</w:t>
      </w:r>
      <w:r>
        <w:t xml:space="preserve"> в дату ее получения Международным бюро.</w:t>
      </w:r>
    </w:p>
    <w:p w14:paraId="5CB05B9F" w14:textId="21E2C371" w:rsidR="002928D3" w:rsidRDefault="00735743" w:rsidP="007A5E3A">
      <w:pPr>
        <w:pStyle w:val="Heading1"/>
      </w:pPr>
      <w:r>
        <w:t>Справочная информация</w:t>
      </w:r>
    </w:p>
    <w:p w14:paraId="4EACBE81" w14:textId="49EB1AD4" w:rsidR="00B00D9B" w:rsidRDefault="00735743" w:rsidP="007A5E3A">
      <w:pPr>
        <w:pStyle w:val="ONUME"/>
      </w:pPr>
      <w:r>
        <w:t>На семнадцатой сессии Рабочей группы РСТ обсужд</w:t>
      </w:r>
      <w:r w:rsidR="008A0C8F">
        <w:t>алось</w:t>
      </w:r>
      <w:r>
        <w:t xml:space="preserve"> предложени</w:t>
      </w:r>
      <w:r w:rsidR="008A0C8F">
        <w:t>е</w:t>
      </w:r>
      <w:r>
        <w:t xml:space="preserve"> Бразилии о предоставлении </w:t>
      </w:r>
      <w:r w:rsidR="002142B9">
        <w:t>П</w:t>
      </w:r>
      <w:r>
        <w:t>олучающим ведомствам возможности требовать, чтобы подача заявок и предоставление последующих документов осуществлялись только в электронной форме.  Предложение было утверждено, при этом было отмечено, что (помимо других гарантий) эт</w:t>
      </w:r>
      <w:r w:rsidR="002142B9">
        <w:t xml:space="preserve">от вариант </w:t>
      </w:r>
      <w:r>
        <w:t>не будет доступ</w:t>
      </w:r>
      <w:r w:rsidR="002142B9">
        <w:t>ен</w:t>
      </w:r>
      <w:r>
        <w:t xml:space="preserve"> Международному бюро как Получающему ведомству, которое приняло положение правила 89</w:t>
      </w:r>
      <w:r>
        <w:rPr>
          <w:i/>
        </w:rPr>
        <w:t>bis</w:t>
      </w:r>
      <w:r>
        <w:t>.1(d-</w:t>
      </w:r>
      <w:r>
        <w:rPr>
          <w:i/>
        </w:rPr>
        <w:t>bis</w:t>
      </w:r>
      <w:r>
        <w:t>), требующе</w:t>
      </w:r>
      <w:r w:rsidR="003E749B">
        <w:t>е</w:t>
      </w:r>
      <w:r>
        <w:t xml:space="preserve"> от него продолжать принимать заявки и документы в бумажном виде до тех пор, пока в </w:t>
      </w:r>
      <w:r w:rsidR="003D525E">
        <w:t xml:space="preserve">это </w:t>
      </w:r>
      <w:r>
        <w:t>правило не будут внесены дополнительные поправки.  Предложенные правила были одобрены Ассамблеей Союза PCT и вступили в силу 1 июля 2025 года.</w:t>
      </w:r>
    </w:p>
    <w:p w14:paraId="790079B3" w14:textId="35730677" w:rsidR="00CF1B22" w:rsidRDefault="00B00D9B" w:rsidP="00B938AF">
      <w:pPr>
        <w:pStyle w:val="ONUME"/>
        <w:keepLines/>
      </w:pPr>
      <w:r>
        <w:lastRenderedPageBreak/>
        <w:t>Одна делегация задала Международному бюро вопрос о том, согласится ли оно также принимать документы в бумажном виде от имени национальных ведомств, которые хотели бы принимать предоставленные документы после подачи международной заявки только в электронно</w:t>
      </w:r>
      <w:r w:rsidR="00851E79">
        <w:t>й</w:t>
      </w:r>
      <w:r>
        <w:t xml:space="preserve"> форме.</w:t>
      </w:r>
    </w:p>
    <w:p w14:paraId="4EAD36E1" w14:textId="5048F5AF" w:rsidR="00B00D9B" w:rsidRDefault="00B00D9B" w:rsidP="007A5E3A">
      <w:pPr>
        <w:pStyle w:val="ONUME"/>
      </w:pPr>
      <w:r>
        <w:t>Международное бюро ответило, что такая услуга будет использоваться лишь в крайне редких случаях.  Следовательно, объем работы по получению, сканированию и дальнейшей передаче документов будет незначительным, и в принципе оно согласно оказывать эту услугу.  Однако было неясно, смогут ли национальные ведомства в роли Получающего ведомства, Международного поискового органа или Органа международной предварительной экспертизы считать документы полученными в</w:t>
      </w:r>
      <w:r w:rsidR="000511E0">
        <w:t xml:space="preserve"> ту</w:t>
      </w:r>
      <w:r>
        <w:t xml:space="preserve"> дату, </w:t>
      </w:r>
      <w:r w:rsidR="000511E0">
        <w:t>в которую</w:t>
      </w:r>
      <w:r>
        <w:t xml:space="preserve"> они были получены Международным бюро.  Существовала вероятность того, что эти документы могут считаться полученными лишь после их фактического получения соответствующим ведомством, что потенциально могло привести к тому, что заявитель пропустит крайний срок для осуществления действия.</w:t>
      </w:r>
    </w:p>
    <w:p w14:paraId="05D16912" w14:textId="378197D8" w:rsidR="00496131" w:rsidRDefault="00496131" w:rsidP="007A5E3A">
      <w:pPr>
        <w:pStyle w:val="ONUME"/>
      </w:pPr>
      <w:r>
        <w:t>В этой связи Международное бюро рекомендовало прибегать к такому порядку действий только в случае разработки соответствующей четкой правовой базы.</w:t>
      </w:r>
    </w:p>
    <w:p w14:paraId="4431954E" w14:textId="35347261" w:rsidR="00496131" w:rsidRDefault="00496131" w:rsidP="00BD7374">
      <w:pPr>
        <w:pStyle w:val="ONUME"/>
      </w:pPr>
      <w:r>
        <w:t xml:space="preserve">В настоящее время существует конкретная правовая база, согласно которой Ведомство обязано считать документ полученным в дату, </w:t>
      </w:r>
      <w:r w:rsidR="00702887">
        <w:t>в которую</w:t>
      </w:r>
      <w:r>
        <w:t xml:space="preserve"> он был получен Международным бюро или другим Ведомством, только в одном особом случае.  А именно: правило 59.3 гласит, что если требование подано в любой орган PCT (включая Международное бюро), который является </w:t>
      </w:r>
      <w:r w:rsidR="00CE54A0">
        <w:t>не</w:t>
      </w:r>
      <w:r>
        <w:t xml:space="preserve">компетентным в проведении международной предварительной экспертизы по этой международной заявке, то такой орган пересылает требование в компетентный Орган международной предварительной экспертизы, который должен считать это требование полученным в дату, </w:t>
      </w:r>
      <w:r w:rsidR="00F10C63">
        <w:t>в которую</w:t>
      </w:r>
      <w:r>
        <w:t xml:space="preserve"> оно было получено некомпетентным органом.</w:t>
      </w:r>
    </w:p>
    <w:p w14:paraId="65F29700" w14:textId="1A4FFF13" w:rsidR="0053353E" w:rsidRDefault="0053353E" w:rsidP="00BD7374">
      <w:pPr>
        <w:pStyle w:val="ONUME"/>
      </w:pPr>
      <w:r>
        <w:t>Система ePCT предлагает аналогичный и более широкий механизм через сервис электронного перенаправления документов (eRouting), которым пользуется 101</w:t>
      </w:r>
      <w:r w:rsidR="000F3D2C">
        <w:t> </w:t>
      </w:r>
      <w:r>
        <w:t xml:space="preserve">ведомство.  </w:t>
      </w:r>
      <w:r w:rsidR="00274FA1">
        <w:t>В его рамках</w:t>
      </w:r>
      <w:r>
        <w:t xml:space="preserve"> документы могут загружаться в электронном виде в систему ePCT, в которой они регистрируются как полученные в определенную дату в соответствии с часовым поясом </w:t>
      </w:r>
      <w:r w:rsidR="00E94255">
        <w:t>определенного</w:t>
      </w:r>
      <w:r>
        <w:t xml:space="preserve"> </w:t>
      </w:r>
      <w:r w:rsidR="00274FA1">
        <w:t>В</w:t>
      </w:r>
      <w:r>
        <w:t xml:space="preserve">едомства и хранятся на сервере этого </w:t>
      </w:r>
      <w:r w:rsidR="00274FA1">
        <w:t>В</w:t>
      </w:r>
      <w:r>
        <w:t>едомства.  В некоторых случаях это тот же сервер, который Ведомство использует для документов на этапе обработки заявок на международной фазе; в иных случаях сервер считается частью Ведомства, и достигнуто согласие об учете этой даты в рамках условий оказания услуг.  Вместе с тем в любом случае, даже при условии, что услугу оказывает Международное бюро, документ считается юридически направленным непосредственно в Ведомство.  Кроме того, это правило применяется только к документам, поданным в электронном виде и через соответствующий сервис, и не касается документов, полученных в бумажном виде.</w:t>
      </w:r>
    </w:p>
    <w:p w14:paraId="4EB4CEE1" w14:textId="10253A11" w:rsidR="00735743" w:rsidRDefault="00735743" w:rsidP="007A5E3A">
      <w:pPr>
        <w:pStyle w:val="Heading1"/>
      </w:pPr>
      <w:r>
        <w:t>Возможное распространение положений правила 59.3 на другие подаваемые документы</w:t>
      </w:r>
    </w:p>
    <w:p w14:paraId="5B59B896" w14:textId="7AEDBDC2" w:rsidR="004B28C6" w:rsidRDefault="00FF26C4" w:rsidP="007A5E3A">
      <w:pPr>
        <w:pStyle w:val="ONUME"/>
      </w:pPr>
      <w:r>
        <w:t>Для решения</w:t>
      </w:r>
      <w:r w:rsidR="00285F0A">
        <w:t xml:space="preserve"> обозначенной в пункте 3</w:t>
      </w:r>
      <w:r>
        <w:t xml:space="preserve"> проблемы представляется необходимым выработать правило, аналогичное правилу 59.3, </w:t>
      </w:r>
      <w:r w:rsidR="00842FAD">
        <w:t>применимое</w:t>
      </w:r>
      <w:r>
        <w:t xml:space="preserve"> к любым видам документо</w:t>
      </w:r>
      <w:r w:rsidR="009B74F8">
        <w:t>в</w:t>
      </w:r>
      <w:r>
        <w:t xml:space="preserve"> и любым видам органов, которые являются компетентными в осуществлении действий на международной фазе.  В приложении к настоящему документу содержится соответствующая предлагаемая поправка к правилу 92.</w:t>
      </w:r>
    </w:p>
    <w:p w14:paraId="7A175F8C" w14:textId="79557BF6" w:rsidR="00C62022" w:rsidRDefault="00C62022" w:rsidP="007A5E3A">
      <w:pPr>
        <w:pStyle w:val="ONUME"/>
      </w:pPr>
      <w:r>
        <w:t>Если Международное бюро получило корреспонденцию, предназначенную для другого Ведомства, оно незамедлительно переда</w:t>
      </w:r>
      <w:r w:rsidR="009B74F8">
        <w:t>ст</w:t>
      </w:r>
      <w:r>
        <w:t xml:space="preserve"> ее через те же электронные сервисы, которые используются для другой корреспонденции с соответствующим Ведомством.  </w:t>
      </w:r>
      <w:r>
        <w:lastRenderedPageBreak/>
        <w:t>Документы, полученные в бумажном виде, как правило, будут отсканированы и переданы в течение одного-двух рабочих дней.</w:t>
      </w:r>
    </w:p>
    <w:p w14:paraId="5346CF9F" w14:textId="3C77C985" w:rsidR="00C62022" w:rsidRDefault="00C62022" w:rsidP="007A5E3A">
      <w:pPr>
        <w:pStyle w:val="ONUME"/>
      </w:pPr>
      <w:r>
        <w:t xml:space="preserve">Следует отметить, что сервис eRouting ePCT не будет подпадать под предлагаемое правило и продолжит работу в рамках текущих механизмов.  Если заявитель загружает документ на этот сервис и явно указывает, что он предназначен для национального ведомства, то этот документ считается полученным </w:t>
      </w:r>
      <w:r w:rsidR="00285F0A">
        <w:t xml:space="preserve">не Международным бюро, а </w:t>
      </w:r>
      <w:r>
        <w:t xml:space="preserve">самим ведомством.  На таких документах будет проставляться временная метка в соответствии с </w:t>
      </w:r>
      <w:r w:rsidR="00F37CC8">
        <w:t>часовым поясом</w:t>
      </w:r>
      <w:r>
        <w:t xml:space="preserve"> </w:t>
      </w:r>
      <w:r w:rsidR="00F37CC8">
        <w:t>определенн</w:t>
      </w:r>
      <w:r w:rsidR="001F2C59">
        <w:t>ого</w:t>
      </w:r>
      <w:r>
        <w:t xml:space="preserve"> Ведомств</w:t>
      </w:r>
      <w:r w:rsidR="001F2C59">
        <w:t>а</w:t>
      </w:r>
      <w:r>
        <w:t>, и они будут направлены в этот сервис в обычном порядке.  Однако предлагаемое правило может применяться к загруженным через ePCT документам, которые по ошибке были адресованы Международному бюро и впоследствии перенаправлены.</w:t>
      </w:r>
    </w:p>
    <w:p w14:paraId="48019D24" w14:textId="581217A1" w:rsidR="00C62022" w:rsidRPr="00C62022" w:rsidRDefault="00C62022" w:rsidP="00BD7374">
      <w:pPr>
        <w:pStyle w:val="ONUME"/>
        <w:keepLines/>
        <w:tabs>
          <w:tab w:val="left" w:pos="6096"/>
        </w:tabs>
        <w:ind w:left="5534"/>
        <w:rPr>
          <w:i/>
        </w:rPr>
      </w:pPr>
      <w:r>
        <w:rPr>
          <w:i/>
        </w:rPr>
        <w:t>Рабочей группе предлагается рассмотреть предлагаемую поправку к правилу 92, изложенную в приложении к документу PCT/WG/19/8.</w:t>
      </w:r>
    </w:p>
    <w:p w14:paraId="283E4B08" w14:textId="77777777" w:rsidR="001D2815" w:rsidRDefault="001D2815" w:rsidP="00A86FE8">
      <w:pPr>
        <w:pStyle w:val="ONUME"/>
        <w:numPr>
          <w:ilvl w:val="0"/>
          <w:numId w:val="0"/>
        </w:numPr>
      </w:pPr>
    </w:p>
    <w:p w14:paraId="5FB1DAC9" w14:textId="76844C9C" w:rsidR="00586632" w:rsidRDefault="00C62022" w:rsidP="00C62022">
      <w:pPr>
        <w:pStyle w:val="Endofdocument-Annex"/>
        <w:sectPr w:rsidR="00586632" w:rsidSect="00586632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[Приложение следует]</w:t>
      </w:r>
    </w:p>
    <w:p w14:paraId="02F2394D" w14:textId="77777777" w:rsidR="006B2BD7" w:rsidRDefault="006B2BD7" w:rsidP="003C486F">
      <w:pPr>
        <w:jc w:val="center"/>
      </w:pPr>
    </w:p>
    <w:p w14:paraId="37DEF036" w14:textId="77777777" w:rsidR="006B2BD7" w:rsidRDefault="006B2BD7" w:rsidP="003C486F">
      <w:pPr>
        <w:jc w:val="center"/>
      </w:pPr>
    </w:p>
    <w:p w14:paraId="3A7A00AA" w14:textId="218CF6A6" w:rsidR="003C486F" w:rsidRDefault="003C486F" w:rsidP="003C486F">
      <w:pPr>
        <w:jc w:val="center"/>
      </w:pPr>
      <w:r>
        <w:t>ПРЕДЛАГАЕМЫЕ ПОПРАВКИ К ИНСТРУКЦИИ К РСТ</w:t>
      </w:r>
      <w:r w:rsidR="00F86A87">
        <w:rPr>
          <w:rStyle w:val="FootnoteReference"/>
        </w:rPr>
        <w:footnoteReference w:id="2"/>
      </w:r>
    </w:p>
    <w:p w14:paraId="59783AC1" w14:textId="7432E4F5" w:rsidR="00C62022" w:rsidRDefault="00C62022" w:rsidP="003C486F">
      <w:pPr>
        <w:pStyle w:val="Endofdocument-Annex"/>
        <w:ind w:left="0"/>
      </w:pPr>
    </w:p>
    <w:p w14:paraId="6B8DBB51" w14:textId="5D51FA0F" w:rsidR="00724FF6" w:rsidRDefault="000A2AD1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r>
        <w:fldChar w:fldCharType="begin"/>
      </w:r>
      <w:r>
        <w:instrText xml:space="preserve"> TOC \h \z \t "Leg SubRule #,2,Leg # Title,1" </w:instrText>
      </w:r>
      <w:r>
        <w:fldChar w:fldCharType="separate"/>
      </w:r>
      <w:hyperlink w:anchor="_Toc217981223" w:history="1">
        <w:r w:rsidR="00724FF6" w:rsidRPr="00C64699">
          <w:rPr>
            <w:rStyle w:val="Hyperlink"/>
            <w:noProof/>
            <w:lang w:val="en-US"/>
          </w:rPr>
          <w:t>Правило 92</w:t>
        </w:r>
        <w:r w:rsidR="00724FF6" w:rsidRPr="00C64699">
          <w:rPr>
            <w:rStyle w:val="Hyperlink"/>
            <w:noProof/>
          </w:rPr>
          <w:t xml:space="preserve"> Переписка</w:t>
        </w:r>
        <w:r w:rsidR="00724FF6">
          <w:rPr>
            <w:noProof/>
            <w:webHidden/>
          </w:rPr>
          <w:tab/>
        </w:r>
        <w:r w:rsidR="00724FF6">
          <w:rPr>
            <w:noProof/>
            <w:webHidden/>
          </w:rPr>
          <w:fldChar w:fldCharType="begin"/>
        </w:r>
        <w:r w:rsidR="00724FF6">
          <w:rPr>
            <w:noProof/>
            <w:webHidden/>
          </w:rPr>
          <w:instrText xml:space="preserve"> PAGEREF _Toc217981223 \h </w:instrText>
        </w:r>
        <w:r w:rsidR="00724FF6">
          <w:rPr>
            <w:noProof/>
            <w:webHidden/>
          </w:rPr>
        </w:r>
        <w:r w:rsidR="00724FF6">
          <w:rPr>
            <w:noProof/>
            <w:webHidden/>
          </w:rPr>
          <w:fldChar w:fldCharType="separate"/>
        </w:r>
        <w:r w:rsidR="00EB01E0">
          <w:rPr>
            <w:noProof/>
            <w:webHidden/>
          </w:rPr>
          <w:t>2</w:t>
        </w:r>
        <w:r w:rsidR="00724FF6">
          <w:rPr>
            <w:noProof/>
            <w:webHidden/>
          </w:rPr>
          <w:fldChar w:fldCharType="end"/>
        </w:r>
      </w:hyperlink>
    </w:p>
    <w:p w14:paraId="37580032" w14:textId="005E4EDC" w:rsidR="00724FF6" w:rsidRDefault="00724FF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7981224" w:history="1">
        <w:r w:rsidRPr="00C64699">
          <w:rPr>
            <w:rStyle w:val="Hyperlink"/>
            <w:noProof/>
          </w:rPr>
          <w:t xml:space="preserve">92.1   [Без изменений]  </w:t>
        </w:r>
        <w:r w:rsidRPr="00C64699">
          <w:rPr>
            <w:rStyle w:val="Hyperlink"/>
            <w:i/>
            <w:noProof/>
          </w:rPr>
          <w:t>Сопроводительное письмо и подпись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_Toc217981224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B01E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60C5C0D" w14:textId="5AAB7AC6" w:rsidR="00724FF6" w:rsidRDefault="00724FF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7981225" w:history="1">
        <w:r w:rsidRPr="00C64699">
          <w:rPr>
            <w:rStyle w:val="Hyperlink"/>
            <w:noProof/>
          </w:rPr>
          <w:t xml:space="preserve">92.2   [Без изменений]  </w:t>
        </w:r>
        <w:r w:rsidRPr="00C64699">
          <w:rPr>
            <w:rStyle w:val="Hyperlink"/>
            <w:i/>
            <w:noProof/>
          </w:rPr>
          <w:t>Языки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_Toc217981225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B01E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334290D" w14:textId="1BC9F2D1" w:rsidR="00724FF6" w:rsidRDefault="00724FF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7981226" w:history="1">
        <w:r w:rsidRPr="00C64699">
          <w:rPr>
            <w:rStyle w:val="Hyperlink"/>
            <w:noProof/>
          </w:rPr>
          <w:t xml:space="preserve">92.3   [Без изменений]  </w:t>
        </w:r>
        <w:r w:rsidRPr="00C64699">
          <w:rPr>
            <w:rStyle w:val="Hyperlink"/>
            <w:i/>
            <w:noProof/>
          </w:rPr>
          <w:t>Почтовые отправления, осуществляемые национальными ведомствами и межправительственными организациями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_Toc217981226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B01E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317B8C1" w14:textId="796A5B96" w:rsidR="00724FF6" w:rsidRDefault="00724FF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7981227" w:history="1">
        <w:r w:rsidRPr="00C64699">
          <w:rPr>
            <w:rStyle w:val="Hyperlink"/>
            <w:noProof/>
          </w:rPr>
          <w:t xml:space="preserve">92.4   [Без изменений]  </w:t>
        </w:r>
        <w:r w:rsidRPr="00C64699">
          <w:rPr>
            <w:rStyle w:val="Hyperlink"/>
            <w:i/>
            <w:noProof/>
          </w:rPr>
          <w:t>Использование телеграфа, телетайпа, факса и т. д.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_Toc217981227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B01E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017A692" w14:textId="7B1934EC" w:rsidR="00724FF6" w:rsidRDefault="00724FF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7981228" w:history="1">
        <w:r w:rsidRPr="00C64699">
          <w:rPr>
            <w:rStyle w:val="Hyperlink"/>
            <w:noProof/>
          </w:rPr>
          <w:t>92.5   </w:t>
        </w:r>
        <w:r w:rsidRPr="00C64699">
          <w:rPr>
            <w:rStyle w:val="Hyperlink"/>
            <w:i/>
            <w:noProof/>
          </w:rPr>
          <w:t>Передача корреспонденции компетентному органу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_Toc217981228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B01E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7286F8F" w14:textId="465DFC71" w:rsidR="000A2AD1" w:rsidRDefault="000A2AD1" w:rsidP="000A2AD1">
      <w:r>
        <w:fldChar w:fldCharType="end"/>
      </w:r>
    </w:p>
    <w:p w14:paraId="054497C0" w14:textId="388D1587" w:rsidR="004B28C6" w:rsidRDefault="004B28C6" w:rsidP="00A86FE8">
      <w:pPr>
        <w:pStyle w:val="ONUME"/>
        <w:numPr>
          <w:ilvl w:val="0"/>
          <w:numId w:val="0"/>
        </w:numPr>
      </w:pPr>
    </w:p>
    <w:p w14:paraId="7513FD13" w14:textId="77777777" w:rsidR="004B28C6" w:rsidRDefault="004B28C6" w:rsidP="004B28C6"/>
    <w:p w14:paraId="380B1F98" w14:textId="77777777" w:rsidR="004B28C6" w:rsidRDefault="004B28C6" w:rsidP="004B28C6"/>
    <w:p w14:paraId="15E72342" w14:textId="77777777" w:rsidR="004B28C6" w:rsidRDefault="004B28C6" w:rsidP="004B28C6"/>
    <w:p w14:paraId="678C99B8" w14:textId="36E4FE48" w:rsidR="004B28C6" w:rsidRPr="003C486F" w:rsidRDefault="004B28C6" w:rsidP="003C486F">
      <w:pPr>
        <w:pStyle w:val="LegTitle"/>
      </w:pPr>
      <w:bookmarkStart w:id="6" w:name="_Toc217981223"/>
      <w:r w:rsidRPr="00CF6D41">
        <w:rPr>
          <w:lang w:val="en-US"/>
        </w:rPr>
        <w:lastRenderedPageBreak/>
        <w:t>Правило 92</w:t>
      </w:r>
      <w:r>
        <w:br/>
        <w:t>Переписка</w:t>
      </w:r>
      <w:bookmarkEnd w:id="6"/>
    </w:p>
    <w:p w14:paraId="17F2208E" w14:textId="61FC6EB6" w:rsidR="004B28C6" w:rsidRDefault="004B28C6" w:rsidP="004B28C6">
      <w:pPr>
        <w:pStyle w:val="LegSubRule"/>
        <w:keepLines w:val="0"/>
        <w:outlineLvl w:val="0"/>
      </w:pPr>
      <w:bookmarkStart w:id="7" w:name="_Toc217981224"/>
      <w:r>
        <w:t xml:space="preserve">92.1   [Без изменений]  </w:t>
      </w:r>
      <w:r>
        <w:rPr>
          <w:i/>
        </w:rPr>
        <w:t>Сопроводительное письмо и подпись</w:t>
      </w:r>
      <w:bookmarkEnd w:id="7"/>
    </w:p>
    <w:p w14:paraId="2BCFB399" w14:textId="4CF7DBF7" w:rsidR="004B28C6" w:rsidRDefault="004B28C6" w:rsidP="004B28C6">
      <w:pPr>
        <w:pStyle w:val="LegSubRule"/>
      </w:pPr>
      <w:bookmarkStart w:id="8" w:name="_Toc217981225"/>
      <w:r>
        <w:t xml:space="preserve">92.2   [Без изменений]  </w:t>
      </w:r>
      <w:r>
        <w:rPr>
          <w:i/>
        </w:rPr>
        <w:t>Языки</w:t>
      </w:r>
      <w:bookmarkEnd w:id="8"/>
    </w:p>
    <w:p w14:paraId="160A5726" w14:textId="3492DA01" w:rsidR="004B28C6" w:rsidRDefault="004B28C6" w:rsidP="00724FF6">
      <w:pPr>
        <w:pStyle w:val="LegSubRule"/>
        <w:jc w:val="left"/>
        <w:outlineLvl w:val="0"/>
      </w:pPr>
      <w:bookmarkStart w:id="9" w:name="_Toc217981226"/>
      <w:r>
        <w:t xml:space="preserve">92.3   [Без изменений]  </w:t>
      </w:r>
      <w:r>
        <w:rPr>
          <w:i/>
        </w:rPr>
        <w:t>Почтовые отправления, осуществляемые национальными ведомствами и межправительственными организациями</w:t>
      </w:r>
      <w:bookmarkEnd w:id="9"/>
    </w:p>
    <w:p w14:paraId="04AD80E0" w14:textId="5B11928F" w:rsidR="004B28C6" w:rsidRDefault="004B28C6" w:rsidP="004B28C6">
      <w:pPr>
        <w:pStyle w:val="LegSubRule"/>
        <w:outlineLvl w:val="0"/>
      </w:pPr>
      <w:bookmarkStart w:id="10" w:name="_Toc217981227"/>
      <w:r>
        <w:t xml:space="preserve">92.4   [Без изменений]  </w:t>
      </w:r>
      <w:r>
        <w:rPr>
          <w:i/>
        </w:rPr>
        <w:t>Использование телеграфа, телетайпа, факса и т. д.</w:t>
      </w:r>
      <w:bookmarkEnd w:id="10"/>
    </w:p>
    <w:p w14:paraId="1B9E33F5" w14:textId="7519827B" w:rsidR="00EB4CC5" w:rsidRPr="00CF1B22" w:rsidRDefault="00C62022" w:rsidP="00EB4CC5">
      <w:pPr>
        <w:pStyle w:val="LegSubRule"/>
        <w:tabs>
          <w:tab w:val="clear" w:pos="510"/>
        </w:tabs>
        <w:ind w:left="709" w:hanging="709"/>
        <w:outlineLvl w:val="0"/>
        <w:rPr>
          <w:rStyle w:val="LegAddedText"/>
        </w:rPr>
      </w:pPr>
      <w:bookmarkStart w:id="11" w:name="_Toc217981228"/>
      <w:bookmarkStart w:id="12" w:name="_Hlk216960089"/>
      <w:r>
        <w:rPr>
          <w:rStyle w:val="LegAddedText"/>
        </w:rPr>
        <w:t>92.5   </w:t>
      </w:r>
      <w:r>
        <w:rPr>
          <w:rStyle w:val="LegAddedText"/>
          <w:i/>
        </w:rPr>
        <w:t>Передача корреспонденции компетентному органу</w:t>
      </w:r>
      <w:bookmarkEnd w:id="11"/>
    </w:p>
    <w:p w14:paraId="1F3C04AA" w14:textId="0513BB6F" w:rsidR="00EB4CC5" w:rsidRPr="00CF1B22" w:rsidRDefault="00EB4CC5" w:rsidP="00EB4CC5">
      <w:pPr>
        <w:pStyle w:val="Lega"/>
        <w:rPr>
          <w:rStyle w:val="LegAddedText"/>
        </w:rPr>
      </w:pPr>
      <w:r>
        <w:tab/>
      </w:r>
      <w:r>
        <w:rPr>
          <w:rStyle w:val="LegAddedText"/>
        </w:rPr>
        <w:t>(a)  Если корреспонденция направлена в Международное бюро, для которого национальное ведомство является компетентным Получающим ведомством, Международным поисковым органом, Органом, являющимся компетентным для проведения дополнительного поиска, или Органом международной предварительной экспертизы,</w:t>
      </w:r>
      <w:r w:rsidR="00B33E18">
        <w:rPr>
          <w:rStyle w:val="LegAddedText"/>
        </w:rPr>
        <w:t xml:space="preserve"> </w:t>
      </w:r>
      <w:r>
        <w:rPr>
          <w:rStyle w:val="LegAddedText"/>
        </w:rPr>
        <w:t>то в соответствии с пунктом (b) Международное бюро проставляет штамп с датой получения корреспонденции и незамедлительно пересылает ее в компетент</w:t>
      </w:r>
      <w:r w:rsidR="00B33E18">
        <w:rPr>
          <w:rStyle w:val="LegAddedText"/>
        </w:rPr>
        <w:t>н</w:t>
      </w:r>
      <w:r>
        <w:rPr>
          <w:rStyle w:val="LegAddedText"/>
        </w:rPr>
        <w:t>ый орган.</w:t>
      </w:r>
    </w:p>
    <w:p w14:paraId="5C8BAC3F" w14:textId="5AB119E6" w:rsidR="00EB4CC5" w:rsidRPr="00CF1B22" w:rsidRDefault="00EB4CC5" w:rsidP="00EB4CC5">
      <w:pPr>
        <w:pStyle w:val="Lega"/>
        <w:rPr>
          <w:rStyle w:val="LegAddedText"/>
        </w:rPr>
      </w:pPr>
      <w:r>
        <w:tab/>
      </w:r>
      <w:r>
        <w:rPr>
          <w:rStyle w:val="LegAddedText"/>
        </w:rPr>
        <w:t xml:space="preserve">(b)  Если компетентным является более чем одно </w:t>
      </w:r>
      <w:r w:rsidR="00B33E18">
        <w:rPr>
          <w:rStyle w:val="LegAddedText"/>
        </w:rPr>
        <w:t>В</w:t>
      </w:r>
      <w:r>
        <w:rPr>
          <w:rStyle w:val="LegAddedText"/>
        </w:rPr>
        <w:t xml:space="preserve">едомство или компетентным является Международное бюро, то Международное бюро решает, в какое </w:t>
      </w:r>
      <w:r w:rsidR="0080133D">
        <w:rPr>
          <w:rStyle w:val="LegAddedText"/>
        </w:rPr>
        <w:t>В</w:t>
      </w:r>
      <w:r>
        <w:rPr>
          <w:rStyle w:val="LegAddedText"/>
        </w:rPr>
        <w:t>едомство передается корреспонденция, или, если уместно, само принимает действия.</w:t>
      </w:r>
    </w:p>
    <w:p w14:paraId="7A88B4CC" w14:textId="63494D04" w:rsidR="00EB4CC5" w:rsidRPr="00CF1B22" w:rsidRDefault="00EB4CC5" w:rsidP="00EB4CC5">
      <w:pPr>
        <w:pStyle w:val="Lega"/>
        <w:rPr>
          <w:rStyle w:val="LegAddedText"/>
        </w:rPr>
      </w:pPr>
      <w:r>
        <w:tab/>
      </w:r>
      <w:r>
        <w:rPr>
          <w:rStyle w:val="LegAddedText"/>
        </w:rPr>
        <w:t xml:space="preserve">(e) </w:t>
      </w:r>
      <w:r>
        <w:rPr>
          <w:rStyle w:val="LegAddedText"/>
        </w:rPr>
        <w:tab/>
        <w:t>Если корреспонденция передана в компетентный орган в соответствии с пунктом (a), то оно считается полученным от имени этого органа на дату, проставленную на нем в соответствии с пунктом (а), и переданная таким образом корреспонденция считается полученной этим органом на эту дату.</w:t>
      </w:r>
    </w:p>
    <w:bookmarkEnd w:id="12"/>
    <w:p w14:paraId="270435B1" w14:textId="77777777" w:rsidR="004B28C6" w:rsidRDefault="004B28C6" w:rsidP="00C62022"/>
    <w:p w14:paraId="12B0A705" w14:textId="77777777" w:rsidR="00C62022" w:rsidRDefault="00C62022" w:rsidP="00C62022"/>
    <w:p w14:paraId="7C118842" w14:textId="6893C050" w:rsidR="00C62022" w:rsidRPr="00A86FE8" w:rsidRDefault="00C62022" w:rsidP="00C62022">
      <w:pPr>
        <w:pStyle w:val="Endofdocument-Annex"/>
      </w:pPr>
      <w:r>
        <w:t>[Конец приложения и документа]</w:t>
      </w:r>
    </w:p>
    <w:sectPr w:rsidR="00C62022" w:rsidRPr="00A86FE8" w:rsidSect="00586632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AA14" w14:textId="77777777" w:rsidR="005B47A7" w:rsidRDefault="005B47A7">
      <w:r>
        <w:separator/>
      </w:r>
    </w:p>
  </w:endnote>
  <w:endnote w:type="continuationSeparator" w:id="0">
    <w:p w14:paraId="43B5A9E5" w14:textId="77777777" w:rsidR="005B47A7" w:rsidRDefault="005B47A7" w:rsidP="003B38C1">
      <w:r>
        <w:separator/>
      </w:r>
    </w:p>
    <w:p w14:paraId="2B4389E3" w14:textId="77777777" w:rsidR="005B47A7" w:rsidRPr="00FB0529" w:rsidRDefault="005B47A7" w:rsidP="003B38C1">
      <w:pPr>
        <w:spacing w:after="60"/>
        <w:rPr>
          <w:sz w:val="17"/>
          <w:lang w:val="en-US"/>
        </w:rPr>
      </w:pPr>
      <w:r w:rsidRPr="00FB0529">
        <w:rPr>
          <w:sz w:val="17"/>
          <w:lang w:val="en-US"/>
        </w:rPr>
        <w:t>[Endnote continued from previous page]</w:t>
      </w:r>
    </w:p>
  </w:endnote>
  <w:endnote w:type="continuationNotice" w:id="1">
    <w:p w14:paraId="7AA0A01E" w14:textId="77777777" w:rsidR="005B47A7" w:rsidRPr="00FB0529" w:rsidRDefault="005B47A7" w:rsidP="003B38C1">
      <w:pPr>
        <w:spacing w:before="60"/>
        <w:jc w:val="right"/>
        <w:rPr>
          <w:sz w:val="17"/>
          <w:szCs w:val="17"/>
          <w:lang w:val="en-US"/>
        </w:rPr>
      </w:pPr>
      <w:r w:rsidRPr="00FB052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B2AE" w14:textId="77777777" w:rsidR="005B47A7" w:rsidRDefault="005B47A7">
      <w:r>
        <w:separator/>
      </w:r>
    </w:p>
  </w:footnote>
  <w:footnote w:type="continuationSeparator" w:id="0">
    <w:p w14:paraId="1A5C5BDD" w14:textId="77777777" w:rsidR="005B47A7" w:rsidRDefault="005B47A7" w:rsidP="008B60B2">
      <w:r>
        <w:separator/>
      </w:r>
    </w:p>
    <w:p w14:paraId="643CFF41" w14:textId="77777777" w:rsidR="005B47A7" w:rsidRPr="00FB0529" w:rsidRDefault="005B47A7" w:rsidP="008B60B2">
      <w:pPr>
        <w:spacing w:after="60"/>
        <w:rPr>
          <w:sz w:val="17"/>
          <w:szCs w:val="17"/>
          <w:lang w:val="en-US"/>
        </w:rPr>
      </w:pPr>
      <w:r w:rsidRPr="00FB052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E00567B" w14:textId="77777777" w:rsidR="005B47A7" w:rsidRPr="00FB0529" w:rsidRDefault="005B47A7" w:rsidP="008B60B2">
      <w:pPr>
        <w:spacing w:before="60"/>
        <w:jc w:val="right"/>
        <w:rPr>
          <w:sz w:val="17"/>
          <w:szCs w:val="17"/>
          <w:lang w:val="en-US"/>
        </w:rPr>
      </w:pPr>
      <w:r w:rsidRPr="00FB0529">
        <w:rPr>
          <w:sz w:val="17"/>
          <w:szCs w:val="17"/>
          <w:lang w:val="en-US"/>
        </w:rPr>
        <w:t>[Footnote continued on next page]</w:t>
      </w:r>
    </w:p>
  </w:footnote>
  <w:footnote w:id="2">
    <w:p w14:paraId="34F2A62C" w14:textId="3B71AE8F" w:rsidR="00F86A87" w:rsidRPr="00EB01E0" w:rsidRDefault="00F86A87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="00EB01E0">
        <w:t>Предлагаемые добавления и удаления выделены в тексте, соответственно, подчеркиванием и зачеркиванием.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B44B" w14:textId="42526392" w:rsidR="00EC4E49" w:rsidRDefault="00735743" w:rsidP="00477D6B">
    <w:pPr>
      <w:jc w:val="right"/>
    </w:pPr>
    <w:bookmarkStart w:id="5" w:name="Code2"/>
    <w:bookmarkEnd w:id="5"/>
    <w:r>
      <w:t>PCT/WG/19/8</w:t>
    </w:r>
  </w:p>
  <w:p w14:paraId="27955E8A" w14:textId="13EF558E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28589DF0" w14:textId="77777777" w:rsidR="00EC4E49" w:rsidRDefault="00EC4E49" w:rsidP="00477D6B">
    <w:pPr>
      <w:jc w:val="right"/>
    </w:pPr>
  </w:p>
  <w:p w14:paraId="6AAFD6CD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EC08" w14:textId="77777777" w:rsidR="00586632" w:rsidRDefault="00586632" w:rsidP="00477D6B">
    <w:pPr>
      <w:jc w:val="right"/>
    </w:pPr>
    <w:r>
      <w:t>PCT/WG/19/8</w:t>
    </w:r>
  </w:p>
  <w:p w14:paraId="1B98A096" w14:textId="6F710D01" w:rsidR="00586632" w:rsidRDefault="00586632" w:rsidP="00477D6B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49555E61" w14:textId="77777777" w:rsidR="00586632" w:rsidRDefault="00586632" w:rsidP="00477D6B">
    <w:pPr>
      <w:jc w:val="right"/>
    </w:pPr>
  </w:p>
  <w:p w14:paraId="6B127871" w14:textId="77777777" w:rsidR="00586632" w:rsidRDefault="0058663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660D" w14:textId="5BFEE72C" w:rsidR="00586632" w:rsidRDefault="00586632" w:rsidP="00586632">
    <w:pPr>
      <w:pStyle w:val="Header"/>
      <w:jc w:val="right"/>
    </w:pPr>
    <w:r>
      <w:t>PCT/WG/19/8</w:t>
    </w:r>
    <w:r>
      <w:br/>
      <w:t>ПРИЛОЖЕНИЕ</w:t>
    </w:r>
  </w:p>
  <w:p w14:paraId="1AD5E3A0" w14:textId="77777777" w:rsidR="00586632" w:rsidRDefault="00586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43"/>
    <w:rsid w:val="00006D85"/>
    <w:rsid w:val="0001647B"/>
    <w:rsid w:val="00043CAA"/>
    <w:rsid w:val="000511E0"/>
    <w:rsid w:val="00060D23"/>
    <w:rsid w:val="00075432"/>
    <w:rsid w:val="000804AF"/>
    <w:rsid w:val="000968ED"/>
    <w:rsid w:val="000A2AD1"/>
    <w:rsid w:val="000B3A46"/>
    <w:rsid w:val="000C42D8"/>
    <w:rsid w:val="000E2FA3"/>
    <w:rsid w:val="000E4398"/>
    <w:rsid w:val="000F3D2C"/>
    <w:rsid w:val="000F5E56"/>
    <w:rsid w:val="001024FE"/>
    <w:rsid w:val="001362EE"/>
    <w:rsid w:val="00142868"/>
    <w:rsid w:val="00151DA9"/>
    <w:rsid w:val="00180046"/>
    <w:rsid w:val="001832A6"/>
    <w:rsid w:val="001A4C60"/>
    <w:rsid w:val="001A58E2"/>
    <w:rsid w:val="001B5E1F"/>
    <w:rsid w:val="001C6808"/>
    <w:rsid w:val="001D2815"/>
    <w:rsid w:val="001F2C59"/>
    <w:rsid w:val="00203A42"/>
    <w:rsid w:val="002121FA"/>
    <w:rsid w:val="002142B9"/>
    <w:rsid w:val="0022772B"/>
    <w:rsid w:val="00231742"/>
    <w:rsid w:val="00262EA3"/>
    <w:rsid w:val="002634C4"/>
    <w:rsid w:val="0026365E"/>
    <w:rsid w:val="002707DC"/>
    <w:rsid w:val="00274961"/>
    <w:rsid w:val="00274FA1"/>
    <w:rsid w:val="002818A3"/>
    <w:rsid w:val="00285F0A"/>
    <w:rsid w:val="002867B5"/>
    <w:rsid w:val="002928D3"/>
    <w:rsid w:val="00292FA2"/>
    <w:rsid w:val="0029703C"/>
    <w:rsid w:val="00297829"/>
    <w:rsid w:val="002E1C79"/>
    <w:rsid w:val="002E2D28"/>
    <w:rsid w:val="002F1FE6"/>
    <w:rsid w:val="002F4E68"/>
    <w:rsid w:val="002F7C4B"/>
    <w:rsid w:val="00312F7F"/>
    <w:rsid w:val="00313146"/>
    <w:rsid w:val="003167D0"/>
    <w:rsid w:val="00316FEB"/>
    <w:rsid w:val="003228B7"/>
    <w:rsid w:val="003431C9"/>
    <w:rsid w:val="003508A3"/>
    <w:rsid w:val="00350AA4"/>
    <w:rsid w:val="00352BD8"/>
    <w:rsid w:val="00353748"/>
    <w:rsid w:val="003608B4"/>
    <w:rsid w:val="003648E2"/>
    <w:rsid w:val="003673CF"/>
    <w:rsid w:val="00380C73"/>
    <w:rsid w:val="003845C1"/>
    <w:rsid w:val="003A6F89"/>
    <w:rsid w:val="003B38C1"/>
    <w:rsid w:val="003B73BB"/>
    <w:rsid w:val="003C486F"/>
    <w:rsid w:val="003D352A"/>
    <w:rsid w:val="003D525E"/>
    <w:rsid w:val="003E749B"/>
    <w:rsid w:val="003F4C9E"/>
    <w:rsid w:val="00401B7D"/>
    <w:rsid w:val="00423E3E"/>
    <w:rsid w:val="00427AF4"/>
    <w:rsid w:val="00432C32"/>
    <w:rsid w:val="0043717A"/>
    <w:rsid w:val="004400E2"/>
    <w:rsid w:val="004549C0"/>
    <w:rsid w:val="00454BFC"/>
    <w:rsid w:val="00461632"/>
    <w:rsid w:val="004647DA"/>
    <w:rsid w:val="00466BCD"/>
    <w:rsid w:val="00473A45"/>
    <w:rsid w:val="00474062"/>
    <w:rsid w:val="00477D6B"/>
    <w:rsid w:val="00496131"/>
    <w:rsid w:val="00497C1B"/>
    <w:rsid w:val="004B28C6"/>
    <w:rsid w:val="004C3C86"/>
    <w:rsid w:val="004D328F"/>
    <w:rsid w:val="004D39C4"/>
    <w:rsid w:val="004E217B"/>
    <w:rsid w:val="0053057A"/>
    <w:rsid w:val="0053353E"/>
    <w:rsid w:val="0054307D"/>
    <w:rsid w:val="00543927"/>
    <w:rsid w:val="005524A8"/>
    <w:rsid w:val="00555AFA"/>
    <w:rsid w:val="0056063F"/>
    <w:rsid w:val="005608D6"/>
    <w:rsid w:val="00560A29"/>
    <w:rsid w:val="00586632"/>
    <w:rsid w:val="00594D27"/>
    <w:rsid w:val="005B47A7"/>
    <w:rsid w:val="005D4094"/>
    <w:rsid w:val="005E2009"/>
    <w:rsid w:val="005F5B67"/>
    <w:rsid w:val="00601760"/>
    <w:rsid w:val="00605827"/>
    <w:rsid w:val="006063AD"/>
    <w:rsid w:val="00610C7C"/>
    <w:rsid w:val="00616467"/>
    <w:rsid w:val="0062707F"/>
    <w:rsid w:val="00627C65"/>
    <w:rsid w:val="0063348F"/>
    <w:rsid w:val="00646050"/>
    <w:rsid w:val="00652E10"/>
    <w:rsid w:val="00653E77"/>
    <w:rsid w:val="0066150A"/>
    <w:rsid w:val="006713CA"/>
    <w:rsid w:val="0067207F"/>
    <w:rsid w:val="00673E88"/>
    <w:rsid w:val="006766FD"/>
    <w:rsid w:val="00676C5C"/>
    <w:rsid w:val="00686534"/>
    <w:rsid w:val="00693824"/>
    <w:rsid w:val="00695558"/>
    <w:rsid w:val="0069555E"/>
    <w:rsid w:val="006A68F2"/>
    <w:rsid w:val="006B0548"/>
    <w:rsid w:val="006B2BD7"/>
    <w:rsid w:val="006C067D"/>
    <w:rsid w:val="006D5E0F"/>
    <w:rsid w:val="006F7742"/>
    <w:rsid w:val="00702887"/>
    <w:rsid w:val="007058FB"/>
    <w:rsid w:val="00724FF6"/>
    <w:rsid w:val="00735743"/>
    <w:rsid w:val="00744C06"/>
    <w:rsid w:val="00791C11"/>
    <w:rsid w:val="007A5E3A"/>
    <w:rsid w:val="007B2D57"/>
    <w:rsid w:val="007B6A58"/>
    <w:rsid w:val="007C6A3D"/>
    <w:rsid w:val="007D1613"/>
    <w:rsid w:val="007F322D"/>
    <w:rsid w:val="007F6703"/>
    <w:rsid w:val="0080133D"/>
    <w:rsid w:val="00822D88"/>
    <w:rsid w:val="008279FE"/>
    <w:rsid w:val="00842FAD"/>
    <w:rsid w:val="00844217"/>
    <w:rsid w:val="00851E79"/>
    <w:rsid w:val="0086020A"/>
    <w:rsid w:val="00871ECE"/>
    <w:rsid w:val="00873EE5"/>
    <w:rsid w:val="00884E2E"/>
    <w:rsid w:val="008A0C8F"/>
    <w:rsid w:val="008B2CC1"/>
    <w:rsid w:val="008B4B5E"/>
    <w:rsid w:val="008B60B2"/>
    <w:rsid w:val="008C3841"/>
    <w:rsid w:val="008D24AB"/>
    <w:rsid w:val="008E1CC4"/>
    <w:rsid w:val="00900B8D"/>
    <w:rsid w:val="00901280"/>
    <w:rsid w:val="00906B62"/>
    <w:rsid w:val="0090731E"/>
    <w:rsid w:val="00910B1B"/>
    <w:rsid w:val="00916EE2"/>
    <w:rsid w:val="009261B7"/>
    <w:rsid w:val="00927228"/>
    <w:rsid w:val="0093018D"/>
    <w:rsid w:val="009361E9"/>
    <w:rsid w:val="00946221"/>
    <w:rsid w:val="0095026E"/>
    <w:rsid w:val="00966A22"/>
    <w:rsid w:val="0096722F"/>
    <w:rsid w:val="00973AE7"/>
    <w:rsid w:val="00977732"/>
    <w:rsid w:val="00980843"/>
    <w:rsid w:val="009812C3"/>
    <w:rsid w:val="009812C6"/>
    <w:rsid w:val="00991683"/>
    <w:rsid w:val="009B3B75"/>
    <w:rsid w:val="009B5152"/>
    <w:rsid w:val="009B74F8"/>
    <w:rsid w:val="009C45B7"/>
    <w:rsid w:val="009D4132"/>
    <w:rsid w:val="009E2791"/>
    <w:rsid w:val="009E3F6F"/>
    <w:rsid w:val="009F3BF9"/>
    <w:rsid w:val="009F499F"/>
    <w:rsid w:val="009F72BF"/>
    <w:rsid w:val="00A04488"/>
    <w:rsid w:val="00A049C1"/>
    <w:rsid w:val="00A172BD"/>
    <w:rsid w:val="00A2007E"/>
    <w:rsid w:val="00A26A28"/>
    <w:rsid w:val="00A42DAF"/>
    <w:rsid w:val="00A4469C"/>
    <w:rsid w:val="00A44B75"/>
    <w:rsid w:val="00A45BD8"/>
    <w:rsid w:val="00A72606"/>
    <w:rsid w:val="00A778BF"/>
    <w:rsid w:val="00A82C27"/>
    <w:rsid w:val="00A85B8E"/>
    <w:rsid w:val="00A86FE8"/>
    <w:rsid w:val="00A91356"/>
    <w:rsid w:val="00AA3BD3"/>
    <w:rsid w:val="00AB37CF"/>
    <w:rsid w:val="00AB677A"/>
    <w:rsid w:val="00AC205C"/>
    <w:rsid w:val="00AE145C"/>
    <w:rsid w:val="00AF5C73"/>
    <w:rsid w:val="00AF5E28"/>
    <w:rsid w:val="00B00D9B"/>
    <w:rsid w:val="00B05A69"/>
    <w:rsid w:val="00B1010B"/>
    <w:rsid w:val="00B24860"/>
    <w:rsid w:val="00B3097D"/>
    <w:rsid w:val="00B33E18"/>
    <w:rsid w:val="00B36CA2"/>
    <w:rsid w:val="00B40598"/>
    <w:rsid w:val="00B50B99"/>
    <w:rsid w:val="00B62CD9"/>
    <w:rsid w:val="00B83C7C"/>
    <w:rsid w:val="00B83F57"/>
    <w:rsid w:val="00B84511"/>
    <w:rsid w:val="00B87C65"/>
    <w:rsid w:val="00B938AF"/>
    <w:rsid w:val="00B9734B"/>
    <w:rsid w:val="00BA1F43"/>
    <w:rsid w:val="00BD7374"/>
    <w:rsid w:val="00BF2415"/>
    <w:rsid w:val="00BF48DE"/>
    <w:rsid w:val="00C00276"/>
    <w:rsid w:val="00C065D0"/>
    <w:rsid w:val="00C11BFE"/>
    <w:rsid w:val="00C1222B"/>
    <w:rsid w:val="00C56328"/>
    <w:rsid w:val="00C56E3E"/>
    <w:rsid w:val="00C606D4"/>
    <w:rsid w:val="00C62022"/>
    <w:rsid w:val="00C728A8"/>
    <w:rsid w:val="00C91AB4"/>
    <w:rsid w:val="00C94629"/>
    <w:rsid w:val="00CE1A44"/>
    <w:rsid w:val="00CE2F7F"/>
    <w:rsid w:val="00CE54A0"/>
    <w:rsid w:val="00CE65D4"/>
    <w:rsid w:val="00CF1B22"/>
    <w:rsid w:val="00CF29FD"/>
    <w:rsid w:val="00CF6D41"/>
    <w:rsid w:val="00CF6E82"/>
    <w:rsid w:val="00D01567"/>
    <w:rsid w:val="00D03889"/>
    <w:rsid w:val="00D1659D"/>
    <w:rsid w:val="00D209BC"/>
    <w:rsid w:val="00D30EAA"/>
    <w:rsid w:val="00D45252"/>
    <w:rsid w:val="00D57567"/>
    <w:rsid w:val="00D61B72"/>
    <w:rsid w:val="00D71B4D"/>
    <w:rsid w:val="00D9254F"/>
    <w:rsid w:val="00D93D55"/>
    <w:rsid w:val="00DB20DE"/>
    <w:rsid w:val="00DC3BDA"/>
    <w:rsid w:val="00DD2AE8"/>
    <w:rsid w:val="00E070BF"/>
    <w:rsid w:val="00E161A2"/>
    <w:rsid w:val="00E334FD"/>
    <w:rsid w:val="00E335FE"/>
    <w:rsid w:val="00E457BD"/>
    <w:rsid w:val="00E47B2F"/>
    <w:rsid w:val="00E5021F"/>
    <w:rsid w:val="00E671A6"/>
    <w:rsid w:val="00E828CD"/>
    <w:rsid w:val="00E90B8B"/>
    <w:rsid w:val="00E94255"/>
    <w:rsid w:val="00E95E89"/>
    <w:rsid w:val="00EA5EB7"/>
    <w:rsid w:val="00EB01E0"/>
    <w:rsid w:val="00EB4CC5"/>
    <w:rsid w:val="00EC4E49"/>
    <w:rsid w:val="00ED64EE"/>
    <w:rsid w:val="00ED77FB"/>
    <w:rsid w:val="00EE7067"/>
    <w:rsid w:val="00EF3293"/>
    <w:rsid w:val="00EF3637"/>
    <w:rsid w:val="00EF623B"/>
    <w:rsid w:val="00F021A6"/>
    <w:rsid w:val="00F07F02"/>
    <w:rsid w:val="00F10C63"/>
    <w:rsid w:val="00F11D94"/>
    <w:rsid w:val="00F37CC8"/>
    <w:rsid w:val="00F66152"/>
    <w:rsid w:val="00F77212"/>
    <w:rsid w:val="00F866B9"/>
    <w:rsid w:val="00F86A87"/>
    <w:rsid w:val="00F9200A"/>
    <w:rsid w:val="00F97443"/>
    <w:rsid w:val="00FA6C32"/>
    <w:rsid w:val="00FB0529"/>
    <w:rsid w:val="00FB1720"/>
    <w:rsid w:val="00FB3E54"/>
    <w:rsid w:val="00FD0D8F"/>
    <w:rsid w:val="00FF26C4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376AE9"/>
  <w15:docId w15:val="{3A0A713C-74B2-4667-8AC0-4DE367D4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A5E3A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274961"/>
    <w:pPr>
      <w:autoSpaceDE w:val="0"/>
      <w:autoSpaceDN w:val="0"/>
      <w:adjustRightInd w:val="0"/>
    </w:pPr>
    <w:rPr>
      <w:rFonts w:ascii="MS Mincho" w:eastAsia="MS Mincho" w:cs="MS Mincho"/>
      <w:color w:val="000000"/>
      <w:sz w:val="24"/>
      <w:szCs w:val="24"/>
    </w:rPr>
  </w:style>
  <w:style w:type="paragraph" w:customStyle="1" w:styleId="LegSubRule">
    <w:name w:val="Leg SubRule #"/>
    <w:basedOn w:val="LegBasic"/>
    <w:rsid w:val="00A72606"/>
    <w:pPr>
      <w:keepNext/>
      <w:keepLines/>
      <w:tabs>
        <w:tab w:val="left" w:pos="510"/>
      </w:tabs>
      <w:spacing w:before="119"/>
      <w:ind w:left="533" w:hanging="533"/>
      <w:jc w:val="both"/>
    </w:pPr>
  </w:style>
  <w:style w:type="paragraph" w:customStyle="1" w:styleId="Lega">
    <w:name w:val="Leg (a)"/>
    <w:basedOn w:val="LegBasic"/>
    <w:rsid w:val="00A72606"/>
    <w:pPr>
      <w:tabs>
        <w:tab w:val="left" w:pos="454"/>
      </w:tabs>
      <w:spacing w:before="119"/>
    </w:pPr>
    <w:rPr>
      <w:rFonts w:eastAsia="Times New Roman" w:cs="Times New Roman"/>
      <w:snapToGrid w:val="0"/>
      <w:lang w:eastAsia="en-US"/>
    </w:rPr>
  </w:style>
  <w:style w:type="paragraph" w:customStyle="1" w:styleId="Legi">
    <w:name w:val="Leg (i)"/>
    <w:basedOn w:val="LegBasic"/>
    <w:rsid w:val="00EB4CC5"/>
    <w:pPr>
      <w:tabs>
        <w:tab w:val="right" w:pos="1020"/>
        <w:tab w:val="left" w:pos="1191"/>
      </w:tabs>
      <w:spacing w:before="60"/>
    </w:pPr>
    <w:rPr>
      <w:rFonts w:eastAsia="Times New Roman" w:cs="Times New Roman"/>
      <w:snapToGrid w:val="0"/>
      <w:lang w:eastAsia="en-US"/>
    </w:rPr>
  </w:style>
  <w:style w:type="paragraph" w:customStyle="1" w:styleId="LegTitle">
    <w:name w:val="Leg # Title"/>
    <w:basedOn w:val="LegBasic"/>
    <w:next w:val="Normal"/>
    <w:rsid w:val="003C486F"/>
    <w:pPr>
      <w:keepNext/>
      <w:keepLines/>
      <w:pageBreakBefore/>
      <w:spacing w:before="240"/>
      <w:jc w:val="center"/>
    </w:pPr>
    <w:rPr>
      <w:b/>
    </w:rPr>
  </w:style>
  <w:style w:type="paragraph" w:customStyle="1" w:styleId="Legacont">
    <w:name w:val="Leg (a) [cont]"/>
    <w:basedOn w:val="Lega"/>
    <w:next w:val="Lega"/>
    <w:rsid w:val="004B28C6"/>
    <w:pPr>
      <w:spacing w:before="60"/>
    </w:pPr>
  </w:style>
  <w:style w:type="paragraph" w:customStyle="1" w:styleId="Legiindent">
    <w:name w:val="Leg (i) indent"/>
    <w:basedOn w:val="Legi"/>
    <w:rsid w:val="004B28C6"/>
    <w:pPr>
      <w:ind w:left="1191" w:hanging="1191"/>
    </w:pPr>
  </w:style>
  <w:style w:type="paragraph" w:customStyle="1" w:styleId="LegBasic">
    <w:name w:val="Leg Basic"/>
    <w:basedOn w:val="Normal"/>
    <w:qFormat/>
    <w:rsid w:val="00A72606"/>
    <w:pPr>
      <w:spacing w:line="480" w:lineRule="auto"/>
    </w:pPr>
  </w:style>
  <w:style w:type="character" w:customStyle="1" w:styleId="LegAddedText">
    <w:name w:val="Leg Added Text"/>
    <w:basedOn w:val="DefaultParagraphFont"/>
    <w:uiPriority w:val="1"/>
    <w:qFormat/>
    <w:rsid w:val="00CF1B22"/>
    <w:rPr>
      <w:color w:val="0000FF"/>
      <w:u w:val="single"/>
    </w:rPr>
  </w:style>
  <w:style w:type="paragraph" w:styleId="Revision">
    <w:name w:val="Revision"/>
    <w:hidden/>
    <w:uiPriority w:val="99"/>
    <w:semiHidden/>
    <w:rsid w:val="00977732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FD0D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0D8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D0D8F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D0D8F"/>
    <w:rPr>
      <w:rFonts w:ascii="Arial" w:eastAsia="SimSun" w:hAnsi="Arial" w:cs="Arial"/>
      <w:b/>
      <w:bCs/>
      <w:sz w:val="18"/>
      <w:lang w:val="ru-RU"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0A2A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2AD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A2AD1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F86A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PCT_WG_19 (E)</Template>
  <TotalTime>3</TotalTime>
  <Pages>5</Pages>
  <Words>985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PCT/WG/19/8</vt:lpstr>
    </vt:vector>
  </TitlesOfParts>
  <Company>WIPO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PCT/WG/19/8</dc:title>
  <dc:creator>BONNET Jérôme</dc:creator>
  <cp:keywords/>
  <cp:lastModifiedBy>MARLOW Thomas</cp:lastModifiedBy>
  <cp:revision>3</cp:revision>
  <cp:lastPrinted>2026-01-05T17:50:00Z</cp:lastPrinted>
  <dcterms:created xsi:type="dcterms:W3CDTF">2026-01-05T17:50:00Z</dcterms:created>
  <dcterms:modified xsi:type="dcterms:W3CDTF">2026-01-05T17:54:00Z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