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2CD9" w14:textId="7869BFD4" w:rsidR="008B2CC1" w:rsidRPr="008B2CC1" w:rsidRDefault="00197823" w:rsidP="00F11D94">
      <w:pPr>
        <w:spacing w:after="120"/>
        <w:jc w:val="right"/>
      </w:pPr>
      <w:r w:rsidRPr="0042194C">
        <w:rPr>
          <w:noProof/>
          <w:lang w:val="en-US"/>
        </w:rPr>
        <w:drawing>
          <wp:inline distT="0" distB="0" distL="0" distR="0" wp14:anchorId="0BF12EE4" wp14:editId="04868EFC">
            <wp:extent cx="3246120" cy="1501140"/>
            <wp:effectExtent l="0" t="0" r="0" b="381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8">
                      <a:extLst>
                        <a:ext uri="{28A0092B-C50C-407E-A947-70E740481C1C}">
                          <a14:useLocalDpi xmlns:a14="http://schemas.microsoft.com/office/drawing/2010/main" val="0"/>
                        </a:ext>
                      </a:extLst>
                    </a:blip>
                    <a:srcRect t="7944"/>
                    <a:stretch>
                      <a:fillRect/>
                    </a:stretch>
                  </pic:blipFill>
                  <pic:spPr bwMode="auto">
                    <a:xfrm>
                      <a:off x="0" y="0"/>
                      <a:ext cx="3246120" cy="1501140"/>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703D5AFB" wp14:editId="3D22BAE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EA9F8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A070A0" w14:textId="58B55FF3" w:rsidR="008B2CC1" w:rsidRPr="00197823" w:rsidRDefault="00E90B8B" w:rsidP="001024FE">
      <w:pPr>
        <w:jc w:val="right"/>
        <w:rPr>
          <w:rFonts w:ascii="Arial Black" w:hAnsi="Arial Black"/>
          <w:caps/>
          <w:sz w:val="15"/>
          <w:szCs w:val="15"/>
        </w:rPr>
      </w:pPr>
      <w:r w:rsidRPr="00197823">
        <w:rPr>
          <w:rFonts w:ascii="Arial Black" w:hAnsi="Arial Black"/>
          <w:b/>
          <w:bCs/>
          <w:sz w:val="15"/>
          <w:szCs w:val="15"/>
        </w:rPr>
        <w:t>PCT/WG/19/</w:t>
      </w:r>
      <w:bookmarkStart w:id="0" w:name="Code"/>
      <w:bookmarkEnd w:id="0"/>
      <w:r w:rsidRPr="00197823">
        <w:rPr>
          <w:rFonts w:ascii="Arial Black" w:hAnsi="Arial Black"/>
          <w:b/>
          <w:bCs/>
          <w:sz w:val="15"/>
          <w:szCs w:val="15"/>
        </w:rPr>
        <w:t>6</w:t>
      </w:r>
    </w:p>
    <w:p w14:paraId="380D8444" w14:textId="4AE40ADB"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997EBE2" w14:textId="3BC1B594"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19 декабря 2025 года</w:t>
      </w:r>
    </w:p>
    <w:bookmarkEnd w:id="2"/>
    <w:p w14:paraId="54412C5F" w14:textId="77777777" w:rsidR="008B2CC1" w:rsidRPr="003845C1" w:rsidRDefault="00E90B8B" w:rsidP="00FB3E54">
      <w:pPr>
        <w:spacing w:after="600"/>
        <w:rPr>
          <w:b/>
          <w:sz w:val="28"/>
          <w:szCs w:val="28"/>
        </w:rPr>
      </w:pPr>
      <w:r>
        <w:rPr>
          <w:b/>
          <w:sz w:val="28"/>
        </w:rPr>
        <w:t>Рабочая группа по Договору о патентной кооперации (PCT)</w:t>
      </w:r>
    </w:p>
    <w:p w14:paraId="6350084F" w14:textId="77777777" w:rsidR="008B2CC1" w:rsidRPr="003845C1" w:rsidRDefault="00B36CA2" w:rsidP="008B2CC1">
      <w:pPr>
        <w:rPr>
          <w:b/>
          <w:sz w:val="24"/>
          <w:szCs w:val="24"/>
        </w:rPr>
      </w:pPr>
      <w:r>
        <w:rPr>
          <w:b/>
          <w:sz w:val="24"/>
        </w:rPr>
        <w:t>Девятнадцатая сессия</w:t>
      </w:r>
    </w:p>
    <w:p w14:paraId="105BA9B3" w14:textId="77777777" w:rsidR="008B2CC1" w:rsidRPr="009F3BF9" w:rsidRDefault="00E90B8B" w:rsidP="00CE65D4">
      <w:pPr>
        <w:spacing w:after="720"/>
      </w:pPr>
      <w:r>
        <w:rPr>
          <w:b/>
          <w:sz w:val="24"/>
        </w:rPr>
        <w:t>Женева, 2–6 февраля 2026 года</w:t>
      </w:r>
    </w:p>
    <w:p w14:paraId="2789FA31" w14:textId="63BEEE7B" w:rsidR="008B2CC1" w:rsidRPr="009F3BF9" w:rsidRDefault="00F821A8" w:rsidP="00CE65D4">
      <w:pPr>
        <w:spacing w:after="360"/>
        <w:rPr>
          <w:caps/>
          <w:sz w:val="24"/>
        </w:rPr>
      </w:pPr>
      <w:bookmarkStart w:id="3" w:name="TitleOfDoc"/>
      <w:r>
        <w:rPr>
          <w:caps/>
          <w:sz w:val="24"/>
        </w:rPr>
        <w:t>Электронная обработка международных заявок</w:t>
      </w:r>
    </w:p>
    <w:p w14:paraId="734FEC2F" w14:textId="2ECFC079" w:rsidR="008B2CC1" w:rsidRPr="004D39C4" w:rsidRDefault="00F821A8" w:rsidP="00CE65D4">
      <w:pPr>
        <w:spacing w:after="960"/>
        <w:rPr>
          <w:i/>
        </w:rPr>
      </w:pPr>
      <w:bookmarkStart w:id="4" w:name="Prepared"/>
      <w:bookmarkEnd w:id="3"/>
      <w:r>
        <w:rPr>
          <w:i/>
        </w:rPr>
        <w:t>Документ подготовлен Международным бюро</w:t>
      </w:r>
    </w:p>
    <w:bookmarkEnd w:id="4"/>
    <w:p w14:paraId="206C1400" w14:textId="77777777" w:rsidR="00DE4F82" w:rsidRDefault="00DE4F82" w:rsidP="00DE4F82">
      <w:pPr>
        <w:pStyle w:val="Heading1"/>
      </w:pPr>
      <w:r>
        <w:t>Резюме</w:t>
      </w:r>
    </w:p>
    <w:p w14:paraId="6D480F13" w14:textId="77777777" w:rsidR="00DE4F82" w:rsidRDefault="00DE4F82" w:rsidP="00DE4F82">
      <w:pPr>
        <w:pStyle w:val="ONUME"/>
      </w:pPr>
      <w:r>
        <w:t>Приоритетные задачи на следующий год включают в себя повышение доступности и эффективности услуг ePCT для заявителей и ведомств, применение искусственного интеллекта для улучшения качества обслуживания клиентов и производительности, определение путей расширения использования полнотекстовой обработки и разрешения использования цветных чертежей, а также развитие систем в целях укрепления механизмов защиты личных данных.</w:t>
      </w:r>
    </w:p>
    <w:p w14:paraId="00774C42" w14:textId="77777777" w:rsidR="00DE4F82" w:rsidRDefault="00DE4F82" w:rsidP="00DE4F82">
      <w:pPr>
        <w:pStyle w:val="Heading1"/>
      </w:pPr>
      <w:r>
        <w:t xml:space="preserve">Доступность услуг </w:t>
      </w:r>
      <w:r>
        <w:rPr>
          <w:caps w:val="0"/>
        </w:rPr>
        <w:t>e</w:t>
      </w:r>
      <w:r>
        <w:t>PCT</w:t>
      </w:r>
    </w:p>
    <w:p w14:paraId="7BB5394B" w14:textId="77777777" w:rsidR="00DE4F82" w:rsidRDefault="00DE4F82" w:rsidP="00DE4F82">
      <w:pPr>
        <w:pStyle w:val="ONUME"/>
      </w:pPr>
      <w:r>
        <w:t>Международное бюро предоставляет услуги в области обработки в режиме онлайн посредством ePCT с 2011 года, первой была представлена безопасная проверка файлов, далее была добавлена возможность онлайн-подачи и услуги по обработке для заявителей и ведомств, которые становятся все более автоматизированными.  На постоянной основе реализуются меры по повышению безопасности, производительности и удобства использования.</w:t>
      </w:r>
    </w:p>
    <w:p w14:paraId="7263F0B9" w14:textId="5A881349" w:rsidR="00DE4F82" w:rsidRDefault="00DE4F82" w:rsidP="00DE4F82">
      <w:pPr>
        <w:pStyle w:val="ONUME"/>
      </w:pPr>
      <w:r>
        <w:t>Сервис электронной подачи ePCT Filing внедрен непосредственно в 88 Получающих ведомствах.  Кроме того, функционирующие на основе ePCT системы предоставляют возможность заполнять бланки заявлений международных заявок или обеспечивают работу систем подачи в рамках альтернативных порталов в нескольких других ведомствах.  На долю ePCT приходится около 86% международных заявок, подаваемых в ведомствах, в которых система электронной подачи ePCT Filing реализована либо напрямую, либо встроена в иные службы.</w:t>
      </w:r>
    </w:p>
    <w:p w14:paraId="7F16E5F6" w14:textId="77777777" w:rsidR="00DE4F82" w:rsidRDefault="00DE4F82" w:rsidP="00DE4F82">
      <w:pPr>
        <w:pStyle w:val="ONUME"/>
      </w:pPr>
      <w:r>
        <w:lastRenderedPageBreak/>
        <w:t>Сервисы ePCT используются для обработки заявок в 97 ведомствах, в основном выступающих в роли Получающего ведомства, а также в некоторых Органах международной предварительной экспертизы и Поисковых органах.  Заявители в других ведомствах тоже могут получить доступ к своим международным заявкам посредством системы ePCT, но им будут видны только те документы и данные, которые были переданы в Международное бюро (МБ).</w:t>
      </w:r>
    </w:p>
    <w:p w14:paraId="2C80F8D8" w14:textId="77777777" w:rsidR="00DE4F82" w:rsidRDefault="00DE4F82" w:rsidP="00DE4F82">
      <w:pPr>
        <w:pStyle w:val="ONUME"/>
        <w:keepLines/>
      </w:pPr>
      <w:r>
        <w:t>Использование сервисов системы ePCT для целей подачи и обработки заявок в целом выгодно как заявителям, так и ведомствам, так как при этом обеспечивается единообразие процедур и данных с одним «источником подлинной информации», который в равной степени доступен для просмотра заявителям, национальным ведомствам и Международному бюро (с учетом отдельных ограничений в отношении некоторых типов документов или случаев, когда Получающее ведомство еще не передало регистрационный экземпляр, и потому Международное бюро пока не будет располагать соответствующими документами и данными).  Ведомства имеют возможность осуществлять свои обязательства без того, чтобы вкладывать средства в разработку и обслуживание локальных систем.  Для Международного бюро выгода заключается в том, что документы и данные поступают в единых форматах, что позволяет эффективно их обрабатывать без необходимости учитывать различия, характерные для конкретного ведомства.  Преимуществом для всех пользователей является тот факт, что любые усовершенствования систем становятся доступны одновременно всем по мере их внедрения, например недавно была добавлена возможность просматривать представляемые МБ бланки на любом из 10 языков публикации независимо от того, были они изначально составлены на английском или французском.</w:t>
      </w:r>
    </w:p>
    <w:p w14:paraId="6AD72E4A" w14:textId="77777777" w:rsidR="00DE4F82" w:rsidRDefault="00DE4F82" w:rsidP="00DE4F82">
      <w:pPr>
        <w:pStyle w:val="ONUME"/>
      </w:pPr>
      <w:r>
        <w:t>Однако заявители и ведомства предпочитают пользоваться услугами по-разному, и основной, доступный в браузере сервис не идеально подходит для всех случаев.  Международное бюро стремится внедрять такие сервисы, которые соответствуют различным вариантам использования и при этом остаются практичными в обслуживании и поддержке.  Ниже представлены некоторые важные области этой работы:</w:t>
      </w:r>
    </w:p>
    <w:p w14:paraId="5C17B315" w14:textId="0487FE00" w:rsidR="00DE4F82" w:rsidRDefault="00DE4F82" w:rsidP="00DE4F82">
      <w:pPr>
        <w:pStyle w:val="ONUME"/>
        <w:numPr>
          <w:ilvl w:val="1"/>
          <w:numId w:val="5"/>
        </w:numPr>
      </w:pPr>
      <w:r>
        <w:rPr>
          <w:i/>
        </w:rPr>
        <w:t>Повышение эффективности ePCT для крупных ведомств:</w:t>
      </w:r>
      <w:r>
        <w:t xml:space="preserve"> сервисы для ведомств в рамках системы ePCT в полной мере используются в основном теми ведомствами, в которых доступ требуется лишь относительно небольшому числу людей.  Во многом это объясняется сложностью ведения учетных записей ВОИС с правильными правами доступа для большого числа экспертов, а также ограниченной вариативностью рабочих процессов, доступных в настоящее время.  Несмотря на то что при имеющейся на данный момент технологии представляется нецелесообразным предлагать ведомствам полностью федеративную модель предоставления пользователям доступа, Международное бюро работает с рядом средних и крупных ведомств над тем, чтобы сервисы ePCT для ведомств было практично внедрять и при большом числе пользователей.</w:t>
      </w:r>
    </w:p>
    <w:p w14:paraId="143E238B" w14:textId="7027F820" w:rsidR="00DE4F82" w:rsidRDefault="00DE4F82" w:rsidP="00DE4F82">
      <w:pPr>
        <w:pStyle w:val="ONUME"/>
        <w:numPr>
          <w:ilvl w:val="1"/>
          <w:numId w:val="5"/>
        </w:numPr>
      </w:pPr>
      <w:r>
        <w:rPr>
          <w:i/>
        </w:rPr>
        <w:t>Интеграция в порталы ведомств:</w:t>
      </w:r>
      <w:r>
        <w:t xml:space="preserve"> некоторые ведомства хотели бы внедрять порталы по принципу «одного окна», где заявители могли бы входить в одну систему для управления как национальными, так и международными заявками.  Поддержание работы «плагина», который обеспечивает предоставление услуг по подаче заявок в рамках PCT посредством системы eOLF 2.0 Европейского патентного ведомства, на практике оказалось сложной задачей.  Международное бюро работает над созданием собственной службы обеспечения непрерывности операционной деятельности для предоставления аналогичной функции более простым и надежным способом.</w:t>
      </w:r>
    </w:p>
    <w:p w14:paraId="2EE64917" w14:textId="4866DFB1" w:rsidR="00DE4F82" w:rsidRDefault="00DE4F82" w:rsidP="00DE4F82">
      <w:pPr>
        <w:pStyle w:val="ONUME"/>
        <w:numPr>
          <w:ilvl w:val="1"/>
          <w:numId w:val="5"/>
        </w:numPr>
      </w:pPr>
      <w:r>
        <w:rPr>
          <w:i/>
        </w:rPr>
        <w:lastRenderedPageBreak/>
        <w:t>Веб-сервисы:</w:t>
      </w:r>
      <w:r>
        <w:t xml:space="preserve"> еще одним аспектом реализации принципа «одного окна» является интеграция сервисов в системы управления патентами, используемые поверенными, с тем чтобы управление портфелем — по крайней мере в некоторой степени — осуществлялось в автоматическом режиме.  Уже несколько лет в рамках ePCT функционирует ряд веб-сервисов, которые могут использоваться системами управления патентами заявителей или внедряться в рамках автоматизации процессов в национальных ведомствах, однако отсутствовала служба управления программными интерфейсами (API), которая обеспечивала бы простой доступ к документам и безопасную тестовую среду.  Следовательно, веб-сервисы ePCT до сих пор используются лишь небольшим числом ведомств и крупными заявителями.  Новая служба управления API должна быть запущена в 2026 году, благодаря чему соответствующие возможности будут доступны более широкому кругу пользователей, а ведомствам будет проще осуществлять разработку систем.  Следует также отметить, что существующие веб-сервисы ePCT ориентированы в значительной степени только на систему PCT.  Для того чтобы стимулировать внедрение таких сервисов поставщиками систем управления патентами, национальным ведомствам следует рассмотреть возможность создания небольшого набора API, которые были бы общими для МБ и национальных ведомств и обеспечивали бы единые базовые функции по просмотру портфеля ИС пользователя и получения уведомлений, документов и библиографических данных, касающихся той или иной заявки в рамках этого портфеля.</w:t>
      </w:r>
    </w:p>
    <w:p w14:paraId="538EB6AB" w14:textId="77777777" w:rsidR="00DE4F82" w:rsidRDefault="00DE4F82" w:rsidP="00DE4F82">
      <w:pPr>
        <w:pStyle w:val="Heading1"/>
      </w:pPr>
      <w:r>
        <w:t>Использование искусственного интеллекта</w:t>
      </w:r>
    </w:p>
    <w:p w14:paraId="2502AA9F" w14:textId="77777777" w:rsidR="00DE4F82" w:rsidRDefault="00DE4F82" w:rsidP="00DE4F82">
      <w:pPr>
        <w:pStyle w:val="ONUME"/>
      </w:pPr>
      <w:r>
        <w:t>Многие национальные ведомства используют или рассматривают возможность использования искусственного интеллекта в качестве инструмента, содействующего поиску и обработке национальных и международных заявок.  Международное бюро уже на протяжении многих лет применяет искусственный интеллект в системах перевода и классификации, однако с развитием нового поколения генеративных систем ИИ появилось множество новых возможностей.</w:t>
      </w:r>
    </w:p>
    <w:p w14:paraId="725849D6" w14:textId="77777777" w:rsidR="00DE4F82" w:rsidRDefault="00DE4F82" w:rsidP="00DE4F82">
      <w:pPr>
        <w:pStyle w:val="ONUME"/>
      </w:pPr>
      <w:r>
        <w:t>В настоящее время проводится чрезвычайно тщательный анализ способов использования ИИ в рамках системы РСТ, с тем чтобы исключить риск утечки конфиденциальных данных или ненадлежащего рассмотрения международных заявок из-за выдачи неверных результатов.  В настоящее время генеративный ИИ практически используется только для демонстрации технических возможностей и содействия сотрудникам в понимании тех или иных вопросов, обеспечивая более эффективный способ применения машинного перевода документов в формате изображений только сотрудникам Международного бюро.  Тем не менее в настоящее время ведется работа над различными проектами, направленными на повышение уровня обслуживания клиентов и улучшение качества информации или эффективности.  Ниже представлены некоторые области, в которых в следующем году, как ожидается, будут достигнуты значительные результаты:</w:t>
      </w:r>
    </w:p>
    <w:p w14:paraId="401579CC" w14:textId="77777777" w:rsidR="00DE4F82" w:rsidRDefault="00DE4F82" w:rsidP="00DE4F82">
      <w:pPr>
        <w:pStyle w:val="ONUME"/>
        <w:numPr>
          <w:ilvl w:val="1"/>
          <w:numId w:val="5"/>
        </w:numPr>
      </w:pPr>
      <w:r>
        <w:t>Усовершенствованный языковой ассистент для простых рабочих задач, обеспечивающий реализацию Международным бюро Административной инструкции в соответствии с правилом 92.2(d) и расширение числа ситуаций, в которых заявители могут официально направлять Международному бюро корреспонденцию на языках, отличных от английского или французского.</w:t>
      </w:r>
    </w:p>
    <w:p w14:paraId="12EE660C" w14:textId="77777777" w:rsidR="00DE4F82" w:rsidRDefault="00DE4F82" w:rsidP="00DE4F82">
      <w:pPr>
        <w:pStyle w:val="ONUME"/>
        <w:numPr>
          <w:ilvl w:val="1"/>
          <w:numId w:val="5"/>
        </w:numPr>
      </w:pPr>
      <w:r>
        <w:t>Реализация извлечения текста из чертежей для целей повышения эффективности и точности предоставления текста при чертежах на титульных листах и использования его в поисковых системах.</w:t>
      </w:r>
    </w:p>
    <w:p w14:paraId="5ECD9327" w14:textId="77777777" w:rsidR="00DE4F82" w:rsidRDefault="00DE4F82" w:rsidP="00DE4F82">
      <w:pPr>
        <w:pStyle w:val="ONUME"/>
        <w:numPr>
          <w:ilvl w:val="1"/>
          <w:numId w:val="5"/>
        </w:numPr>
      </w:pPr>
      <w:r>
        <w:lastRenderedPageBreak/>
        <w:t>Автоматизированный контроль качества в рамках оптического распознавания символов (OCR), снижающий затраты и повышающий качество извлечения текста при OCR.  Если эту функцию удастся реализовать с точностью, ожидаемой по результатам тестирования на ранней стадии, предполагается предоставить эту технологию национальным ведомствам для содействия им в подготовке точных полнотекстовых публикаций для целей минимума документации РСТ.</w:t>
      </w:r>
    </w:p>
    <w:p w14:paraId="0F93333C" w14:textId="6E53FD45" w:rsidR="00DE4F82" w:rsidRDefault="00DE4F82" w:rsidP="00DE4F82">
      <w:pPr>
        <w:pStyle w:val="ONUME"/>
        <w:numPr>
          <w:ilvl w:val="1"/>
          <w:numId w:val="5"/>
        </w:numPr>
      </w:pPr>
      <w:r>
        <w:t>Более надежное выявление формальных недостатков, таких как несоответствия в библиографических данных, предоставленных в формате изображений (PDF).</w:t>
      </w:r>
    </w:p>
    <w:p w14:paraId="1D214623" w14:textId="77777777" w:rsidR="00DE4F82" w:rsidRDefault="00DE4F82" w:rsidP="00DE4F82">
      <w:pPr>
        <w:pStyle w:val="ONUME"/>
      </w:pPr>
      <w:r>
        <w:t>Также на ранних стадиях рассмотрения находится ряд более масштабных проектов, которые требуют дополнительного опыта в написании запросов (в «промпт-инжиниринге») для оптимизации выполняемых ИИ задач для различных вариаций процессов или для предоставления результатов в правильных структурированных форматах выдачи результатов (как правило, это специальные стандарты XML).</w:t>
      </w:r>
    </w:p>
    <w:p w14:paraId="208C6F2E" w14:textId="77777777" w:rsidR="00DE4F82" w:rsidRDefault="00DE4F82" w:rsidP="00DE4F82">
      <w:pPr>
        <w:pStyle w:val="Heading1"/>
      </w:pPr>
      <w:r>
        <w:t>Обработка в полнотекстовом формате и цветные чертежи</w:t>
      </w:r>
    </w:p>
    <w:p w14:paraId="4691EF9B" w14:textId="0C1C3C76" w:rsidR="00DE4F82" w:rsidRDefault="00DE4F82" w:rsidP="00DE4F82">
      <w:pPr>
        <w:pStyle w:val="ONUME"/>
      </w:pPr>
      <w:r>
        <w:t>Как отмечалось на прошлой сессии Рабочей группы (см. пункт 16 документа PCT/WG/18/13), Международное бюро уже генерирует полнотекстовые PDF-версии документов в рамках международной публикации, включающие любые подаваемые цветные чертежи или чертежи в оттенках серого, в тех случаях, когда международная заявка направляется в регистрационном экземпляре в формате XML, а чертежи не были заменены в результате исправления или уточнения.  Однако данный этап является промежуточным в рамках процедуры публикации, и в настоящее время соответствующий результат не размещается и не хранится в архиве.  В будущем предлагается размещать эти PDF-файлы в качестве альтернативного представления международной публикации наряду с существующими черно-белыми изображениями страниц, которые на текущий момент остаются официальной формой публикации.</w:t>
      </w:r>
    </w:p>
    <w:p w14:paraId="67A1FA7A" w14:textId="77777777" w:rsidR="00DE4F82" w:rsidRDefault="00DE4F82" w:rsidP="00DE4F82">
      <w:pPr>
        <w:pStyle w:val="ONUME"/>
      </w:pPr>
      <w:r>
        <w:t>В ближайшее время будет распространено циркулярное письмо РСТ, содержащее подробные сведения о предлагаемых форматах размещения, а также ссылки на образцы PDF-файлов, подготовленных на основе настоящих международных публикаций, с указанием конкретных данных этих PDF-файлах и информации о способе их включения и индексации в пакеты данных, передаваемые в ведомства.  Ожидается, что это поможет стимулировать и информационно обогатить дискуссии о переходе к официальной подаче и публикации цветных заявок, а также принесет пользу заявителям при переходе на национальную фазу в ведомствах, которые уже допускают представление цветных чертежей и в рамках национальной фазы готовы принимать заявки на основе цветных чертежей в международных заявках в том виде, в котором они были поданы, даже если они были опубликованы в черно-белом виде.</w:t>
      </w:r>
    </w:p>
    <w:p w14:paraId="099CE081" w14:textId="77777777" w:rsidR="00F92DE4" w:rsidRDefault="00F92DE4" w:rsidP="00F92DE4">
      <w:pPr>
        <w:pStyle w:val="Heading1"/>
      </w:pPr>
      <w:r>
        <w:t>Вопросы в рамках деятельности Комитета по стандартам ВОИС</w:t>
      </w:r>
    </w:p>
    <w:p w14:paraId="625D6797" w14:textId="65870BCD" w:rsidR="00F92DE4" w:rsidRDefault="00E157B3" w:rsidP="00DE4F82">
      <w:pPr>
        <w:pStyle w:val="ONUME"/>
        <w:keepNext/>
        <w:keepLines/>
      </w:pPr>
      <w:r>
        <w:t>Комитет по стандартам ВОИС (КСВ) и его Целевые группы осуществляют деятельность в различных областях, имеющих большое значение для электронной обработки документов в рамках РСТ.  Ниже представлены некоторые из наиболее важных:</w:t>
      </w:r>
    </w:p>
    <w:p w14:paraId="345BE492" w14:textId="28F1321F" w:rsidR="00F92DE4" w:rsidRDefault="00E157B3" w:rsidP="00E157B3">
      <w:pPr>
        <w:pStyle w:val="ONUME"/>
        <w:numPr>
          <w:ilvl w:val="1"/>
          <w:numId w:val="5"/>
        </w:numPr>
      </w:pPr>
      <w:r>
        <w:rPr>
          <w:i/>
        </w:rPr>
        <w:t>Внедрение и пересмотр стандарта ВОИС ST.92</w:t>
      </w:r>
      <w:r>
        <w:t xml:space="preserve"> («Рекомендации в отношении формата пакетов данных для электронного обмена приоритетными документами и заверенными копиями»; см. документ </w:t>
      </w:r>
      <w:hyperlink r:id="rId9" w:history="1">
        <w:r>
          <w:rPr>
            <w:rStyle w:val="Hyperlink"/>
          </w:rPr>
          <w:t>CWS/13/20 Rev.</w:t>
        </w:r>
      </w:hyperlink>
      <w:r>
        <w:t xml:space="preserve"> и презентацию </w:t>
      </w:r>
      <w:hyperlink r:id="rId10" w:history="1">
        <w:r>
          <w:rPr>
            <w:rStyle w:val="Hyperlink"/>
          </w:rPr>
          <w:t>CWS/13/7E-IB</w:t>
        </w:r>
      </w:hyperlink>
      <w:r>
        <w:t>).  Проводится подготовка Службы цифрового доступа к приоритетным документам (СЦД) ВОИС к использованию в соответствии со стандартом ВОИС ST.92, в то время как его внедрение ожидается в течение двухлетнего переходного периода с июля 2026 года по июнь 2028 года.  Международное бюро будет готово принимать приоритетные документы из СЦД, когда это будет необходимо для обработки приоритетных документов, направляемых новым способом.</w:t>
      </w:r>
    </w:p>
    <w:p w14:paraId="1069375F" w14:textId="0D9BC71D" w:rsidR="00582E9C" w:rsidRDefault="00582E9C" w:rsidP="00E157B3">
      <w:pPr>
        <w:pStyle w:val="ONUME"/>
        <w:numPr>
          <w:ilvl w:val="1"/>
          <w:numId w:val="5"/>
        </w:numPr>
      </w:pPr>
      <w:r>
        <w:rPr>
          <w:i/>
        </w:rPr>
        <w:t>Пересмотр стандарта ВОИС ST.26</w:t>
      </w:r>
      <w:r>
        <w:t xml:space="preserve"> («Рекомендуемый стандарт представления перечней нуклеотидных и аминокислотных последовательностей с использованием языка XML»; см. документ </w:t>
      </w:r>
      <w:hyperlink r:id="rId11" w:history="1">
        <w:r>
          <w:rPr>
            <w:rStyle w:val="Hyperlink"/>
          </w:rPr>
          <w:t>CWS/13/16 Rev.</w:t>
        </w:r>
      </w:hyperlink>
      <w:r>
        <w:t>).  Было одобрено существенное изменение стандарта ВОИС ST.26 версии 2.0, а также представлена информация о ходе развития программного обеспечения ВОИС Sequence.  Данный вопрос подробно описан в документах пункта повестки дня сессии, посвященного перечням последовательностей.</w:t>
      </w:r>
    </w:p>
    <w:p w14:paraId="50F1204B" w14:textId="22F037E0" w:rsidR="00582E9C" w:rsidRDefault="00582E9C" w:rsidP="00E157B3">
      <w:pPr>
        <w:pStyle w:val="ONUME"/>
        <w:numPr>
          <w:ilvl w:val="1"/>
          <w:numId w:val="5"/>
        </w:numPr>
      </w:pPr>
      <w:r>
        <w:rPr>
          <w:i/>
        </w:rPr>
        <w:t>Пересмотр стандарта ВОИС ST.37</w:t>
      </w:r>
      <w:r>
        <w:t xml:space="preserve"> («Рекомендация в отношении ведомственного досье опубликованных патентных документов»; см. документ </w:t>
      </w:r>
      <w:hyperlink r:id="rId12" w:history="1">
        <w:r>
          <w:rPr>
            <w:rStyle w:val="Hyperlink"/>
          </w:rPr>
          <w:t>CWS/13/17 Rev.2</w:t>
        </w:r>
      </w:hyperlink>
      <w:r>
        <w:t>).  Была утверждена новая версия (3.0) стандарта ВОИС ST.37; внесенные улучшения во многом основаны на опыте ведомств, создающих и анализирующих ведомственные досье в процессе работы над реализацией поправок к правилам 34 и 36 PCT, которые вступают в силу 1 января 2026 года.</w:t>
      </w:r>
    </w:p>
    <w:p w14:paraId="0CFBC282" w14:textId="2BCB6307" w:rsidR="009B0B99" w:rsidRDefault="009B0B99" w:rsidP="00E157B3">
      <w:pPr>
        <w:pStyle w:val="ONUME"/>
        <w:numPr>
          <w:ilvl w:val="1"/>
          <w:numId w:val="5"/>
        </w:numPr>
      </w:pPr>
      <w:r>
        <w:rPr>
          <w:i/>
        </w:rPr>
        <w:t>Разработка функциональных требований к конвертеру DOCX—XML</w:t>
      </w:r>
      <w:r>
        <w:t xml:space="preserve"> (см. документ </w:t>
      </w:r>
      <w:hyperlink r:id="rId13" w:history="1">
        <w:r>
          <w:rPr>
            <w:rStyle w:val="Hyperlink"/>
          </w:rPr>
          <w:t>CWS/13/12</w:t>
        </w:r>
      </w:hyperlink>
      <w:r>
        <w:t>).  Целевая группа по цифровому преобразованию работает над формулированием функциональных требований в качестве ориентира для ведомств, разрабатывающих конвертеры DOCX в XML.  Международное бюро выразило мнение, что для достижения понимания и доверия к преобразованию DOCX потребуется большее единообразие результатов, чем то, которое может быть достигнуто на основе данных требований.  Тем не менее осуществляемая работа расценивается как полезная с точки зрения определения того, как можно было бы достичь хорошо понимаемого, принимаемого и единообразного использования полнотекстовой обработки.</w:t>
      </w:r>
    </w:p>
    <w:p w14:paraId="5A6FFD55" w14:textId="2483950D" w:rsidR="00F821A8" w:rsidRDefault="00E157B3" w:rsidP="00E157B3">
      <w:pPr>
        <w:pStyle w:val="ONUME"/>
        <w:numPr>
          <w:ilvl w:val="1"/>
          <w:numId w:val="5"/>
        </w:numPr>
      </w:pPr>
      <w:r>
        <w:rPr>
          <w:i/>
        </w:rPr>
        <w:t>Глобальный идентификатор для физических и юридических лиц</w:t>
      </w:r>
      <w:r>
        <w:t xml:space="preserve"> (см. документ </w:t>
      </w:r>
      <w:hyperlink r:id="rId14" w:history="1">
        <w:r>
          <w:rPr>
            <w:rStyle w:val="Hyperlink"/>
          </w:rPr>
          <w:t>CWS/13/29</w:t>
        </w:r>
      </w:hyperlink>
      <w:r>
        <w:t xml:space="preserve">), </w:t>
      </w:r>
      <w:r>
        <w:rPr>
          <w:i/>
        </w:rPr>
        <w:t>очистка данных об именах</w:t>
      </w:r>
      <w:r>
        <w:t xml:space="preserve"> (см. документ </w:t>
      </w:r>
      <w:hyperlink r:id="rId15" w:history="1">
        <w:r>
          <w:rPr>
            <w:rStyle w:val="Hyperlink"/>
          </w:rPr>
          <w:t>CWS/13/15 Rev.</w:t>
        </w:r>
      </w:hyperlink>
      <w:r>
        <w:t xml:space="preserve">) и </w:t>
      </w:r>
      <w:r>
        <w:rPr>
          <w:i/>
        </w:rPr>
        <w:t>Целевая группа по стандартизации имен</w:t>
      </w:r>
      <w:r>
        <w:t xml:space="preserve"> (см. документ </w:t>
      </w:r>
      <w:hyperlink r:id="rId16" w:history="1">
        <w:r>
          <w:rPr>
            <w:rStyle w:val="Hyperlink"/>
          </w:rPr>
          <w:t>CWS/13/7 Rev.</w:t>
        </w:r>
      </w:hyperlink>
      <w:r>
        <w:t>).  Продолжается работа по повышению качества и единообразия информации об именах и юридических лицах, связанных с патентными заявками.  Данные усилия могут быть полезны для улучшения механизмов управления и поиска по патентным портфелям и для разработки различных проектов, таких как проект по «глобальной переуступке прав».</w:t>
      </w:r>
    </w:p>
    <w:p w14:paraId="78A782BA" w14:textId="17B7BD10" w:rsidR="00DE4F82" w:rsidRDefault="00DE4F82" w:rsidP="00E157B3">
      <w:pPr>
        <w:pStyle w:val="ONUME"/>
        <w:numPr>
          <w:ilvl w:val="1"/>
          <w:numId w:val="5"/>
        </w:numPr>
      </w:pPr>
      <w:r>
        <w:rPr>
          <w:i/>
        </w:rPr>
        <w:t>Целевая группа по обмену данными об ИС.</w:t>
      </w:r>
      <w:r>
        <w:t xml:space="preserve">  Целевая группа по обмену данными об ИС сообщила о ходе работы по созданию более открытых и единообразных стандартов обмена данными об интеллектуальной собственности между ведомствами (см. документ </w:t>
      </w:r>
      <w:hyperlink r:id="rId17" w:history="1">
        <w:r>
          <w:rPr>
            <w:rStyle w:val="Hyperlink"/>
          </w:rPr>
          <w:t>CWS/13/14</w:t>
        </w:r>
      </w:hyperlink>
      <w:r>
        <w:t>).  Деятельность по данному направлению дополняет усилия, прилагаемые для улучшения объема и качества минимума документации PCT.</w:t>
      </w:r>
    </w:p>
    <w:p w14:paraId="76352C16" w14:textId="77777777" w:rsidR="00F46BDC" w:rsidRPr="00F46BDC" w:rsidRDefault="00F46BDC" w:rsidP="00F46BDC">
      <w:pPr>
        <w:pStyle w:val="ONUME"/>
        <w:tabs>
          <w:tab w:val="left" w:pos="6096"/>
        </w:tabs>
        <w:ind w:left="5533"/>
        <w:rPr>
          <w:i/>
        </w:rPr>
      </w:pPr>
      <w:r>
        <w:rPr>
          <w:i/>
        </w:rPr>
        <w:t>Рабочей группе предлагается:</w:t>
      </w:r>
    </w:p>
    <w:p w14:paraId="470EC346" w14:textId="19ACD8B7" w:rsidR="00F46BDC" w:rsidRDefault="00F46BDC" w:rsidP="00F46BDC">
      <w:pPr>
        <w:pStyle w:val="ONUME"/>
        <w:numPr>
          <w:ilvl w:val="1"/>
          <w:numId w:val="5"/>
        </w:numPr>
        <w:tabs>
          <w:tab w:val="left" w:pos="6096"/>
        </w:tabs>
        <w:ind w:left="5534"/>
        <w:rPr>
          <w:i/>
        </w:rPr>
      </w:pPr>
      <w:r>
        <w:rPr>
          <w:i/>
        </w:rPr>
        <w:t>принять к сведению содержание документа PCT/WG/19/6; и</w:t>
      </w:r>
    </w:p>
    <w:p w14:paraId="5476FCD5" w14:textId="6ADCF86D" w:rsidR="00F821A8" w:rsidRPr="00F46BDC" w:rsidRDefault="00F46BDC" w:rsidP="00722460">
      <w:pPr>
        <w:pStyle w:val="ONUME"/>
        <w:keepLines/>
        <w:numPr>
          <w:ilvl w:val="1"/>
          <w:numId w:val="5"/>
        </w:numPr>
        <w:tabs>
          <w:tab w:val="left" w:pos="6096"/>
        </w:tabs>
        <w:ind w:left="5534"/>
        <w:rPr>
          <w:i/>
        </w:rPr>
      </w:pPr>
      <w:r>
        <w:rPr>
          <w:i/>
        </w:rPr>
        <w:t>представить комментарии относительно приоритетов развития онлайн-сервисов в рамках PCT.</w:t>
      </w:r>
    </w:p>
    <w:p w14:paraId="39646C78" w14:textId="085CF4B8" w:rsidR="00367F99" w:rsidRPr="00F821A8" w:rsidRDefault="00367F99" w:rsidP="00CB32F0">
      <w:pPr>
        <w:pStyle w:val="Endofdocument-Annex"/>
      </w:pPr>
      <w:r>
        <w:t>[Конец документа]</w:t>
      </w:r>
    </w:p>
    <w:sectPr w:rsidR="00367F99" w:rsidRPr="00F821A8" w:rsidSect="00F821A8">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AA5B" w14:textId="77777777" w:rsidR="00FE3423" w:rsidRDefault="00FE3423">
      <w:r>
        <w:separator/>
      </w:r>
    </w:p>
  </w:endnote>
  <w:endnote w:type="continuationSeparator" w:id="0">
    <w:p w14:paraId="72E5649F" w14:textId="77777777" w:rsidR="00FE3423" w:rsidRDefault="00FE3423" w:rsidP="003B38C1">
      <w:r>
        <w:separator/>
      </w:r>
    </w:p>
    <w:p w14:paraId="65521D52" w14:textId="77777777" w:rsidR="00FE3423" w:rsidRPr="00095DCB" w:rsidRDefault="00FE3423" w:rsidP="003B38C1">
      <w:pPr>
        <w:spacing w:after="60"/>
        <w:rPr>
          <w:sz w:val="17"/>
          <w:lang w:val="en-US"/>
        </w:rPr>
      </w:pPr>
      <w:r w:rsidRPr="00095DCB">
        <w:rPr>
          <w:sz w:val="17"/>
          <w:lang w:val="en-US"/>
        </w:rPr>
        <w:t>[Endnote continued from previous page]</w:t>
      </w:r>
    </w:p>
  </w:endnote>
  <w:endnote w:type="continuationNotice" w:id="1">
    <w:p w14:paraId="04146C35" w14:textId="77777777" w:rsidR="00FE3423" w:rsidRPr="00095DCB" w:rsidRDefault="00FE3423" w:rsidP="003B38C1">
      <w:pPr>
        <w:spacing w:before="60"/>
        <w:jc w:val="right"/>
        <w:rPr>
          <w:sz w:val="17"/>
          <w:szCs w:val="17"/>
          <w:lang w:val="en-US"/>
        </w:rPr>
      </w:pPr>
      <w:r w:rsidRPr="00095DCB">
        <w:rPr>
          <w:sz w:val="17"/>
          <w:szCs w:val="17"/>
          <w:lang w:val="en-US"/>
        </w:rPr>
        <w:t xml:space="preserve">[Endnote </w:t>
      </w:r>
      <w:proofErr w:type="gramStart"/>
      <w:r w:rsidRPr="00095DCB">
        <w:rPr>
          <w:sz w:val="17"/>
          <w:szCs w:val="17"/>
          <w:lang w:val="en-US"/>
        </w:rPr>
        <w:t>continued on</w:t>
      </w:r>
      <w:proofErr w:type="gramEnd"/>
      <w:r w:rsidRPr="00095DCB">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8CB" w14:textId="77777777" w:rsidR="00FE3423" w:rsidRDefault="00FE3423">
      <w:r>
        <w:separator/>
      </w:r>
    </w:p>
  </w:footnote>
  <w:footnote w:type="continuationSeparator" w:id="0">
    <w:p w14:paraId="56C92C1C" w14:textId="77777777" w:rsidR="00FE3423" w:rsidRDefault="00FE3423" w:rsidP="008B60B2">
      <w:r>
        <w:separator/>
      </w:r>
    </w:p>
    <w:p w14:paraId="7EAE19FD" w14:textId="77777777" w:rsidR="00FE3423" w:rsidRPr="00095DCB" w:rsidRDefault="00FE3423" w:rsidP="008B60B2">
      <w:pPr>
        <w:spacing w:after="60"/>
        <w:rPr>
          <w:sz w:val="17"/>
          <w:szCs w:val="17"/>
          <w:lang w:val="en-US"/>
        </w:rPr>
      </w:pPr>
      <w:r w:rsidRPr="00095DCB">
        <w:rPr>
          <w:sz w:val="17"/>
          <w:szCs w:val="17"/>
          <w:lang w:val="en-US"/>
        </w:rPr>
        <w:t>[Footnote continued from previous page]</w:t>
      </w:r>
    </w:p>
  </w:footnote>
  <w:footnote w:type="continuationNotice" w:id="1">
    <w:p w14:paraId="33A35424" w14:textId="77777777" w:rsidR="00FE3423" w:rsidRPr="00095DCB" w:rsidRDefault="00FE3423" w:rsidP="008B60B2">
      <w:pPr>
        <w:spacing w:before="60"/>
        <w:jc w:val="right"/>
        <w:rPr>
          <w:sz w:val="17"/>
          <w:szCs w:val="17"/>
          <w:lang w:val="en-US"/>
        </w:rPr>
      </w:pPr>
      <w:r w:rsidRPr="00095DCB">
        <w:rPr>
          <w:sz w:val="17"/>
          <w:szCs w:val="17"/>
          <w:lang w:val="en-US"/>
        </w:rPr>
        <w:t xml:space="preserve">[Footnote </w:t>
      </w:r>
      <w:proofErr w:type="gramStart"/>
      <w:r w:rsidRPr="00095DCB">
        <w:rPr>
          <w:sz w:val="17"/>
          <w:szCs w:val="17"/>
          <w:lang w:val="en-US"/>
        </w:rPr>
        <w:t>continued on</w:t>
      </w:r>
      <w:proofErr w:type="gramEnd"/>
      <w:r w:rsidRPr="00095DCB">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AB" w14:textId="53E3F42A" w:rsidR="00EC4E49" w:rsidRDefault="00F821A8" w:rsidP="00477D6B">
    <w:pPr>
      <w:jc w:val="right"/>
    </w:pPr>
    <w:bookmarkStart w:id="5" w:name="Code2"/>
    <w:bookmarkEnd w:id="5"/>
    <w:r>
      <w:t>PCT/WG/19/6</w:t>
    </w:r>
  </w:p>
  <w:p w14:paraId="07B0F45C"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2A9B1BBB" w14:textId="77777777" w:rsidR="00EC4E49" w:rsidRDefault="00EC4E49" w:rsidP="00477D6B">
    <w:pPr>
      <w:jc w:val="right"/>
    </w:pPr>
  </w:p>
  <w:p w14:paraId="1B839227"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A8"/>
    <w:rsid w:val="0001647B"/>
    <w:rsid w:val="00043CAA"/>
    <w:rsid w:val="00053091"/>
    <w:rsid w:val="00071422"/>
    <w:rsid w:val="00075432"/>
    <w:rsid w:val="0009067F"/>
    <w:rsid w:val="00095DCB"/>
    <w:rsid w:val="000968ED"/>
    <w:rsid w:val="000E7D85"/>
    <w:rsid w:val="000F5E56"/>
    <w:rsid w:val="001024FE"/>
    <w:rsid w:val="001362EE"/>
    <w:rsid w:val="00142868"/>
    <w:rsid w:val="001832A6"/>
    <w:rsid w:val="00197823"/>
    <w:rsid w:val="001C0EEA"/>
    <w:rsid w:val="001C6808"/>
    <w:rsid w:val="001C7896"/>
    <w:rsid w:val="002121FA"/>
    <w:rsid w:val="002238CD"/>
    <w:rsid w:val="002634C4"/>
    <w:rsid w:val="00276CC2"/>
    <w:rsid w:val="002928D3"/>
    <w:rsid w:val="0029703C"/>
    <w:rsid w:val="002F1FE6"/>
    <w:rsid w:val="002F4E68"/>
    <w:rsid w:val="00303CE1"/>
    <w:rsid w:val="00312F7F"/>
    <w:rsid w:val="003228B7"/>
    <w:rsid w:val="00335A97"/>
    <w:rsid w:val="003508A3"/>
    <w:rsid w:val="003673CF"/>
    <w:rsid w:val="00367F99"/>
    <w:rsid w:val="003845C1"/>
    <w:rsid w:val="003A6F89"/>
    <w:rsid w:val="003B1FD5"/>
    <w:rsid w:val="003B38C1"/>
    <w:rsid w:val="003D352A"/>
    <w:rsid w:val="003F4C9E"/>
    <w:rsid w:val="00423E3E"/>
    <w:rsid w:val="00427AF4"/>
    <w:rsid w:val="004400E2"/>
    <w:rsid w:val="00461632"/>
    <w:rsid w:val="004647DA"/>
    <w:rsid w:val="00474062"/>
    <w:rsid w:val="00477D6B"/>
    <w:rsid w:val="00497C1B"/>
    <w:rsid w:val="004A2D2D"/>
    <w:rsid w:val="004D39C4"/>
    <w:rsid w:val="0053057A"/>
    <w:rsid w:val="00532AB5"/>
    <w:rsid w:val="00533659"/>
    <w:rsid w:val="00543927"/>
    <w:rsid w:val="00552C87"/>
    <w:rsid w:val="00560A29"/>
    <w:rsid w:val="00582E9C"/>
    <w:rsid w:val="00594D27"/>
    <w:rsid w:val="005A6B84"/>
    <w:rsid w:val="00601760"/>
    <w:rsid w:val="00605827"/>
    <w:rsid w:val="00646050"/>
    <w:rsid w:val="006713CA"/>
    <w:rsid w:val="00676C5C"/>
    <w:rsid w:val="00695558"/>
    <w:rsid w:val="006C0791"/>
    <w:rsid w:val="006D5E0F"/>
    <w:rsid w:val="006F7742"/>
    <w:rsid w:val="0070227E"/>
    <w:rsid w:val="007058FB"/>
    <w:rsid w:val="00722460"/>
    <w:rsid w:val="00744C06"/>
    <w:rsid w:val="007B6A58"/>
    <w:rsid w:val="007D1613"/>
    <w:rsid w:val="00873EE5"/>
    <w:rsid w:val="008976D0"/>
    <w:rsid w:val="008B2CC1"/>
    <w:rsid w:val="008B4B5E"/>
    <w:rsid w:val="008B60B2"/>
    <w:rsid w:val="0090731E"/>
    <w:rsid w:val="00911684"/>
    <w:rsid w:val="00916EE2"/>
    <w:rsid w:val="009454EE"/>
    <w:rsid w:val="00946221"/>
    <w:rsid w:val="0095026E"/>
    <w:rsid w:val="00966A22"/>
    <w:rsid w:val="0096722F"/>
    <w:rsid w:val="00980843"/>
    <w:rsid w:val="009B0B99"/>
    <w:rsid w:val="009D4132"/>
    <w:rsid w:val="009E2791"/>
    <w:rsid w:val="009E3F6F"/>
    <w:rsid w:val="009F3BF9"/>
    <w:rsid w:val="009F499F"/>
    <w:rsid w:val="00A04488"/>
    <w:rsid w:val="00A262AF"/>
    <w:rsid w:val="00A26A28"/>
    <w:rsid w:val="00A42DAF"/>
    <w:rsid w:val="00A45BD8"/>
    <w:rsid w:val="00A778BF"/>
    <w:rsid w:val="00A85B8E"/>
    <w:rsid w:val="00AC1A0E"/>
    <w:rsid w:val="00AC205C"/>
    <w:rsid w:val="00AF5C73"/>
    <w:rsid w:val="00B05A69"/>
    <w:rsid w:val="00B36CA2"/>
    <w:rsid w:val="00B40598"/>
    <w:rsid w:val="00B50B99"/>
    <w:rsid w:val="00B62CD9"/>
    <w:rsid w:val="00B9734B"/>
    <w:rsid w:val="00BF2415"/>
    <w:rsid w:val="00BF48DE"/>
    <w:rsid w:val="00C00276"/>
    <w:rsid w:val="00C11BFE"/>
    <w:rsid w:val="00C91AB4"/>
    <w:rsid w:val="00C94629"/>
    <w:rsid w:val="00CB32F0"/>
    <w:rsid w:val="00CC14AD"/>
    <w:rsid w:val="00CE65D4"/>
    <w:rsid w:val="00D1244F"/>
    <w:rsid w:val="00D30CC5"/>
    <w:rsid w:val="00D45252"/>
    <w:rsid w:val="00D71B4D"/>
    <w:rsid w:val="00D93D55"/>
    <w:rsid w:val="00DC25B1"/>
    <w:rsid w:val="00DE4F82"/>
    <w:rsid w:val="00E06426"/>
    <w:rsid w:val="00E070BF"/>
    <w:rsid w:val="00E157B3"/>
    <w:rsid w:val="00E161A2"/>
    <w:rsid w:val="00E335FE"/>
    <w:rsid w:val="00E5021F"/>
    <w:rsid w:val="00E671A6"/>
    <w:rsid w:val="00E720F5"/>
    <w:rsid w:val="00E90B8B"/>
    <w:rsid w:val="00EC4E49"/>
    <w:rsid w:val="00EC68D9"/>
    <w:rsid w:val="00EC7A09"/>
    <w:rsid w:val="00ED77FB"/>
    <w:rsid w:val="00EF1B16"/>
    <w:rsid w:val="00F021A6"/>
    <w:rsid w:val="00F11D94"/>
    <w:rsid w:val="00F253D9"/>
    <w:rsid w:val="00F300DB"/>
    <w:rsid w:val="00F46BDC"/>
    <w:rsid w:val="00F54BA8"/>
    <w:rsid w:val="00F66152"/>
    <w:rsid w:val="00F821A8"/>
    <w:rsid w:val="00F865AB"/>
    <w:rsid w:val="00F866B9"/>
    <w:rsid w:val="00F9200A"/>
    <w:rsid w:val="00F92DE4"/>
    <w:rsid w:val="00FB3E54"/>
    <w:rsid w:val="00FE34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A130"/>
  <w15:docId w15:val="{79C714E8-1569-4897-AEED-EAD01AB8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821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157B3"/>
    <w:rPr>
      <w:color w:val="0000FF" w:themeColor="hyperlink"/>
      <w:u w:val="single"/>
    </w:rPr>
  </w:style>
  <w:style w:type="character" w:styleId="UnresolvedMention">
    <w:name w:val="Unresolved Mention"/>
    <w:basedOn w:val="DefaultParagraphFont"/>
    <w:uiPriority w:val="99"/>
    <w:semiHidden/>
    <w:unhideWhenUsed/>
    <w:rsid w:val="00E157B3"/>
    <w:rPr>
      <w:color w:val="605E5C"/>
      <w:shd w:val="clear" w:color="auto" w:fill="E1DFDD"/>
    </w:rPr>
  </w:style>
  <w:style w:type="paragraph" w:styleId="Revision">
    <w:name w:val="Revision"/>
    <w:hidden/>
    <w:uiPriority w:val="99"/>
    <w:semiHidden/>
    <w:rsid w:val="00DC25B1"/>
    <w:rPr>
      <w:rFonts w:ascii="Arial" w:eastAsia="SimSun" w:hAnsi="Arial" w:cs="Arial"/>
      <w:sz w:val="22"/>
      <w:lang w:eastAsia="zh-CN"/>
    </w:rPr>
  </w:style>
  <w:style w:type="character" w:customStyle="1" w:styleId="Heading1Char">
    <w:name w:val="Heading 1 Char"/>
    <w:basedOn w:val="DefaultParagraphFont"/>
    <w:link w:val="Heading1"/>
    <w:rsid w:val="00DE4F82"/>
    <w:rPr>
      <w:rFonts w:ascii="Arial" w:eastAsia="SimSun" w:hAnsi="Arial" w:cs="Arial"/>
      <w:b/>
      <w:bCs/>
      <w:caps/>
      <w:kern w:val="32"/>
      <w:sz w:val="22"/>
      <w:szCs w:val="3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ws/ru/cws_13/cws_13_12.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ru/cws_13/cws_13_17_rev_2.pdf" TargetMode="External"/><Relationship Id="rId17" Type="http://schemas.openxmlformats.org/officeDocument/2006/relationships/hyperlink" Target="https://www.wipo.int/edocs/mdocs/cws/ru/cws_13/cws_13_14.pdf" TargetMode="External"/><Relationship Id="rId2" Type="http://schemas.openxmlformats.org/officeDocument/2006/relationships/numbering" Target="numbering.xml"/><Relationship Id="rId16" Type="http://schemas.openxmlformats.org/officeDocument/2006/relationships/hyperlink" Target="https://www.wipo.int/edocs/mdocs/cws/ru/cws_13/cws_13_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ru/cws_13/cws_13_16_rev.pdf" TargetMode="External"/><Relationship Id="rId5" Type="http://schemas.openxmlformats.org/officeDocument/2006/relationships/webSettings" Target="webSettings.xml"/><Relationship Id="rId15" Type="http://schemas.openxmlformats.org/officeDocument/2006/relationships/hyperlink" Target="https://www.wipo.int/edocs/mdocs/cws/ru/cws_13/cws_13_15.pdf" TargetMode="External"/><Relationship Id="rId10" Type="http://schemas.openxmlformats.org/officeDocument/2006/relationships/hyperlink" Target="https://www.wipo.int/edocs/mdocs/cws/en/cws_13/cws_13_7e_i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docs/mdocs/cws/ru/cws_13/cws_13_20_rev.pdf" TargetMode="External"/><Relationship Id="rId14" Type="http://schemas.openxmlformats.org/officeDocument/2006/relationships/hyperlink" Target="https://www.wipo.int/edocs/mdocs/cws/ru/cws_13/cws_13_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6</Pages>
  <Words>1875</Words>
  <Characters>13572</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PCT/WG/19/6</vt:lpstr>
    </vt:vector>
  </TitlesOfParts>
  <Company>WIPO</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subject>Electronic Processing of International Applications</dc:subject>
  <dc:creator/>
  <cp:keywords/>
  <cp:lastModifiedBy>MARLOW Thomas</cp:lastModifiedBy>
  <cp:revision>4</cp:revision>
  <cp:lastPrinted>2025-12-19T14:11:00Z</cp:lastPrinted>
  <dcterms:created xsi:type="dcterms:W3CDTF">2026-01-06T14:23:00Z</dcterms:created>
  <dcterms:modified xsi:type="dcterms:W3CDTF">2026-01-06T14:23:00Z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