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7F1B" w14:textId="2FB88A7B" w:rsidR="008B2CC1" w:rsidRPr="008B2CC1" w:rsidRDefault="00743C54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55A5661A" wp14:editId="7B293EE0">
            <wp:extent cx="3170108" cy="1502410"/>
            <wp:effectExtent l="0" t="0" r="0" b="254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" t="7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399" cy="150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2587DC2" wp14:editId="4A22AFA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80339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70F1324" w14:textId="5F0CCC48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PCT/WG/19/</w:t>
      </w:r>
      <w:bookmarkStart w:id="0" w:name="Code"/>
      <w:bookmarkEnd w:id="0"/>
      <w:r>
        <w:rPr>
          <w:rFonts w:ascii="Arial Black" w:hAnsi="Arial Black"/>
          <w:caps/>
          <w:sz w:val="15"/>
        </w:rPr>
        <w:t>3</w:t>
      </w:r>
    </w:p>
    <w:p w14:paraId="385E07DF" w14:textId="0905E251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0A60CDE8" w14:textId="41C7F014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11 декабря 2025 года</w:t>
      </w:r>
    </w:p>
    <w:bookmarkEnd w:id="2"/>
    <w:p w14:paraId="3EC7F33B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17CAEFE2" w14:textId="77777777" w:rsidR="008B2CC1" w:rsidRPr="003845C1" w:rsidRDefault="00B36CA2" w:rsidP="008B2CC1">
      <w:pPr>
        <w:rPr>
          <w:b/>
          <w:sz w:val="24"/>
          <w:szCs w:val="24"/>
        </w:rPr>
      </w:pPr>
      <w:r>
        <w:rPr>
          <w:b/>
          <w:sz w:val="24"/>
        </w:rPr>
        <w:t>Девятнадцатая сессия</w:t>
      </w:r>
    </w:p>
    <w:p w14:paraId="5F617596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2–6 февраля 2026 года</w:t>
      </w:r>
    </w:p>
    <w:p w14:paraId="38E8D615" w14:textId="5DEBB5E7" w:rsidR="008B2CC1" w:rsidRPr="00902C9C" w:rsidRDefault="00C757AD" w:rsidP="00902C9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Минимум документации PCT:</w:t>
      </w:r>
      <w:r w:rsidR="00902C9C" w:rsidRPr="00902C9C">
        <w:rPr>
          <w:caps/>
          <w:sz w:val="24"/>
        </w:rPr>
        <w:t xml:space="preserve"> </w:t>
      </w:r>
      <w:r>
        <w:rPr>
          <w:caps/>
          <w:sz w:val="24"/>
        </w:rPr>
        <w:t>отчет о ходе работы</w:t>
      </w:r>
    </w:p>
    <w:p w14:paraId="5769AE42" w14:textId="1AFDB073" w:rsidR="008B2CC1" w:rsidRPr="004D39C4" w:rsidRDefault="00C757AD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представлен Европейским патентным ведомством и Соединенными Штатами Америки</w:t>
      </w:r>
    </w:p>
    <w:bookmarkEnd w:id="4"/>
    <w:p w14:paraId="7E267E20" w14:textId="7A23A6C2" w:rsidR="00C757AD" w:rsidRDefault="00C757AD" w:rsidP="00C757AD">
      <w:pPr>
        <w:pStyle w:val="Heading1"/>
      </w:pPr>
      <w:r>
        <w:t>Резюме</w:t>
      </w:r>
    </w:p>
    <w:p w14:paraId="25C191C1" w14:textId="6E9784FD" w:rsidR="00C757AD" w:rsidRDefault="00C757AD" w:rsidP="00C757AD">
      <w:pPr>
        <w:pStyle w:val="ONUME"/>
      </w:pPr>
      <w:r>
        <w:t>В настоящем документе представлен заключительный отчет о работе Целевой группы по минимуму документации РСТ («Целевая группа»), возглавляемой Европейским патентным ведомством (ЕПВ) и Ведомством США по патентам и товарным знакам (ВПТЗ США).  Внимание Целевой группы было сосредоточено на финальной подготовке, необходимой для своевременного введения в действие пересмотренной нормативно-правовой базы, призванной обеспечить регулирование в отношении минимума документации РСТ с 2026 года.  Данная пересмотренная нормативно-правовая база предусматривает создание постоянной Целевой группы по минимуму документации PCT при Заседании международных органов в рамках PCT (ЗМО), которая начнет свою работу в 2026 году.  В настоящем документе также представлен мандат новой постоянной Целевой группы по минимуму документации PCT, одобренный ЗМО на тридцать второй сессии (29–31 октября 2025 года).</w:t>
      </w:r>
    </w:p>
    <w:p w14:paraId="0E0163F8" w14:textId="6B613804" w:rsidR="00C757AD" w:rsidRDefault="00C757AD" w:rsidP="00C757AD">
      <w:pPr>
        <w:pStyle w:val="Heading1"/>
      </w:pPr>
      <w:r>
        <w:t>Справочная информация</w:t>
      </w:r>
    </w:p>
    <w:p w14:paraId="6664E62D" w14:textId="4DEC756B" w:rsidR="00902C9C" w:rsidRDefault="00C757AD" w:rsidP="00C757AD">
      <w:pPr>
        <w:pStyle w:val="ONUME"/>
      </w:pPr>
      <w:r>
        <w:t>В 2016 году участники Заседания международных органов в рамках PCT постановили возобновить работу Целевой группы по минимуму документации PCT для проведения комплексного обзора минимума документации PCT под руководством ЕПВ и ВПТЗ США.  Мандат, которым была наделена Целевая группа в 2016 году и который был одобрен ЗМО в начале 2017 года (см. пункты 3 и 4 документа PCT/WG/17/16), может быть резюмирован следующим образом:</w:t>
      </w:r>
    </w:p>
    <w:p w14:paraId="036160F1" w14:textId="77777777" w:rsidR="00902C9C" w:rsidRDefault="00902C9C">
      <w:r>
        <w:br w:type="page"/>
      </w:r>
    </w:p>
    <w:p w14:paraId="47DF3852" w14:textId="7A383652" w:rsidR="00C757AD" w:rsidRDefault="00C757AD" w:rsidP="00C757AD">
      <w:pPr>
        <w:pStyle w:val="ONUME"/>
        <w:numPr>
          <w:ilvl w:val="1"/>
          <w:numId w:val="5"/>
        </w:numPr>
      </w:pPr>
      <w:r>
        <w:lastRenderedPageBreak/>
        <w:t>составить обновленный перечень разделов текущего минимума документации РСТ, относящихся к патентной и непатентной литературе;</w:t>
      </w:r>
    </w:p>
    <w:p w14:paraId="598071D0" w14:textId="51ADDFEC" w:rsidR="00C757AD" w:rsidRDefault="00C757AD" w:rsidP="00C757AD">
      <w:pPr>
        <w:pStyle w:val="ONUME"/>
        <w:numPr>
          <w:ilvl w:val="1"/>
          <w:numId w:val="5"/>
        </w:numPr>
      </w:pPr>
      <w:r>
        <w:t>рекомендовать объективные критерии и современные стандарты по включению в минимум документации PCT как патентной документации, так и непатентной литературы, включая сведения об уровне техники, основанные на традиционных знаниях.</w:t>
      </w:r>
    </w:p>
    <w:p w14:paraId="2F9B121A" w14:textId="1B41A53E" w:rsidR="00C757AD" w:rsidRDefault="00C757AD" w:rsidP="00C757AD">
      <w:pPr>
        <w:pStyle w:val="ONUME"/>
      </w:pPr>
      <w:bookmarkStart w:id="5" w:name="_Ref216286691"/>
      <w:r>
        <w:t>На своей двадцать девятой сессии (20–22 июня 2022 года) ЗМО решило дополнить мандат Целевой группы следующими тремя задачами (см. пункт 22 документа PCT/MIA/29/4 и пункт 51(c) документа PCT/MIA/29/10):</w:t>
      </w:r>
      <w:bookmarkEnd w:id="5"/>
    </w:p>
    <w:p w14:paraId="6B124B9B" w14:textId="679685E6" w:rsidR="00C757AD" w:rsidRDefault="00C757AD" w:rsidP="00C757AD">
      <w:pPr>
        <w:pStyle w:val="ONUME"/>
        <w:numPr>
          <w:ilvl w:val="1"/>
          <w:numId w:val="5"/>
        </w:numPr>
      </w:pPr>
      <w:r>
        <w:t>оказывать ведомствам консультационную помощь и поддержку в обеспечении их технической готовности к дате вступления в силу исправленного определения минимума документации PCT, для открытия доступа, в соответствии с техническими требованиями и требованиями доступности, ко всем патентным документам, а в соответствующих случаях ‒ документам, касающимся полезных моделей, опубликованных начиная с указанной даты его вступления в силу;</w:t>
      </w:r>
    </w:p>
    <w:p w14:paraId="37EB632F" w14:textId="2E788068" w:rsidR="00C757AD" w:rsidRDefault="00C757AD" w:rsidP="00C757AD">
      <w:pPr>
        <w:pStyle w:val="ONUME"/>
        <w:numPr>
          <w:ilvl w:val="1"/>
          <w:numId w:val="5"/>
        </w:numPr>
      </w:pPr>
      <w:r>
        <w:t>согласовать, на период, составляющий 10 лет с даты вступления в силу исправленного определения минимума документации PCT, дорожную карту мероприятий по поддержке Ведомств в соблюдении технических требований, связанных с открытием доступа ко всем патентным документам, а в соответствующих случаях ‒ документам, касающимся полезных моделей, опубликованным начиная с контрольной даты до указанной даты его вступления в силу;</w:t>
      </w:r>
    </w:p>
    <w:p w14:paraId="5C48CEE0" w14:textId="2B61AAB5" w:rsidR="00C757AD" w:rsidRDefault="00C757AD" w:rsidP="00C757AD">
      <w:pPr>
        <w:pStyle w:val="ONUME"/>
        <w:numPr>
          <w:ilvl w:val="1"/>
          <w:numId w:val="5"/>
        </w:numPr>
      </w:pPr>
      <w:r>
        <w:t>обеспечить включение мероприятий по реализации согласованной дорожной карты в мандат (будущей) постоянной Целевой группы по минимуму документации РСТ при ЗМО PCT, которая приступит к работе после вступления в силу пересмотренной Инструкции и новых пунктов Административной инструкции, касающихся минимума документации РСТ.</w:t>
      </w:r>
    </w:p>
    <w:p w14:paraId="7035482E" w14:textId="295DF086" w:rsidR="00C757AD" w:rsidRDefault="00C757AD" w:rsidP="00C757AD">
      <w:pPr>
        <w:pStyle w:val="ONUME"/>
      </w:pPr>
      <w:r>
        <w:t>Целевая группа осуществляла свою деятельность с использованием предоставляемого ВОИС электронного форума («wiki-форум») и провела восемь заседаний как в очном, так и в виртуальном формате.</w:t>
      </w:r>
    </w:p>
    <w:p w14:paraId="471F00A0" w14:textId="77D28A94" w:rsidR="00C757AD" w:rsidRDefault="00C757AD" w:rsidP="00C757AD">
      <w:pPr>
        <w:pStyle w:val="Heading1"/>
      </w:pPr>
      <w:r>
        <w:t>Текущее положение дел и новая постоянная Целевая группа</w:t>
      </w:r>
    </w:p>
    <w:p w14:paraId="0B67D3F8" w14:textId="52D4D9F4" w:rsidR="00C757AD" w:rsidRDefault="00C757AD" w:rsidP="00C757AD">
      <w:pPr>
        <w:pStyle w:val="ONUME"/>
      </w:pPr>
      <w:r>
        <w:t>После интенсивной работы в рамках Целевой группы и дискуссий в ходе различных сессий ЗМО и Рабочей группы PCT, Ассамблея PCT на своей пятьдесят пятой (двадцать четвертой очередной) сессии (6–14 июля 2023 года) приняла поправки к правилам 34, 36 и 63 и Договоренность в отношении толкования правил 36 и 63 (документ PCT/A/55/2 и пункт 32 документа PCT/A/55/4).  Эти поправки вступят в силу 1 января 2026 года.</w:t>
      </w:r>
    </w:p>
    <w:p w14:paraId="77C7B24B" w14:textId="758C6EE6" w:rsidR="00C757AD" w:rsidRPr="00902C9C" w:rsidRDefault="00C757AD" w:rsidP="00C757AD">
      <w:pPr>
        <w:pStyle w:val="ONUME"/>
      </w:pPr>
      <w:r>
        <w:t>Изменения в Административной инструкции РСТ, включая новое приложение H, устанавливающие технические требования и требования в отношении доступности, а также порядок включения патентных документов, документов на полезные модели и непатентной литературы в минимум документации, были распространены 19 июня 2024 года посредством циркулярного письма C. PCT 1672.  Они вступят в силу 1 января 2026 года вместе с поправками к правилам.</w:t>
      </w:r>
    </w:p>
    <w:p w14:paraId="174317A7" w14:textId="03EF1872" w:rsidR="00902C9C" w:rsidRPr="00743C54" w:rsidRDefault="00902C9C">
      <w:r w:rsidRPr="00743C54">
        <w:br w:type="page"/>
      </w:r>
    </w:p>
    <w:p w14:paraId="56332D9E" w14:textId="557BA6FB" w:rsidR="00C757AD" w:rsidRDefault="00C757AD" w:rsidP="00C757AD">
      <w:pPr>
        <w:pStyle w:val="ONUME"/>
      </w:pPr>
      <w:r>
        <w:lastRenderedPageBreak/>
        <w:t xml:space="preserve"> С принятием поправок к правилам PCT в июле 2023 года и распространением изменений в Административной инструкции РСТ в июне 2024 года Целевая группа выполнила задачи в рамках своего первоначального мандата от 2016 года.  Следовательно, начиная с июня 2024 года деятельность Целевой группы была всецело посвящена тем трем целям, которые были добавлены к ее мандату в 2022 году (см. пункт </w:t>
      </w:r>
      <w:r w:rsidR="009F09F8">
        <w:fldChar w:fldCharType="begin"/>
      </w:r>
      <w:r w:rsidR="009F09F8">
        <w:instrText xml:space="preserve"> REF _Ref216286691 \r \h </w:instrText>
      </w:r>
      <w:r w:rsidR="009F09F8">
        <w:fldChar w:fldCharType="separate"/>
      </w:r>
      <w:r w:rsidR="00CA15DC">
        <w:t>3</w:t>
      </w:r>
      <w:r w:rsidR="009F09F8">
        <w:fldChar w:fldCharType="end"/>
      </w:r>
      <w:r>
        <w:t xml:space="preserve"> выше).</w:t>
      </w:r>
    </w:p>
    <w:p w14:paraId="0817805C" w14:textId="44785B04" w:rsidR="00C757AD" w:rsidRDefault="00C757AD" w:rsidP="00C757AD">
      <w:pPr>
        <w:pStyle w:val="ONUME"/>
      </w:pPr>
      <w:r>
        <w:t xml:space="preserve"> Восьмая сессия Целевой группы состоялась 19–22 мая 2025 года.  Это была заключительная сессия перед вступлением в силу 1 января 2026 года пересмотренных положений, касающихся минимума документации PCT, и подачей Международными органами заявлений о продлении своих назначений в качестве Международных поисковых органов и Органов международной предварительной экспертизы.  В рамках этих заявлений, которые должны были быть поданы до 1 декабря 2025 года, Международным органам требовалось продемонстрировать соответствие новым требованиям в отношении минимума документации PCT.  На упомянутой сессии Целевая группа сосредоточила свое внимание на финальной подготовке, необходимой для своевременного введения в действие новых положений в отношении минимума документации PCT.</w:t>
      </w:r>
    </w:p>
    <w:p w14:paraId="58C0BC59" w14:textId="55171160" w:rsidR="00C757AD" w:rsidRDefault="00C757AD" w:rsidP="00C757AD">
      <w:pPr>
        <w:pStyle w:val="ONUME"/>
      </w:pPr>
      <w:r>
        <w:t xml:space="preserve"> На этой сессии Целевая группа одобрила процедуру сертификации для подтверждения того, что ведомство выполнило требование и предоставило доступ к своему патентному фонду другим Международным поисковым органам, как указано в пункте 13 документа PCT/WG/18/15, с той целью, чтобы соответствие новым требованиям в отношении минимума документации PCT оценивалось единым и объективным образом применительно ко всем органам и ведомствам.  Упомянутая процедура сертификации включает следующие этапы:</w:t>
      </w:r>
    </w:p>
    <w:p w14:paraId="3C6137D8" w14:textId="77777777" w:rsidR="00631F40" w:rsidRDefault="00C757AD" w:rsidP="00C757AD">
      <w:pPr>
        <w:pStyle w:val="ONUME"/>
        <w:numPr>
          <w:ilvl w:val="1"/>
          <w:numId w:val="5"/>
        </w:numPr>
      </w:pPr>
      <w:r>
        <w:t>Этап 1: подготовка документации.  На этом этапе происходит заполнение контрольных перечней для сообщения о ходе подготовки к обеспечению соответствия требованиям.</w:t>
      </w:r>
    </w:p>
    <w:p w14:paraId="18854B3D" w14:textId="4A233F51" w:rsidR="00C757AD" w:rsidRDefault="00C757AD" w:rsidP="00C757AD">
      <w:pPr>
        <w:pStyle w:val="ONUME"/>
        <w:numPr>
          <w:ilvl w:val="1"/>
          <w:numId w:val="5"/>
        </w:numPr>
      </w:pPr>
      <w:r>
        <w:t xml:space="preserve"> Этап 2: проверка.  На этом этапе проводится проверка, в ходе которой должны быть оценены следующие аспекты:</w:t>
      </w:r>
    </w:p>
    <w:p w14:paraId="4CA433B5" w14:textId="4D0C78C6" w:rsidR="00C757AD" w:rsidRDefault="00C757AD" w:rsidP="00C757AD">
      <w:pPr>
        <w:pStyle w:val="ONUME"/>
        <w:numPr>
          <w:ilvl w:val="2"/>
          <w:numId w:val="5"/>
        </w:numPr>
      </w:pPr>
      <w:r>
        <w:t>Международным бюро проверяется соответствие ведомственного досье как приложению H Административной инструкции к PCT (индикаторы, указывающие на возможность поиска по тексту), так и версии 2.2 стандарта ВОИС ST.37;</w:t>
      </w:r>
    </w:p>
    <w:p w14:paraId="52608AB5" w14:textId="22730013" w:rsidR="00C757AD" w:rsidRDefault="00C757AD" w:rsidP="00C757AD">
      <w:pPr>
        <w:pStyle w:val="ONUME"/>
        <w:numPr>
          <w:ilvl w:val="2"/>
          <w:numId w:val="5"/>
        </w:numPr>
      </w:pPr>
      <w:r>
        <w:t>по меньшей мере одним Международным органом проверяется доступность в хранилище полнотекстовых документов в допустимом формате;</w:t>
      </w:r>
    </w:p>
    <w:p w14:paraId="5CB6276E" w14:textId="761E273B" w:rsidR="00C757AD" w:rsidRDefault="00C757AD" w:rsidP="00C757AD">
      <w:pPr>
        <w:pStyle w:val="ONUME"/>
        <w:numPr>
          <w:ilvl w:val="2"/>
          <w:numId w:val="5"/>
        </w:numPr>
      </w:pPr>
      <w:r>
        <w:t>тем же Международным органом проверяется возможность массовой загрузки полнотекстовых документов из хранилища.</w:t>
      </w:r>
    </w:p>
    <w:p w14:paraId="53139375" w14:textId="3BAF4FD3" w:rsidR="00C757AD" w:rsidRPr="00902C9C" w:rsidRDefault="00C757AD" w:rsidP="00C757AD">
      <w:pPr>
        <w:pStyle w:val="ONUME"/>
        <w:numPr>
          <w:ilvl w:val="1"/>
          <w:numId w:val="5"/>
        </w:numPr>
      </w:pPr>
      <w:r>
        <w:t>Этап 3: сертификация.  Ведомство признается Целевой группой соответствующим требованиям, если результаты проверки были положительными и никакой другой Международный орган не высказал возражений в течение одного месяца после завершения первой проверки (в случае проверки несколькими органами) и публикации результатов проверки.  Сертификация подтверждается результатами тестирования, которые публикуются в специальных таблицах на wiki-форуме.</w:t>
      </w:r>
    </w:p>
    <w:p w14:paraId="75792040" w14:textId="42D72F83" w:rsidR="00902C9C" w:rsidRPr="00743C54" w:rsidRDefault="00902C9C">
      <w:r w:rsidRPr="00743C54">
        <w:br w:type="page"/>
      </w:r>
    </w:p>
    <w:p w14:paraId="598990ED" w14:textId="77777777" w:rsidR="00631F40" w:rsidRDefault="00C757AD" w:rsidP="00C757AD">
      <w:pPr>
        <w:pStyle w:val="ONUME"/>
      </w:pPr>
      <w:r>
        <w:t>На своей восьмой сессии Целевая группа также утвердила сроки своевременного проведения сертификации — один срок для Международных органов и другой для ведомств, не назначенных в качестве Международных органов, отметив, что все ведомства должны стремиться завершить этап проверки (тестирования) к 1 сентября 2025 года. Другой важной общей вехой стало 1 октября 2025 года — это была крайняя дата выполнения требований в рамках сертификации и крайний срок уведомления Международного бюро в соответствии с новым правилом 34.1(d)(i).</w:t>
      </w:r>
    </w:p>
    <w:p w14:paraId="52AC059B" w14:textId="16078855" w:rsidR="00C757AD" w:rsidRDefault="00C757AD" w:rsidP="00C757AD">
      <w:pPr>
        <w:pStyle w:val="ONUME"/>
      </w:pPr>
      <w:r>
        <w:t xml:space="preserve"> Что касается непатентной литературы, Целевая группа утвердила предложенный ВПТЗ США детальный график работы будущей постоянной Целевой группы, а также проект бланка для представления непатентной литературы, подготовленный с целью охватить всю информацию, которая может понадобиться Международному поисковому органу для оценки материала из списка непатентной литературы.  Дополнительная информация об этой сессии содержится в документе PCT/MD/8/6, который приводится в качестве добавления к документу PCT/MIA/32/5.</w:t>
      </w:r>
    </w:p>
    <w:p w14:paraId="2C5FEA18" w14:textId="3ECDF637" w:rsidR="00C757AD" w:rsidRDefault="00C757AD" w:rsidP="00C757AD">
      <w:pPr>
        <w:pStyle w:val="ONUME"/>
      </w:pPr>
      <w:r>
        <w:t>Первого сентября 2025 года 25 ведомств успешно завершили вышеупомянутый этап проверки, а девять ведомств уже были признаны Целевой группой соответствующими требованиям.  Для оказания поддержки ведомствам в их финальной подготовке 9 сентября 2025 года Международное бюро выпустило циркулярное письмо C. PCT 1690, содержащее шаблон для уведомления Международного бюро в соответствии с новым правилом 34.1(d)(i) о том, что ведомство предоставляет доступ к своим патентным документам и, если применимо, к документам на полезные модели в соответствии с техническими требованиями и требованиями в отношении доступности, указанными в приложении H к Административной инструкции.</w:t>
      </w:r>
    </w:p>
    <w:p w14:paraId="04B67901" w14:textId="77777777" w:rsidR="00631F40" w:rsidRDefault="00C757AD" w:rsidP="00C757AD">
      <w:pPr>
        <w:pStyle w:val="ONUME"/>
      </w:pPr>
      <w:r>
        <w:t>На тридцать второй сессии ЗМО (29–31 октября 2025 года) ЕПВ и ВПТЗ США предоставили обновленную информацию об этапе проведения проверки, который к тому времени был успешно завершен 33 ведомствами.  ЕПВ и ВПТЗ США также представили проект мандата для новой постоянной Целевой группы, учреждаемой в соответствии с положениями нового приложения H к Административной инструкции к РСТ (документ PCT/MIA/32/5).  Эта новая постоянная Целевая группа при ЗМО, состоящая из представителей Международных поисковых органов, приступит к работе в 2026 году.</w:t>
      </w:r>
    </w:p>
    <w:p w14:paraId="1CCDD27F" w14:textId="2D13DB37" w:rsidR="00C757AD" w:rsidRDefault="00C757AD" w:rsidP="00B103A9">
      <w:pPr>
        <w:pStyle w:val="ONUME"/>
        <w:keepLines/>
      </w:pPr>
      <w:r>
        <w:t xml:space="preserve">      На этой сессии ЗМО утвердило предложенный мандат постоянной Целевой группы по минимуму документации РСТ, который приводится ниже (пункт 19 документа PCT/MIA/32/5 и пункт 41 документа PCT/MIA/32/10, воспроизведенные в приложении к документу PCT/WG/19/2):</w:t>
      </w:r>
    </w:p>
    <w:p w14:paraId="1F1112CD" w14:textId="288942F2" w:rsidR="00C757AD" w:rsidRDefault="00C757AD" w:rsidP="00C757AD">
      <w:pPr>
        <w:pStyle w:val="ONUME"/>
        <w:numPr>
          <w:ilvl w:val="1"/>
          <w:numId w:val="5"/>
        </w:numPr>
      </w:pPr>
      <w:r>
        <w:t>В вопросах, касающихся непатентной литературы, в частности:</w:t>
      </w:r>
    </w:p>
    <w:p w14:paraId="499C5A36" w14:textId="77777777" w:rsidR="00631F40" w:rsidRDefault="00C757AD" w:rsidP="00631F40">
      <w:pPr>
        <w:pStyle w:val="ONUME"/>
        <w:numPr>
          <w:ilvl w:val="2"/>
          <w:numId w:val="5"/>
        </w:numPr>
      </w:pPr>
      <w:r>
        <w:t>проведение каждые пять лет комплексного обзора для проверки того, что материалы в списке непатентной литературы по-прежнему отвечают критериям включения, и для рассмотрения вопроса о включении новых ресурсов, в соответствии с принятым циклом комплексного обзора;</w:t>
      </w:r>
    </w:p>
    <w:p w14:paraId="5CE2AAE6" w14:textId="7BC14797" w:rsidR="00C757AD" w:rsidRDefault="00C757AD" w:rsidP="00C757AD">
      <w:pPr>
        <w:pStyle w:val="ONUME"/>
        <w:numPr>
          <w:ilvl w:val="2"/>
          <w:numId w:val="5"/>
        </w:numPr>
      </w:pPr>
      <w:r>
        <w:t xml:space="preserve"> составление графика, в соответствии с которым инициативные Международные поисковые органы будут проводить в порядке ротации ежегодную проверку актуальности списка непатентной литературы для выявления устаревших и уже не публикуемых источников, а также обновления метаданных;</w:t>
      </w:r>
    </w:p>
    <w:p w14:paraId="7EC3236D" w14:textId="7F1CD1F0" w:rsidR="00C757AD" w:rsidRDefault="00C757AD" w:rsidP="00C757AD">
      <w:pPr>
        <w:pStyle w:val="ONUME"/>
        <w:numPr>
          <w:ilvl w:val="2"/>
          <w:numId w:val="5"/>
        </w:numPr>
      </w:pPr>
      <w:r>
        <w:t>выполнение любых иных задач, которые могут потребоваться в соответствии с положениями части II нового приложения H к Административной инструкции к РСТ.</w:t>
      </w:r>
    </w:p>
    <w:p w14:paraId="1F32FFB1" w14:textId="73616F12" w:rsidR="00C757AD" w:rsidRDefault="00C757AD" w:rsidP="00C757AD">
      <w:pPr>
        <w:pStyle w:val="ONUME"/>
        <w:numPr>
          <w:ilvl w:val="1"/>
          <w:numId w:val="5"/>
        </w:numPr>
      </w:pPr>
      <w:r>
        <w:t>В вопросах, касающихся патентной документации, в частности:</w:t>
      </w:r>
    </w:p>
    <w:p w14:paraId="1E028B23" w14:textId="77777777" w:rsidR="00631F40" w:rsidRDefault="00C757AD" w:rsidP="00C757AD">
      <w:pPr>
        <w:pStyle w:val="ONUME"/>
        <w:numPr>
          <w:ilvl w:val="2"/>
          <w:numId w:val="5"/>
        </w:numPr>
      </w:pPr>
      <w:r>
        <w:t>наблюдение и проведение мероприятий в поддержку работы с патентной документацией, публикуемой начиная с 1 января 2026 года, в соответствии с новыми требованиями;</w:t>
      </w:r>
    </w:p>
    <w:p w14:paraId="312D8FF7" w14:textId="00DE8891" w:rsidR="00C757AD" w:rsidRDefault="00C757AD" w:rsidP="00C757AD">
      <w:pPr>
        <w:pStyle w:val="ONUME"/>
        <w:numPr>
          <w:ilvl w:val="2"/>
          <w:numId w:val="5"/>
        </w:numPr>
      </w:pPr>
      <w:r>
        <w:t xml:space="preserve"> наблюдение и проведение мероприятий в период до конца 2035 года для оказания поддержки в рамках переходного периода для работы со старыми документами, публиковавшимися начиная с 1 января 1991 года;</w:t>
      </w:r>
    </w:p>
    <w:p w14:paraId="3BF8D01F" w14:textId="2F35225A" w:rsidR="00C757AD" w:rsidRDefault="00C757AD" w:rsidP="00C757AD">
      <w:pPr>
        <w:pStyle w:val="ONUME"/>
        <w:numPr>
          <w:ilvl w:val="2"/>
          <w:numId w:val="5"/>
        </w:numPr>
      </w:pPr>
      <w:r>
        <w:t>выполнение любых иных задач, которые могут потребоваться в соответствии с положениями части I нового приложения H к Административной инструкции к РСТ.</w:t>
      </w:r>
    </w:p>
    <w:p w14:paraId="2818AA2D" w14:textId="3A93C525" w:rsidR="00631F40" w:rsidRDefault="00C757AD" w:rsidP="00C757AD">
      <w:pPr>
        <w:pStyle w:val="ONUME"/>
      </w:pPr>
      <w:r>
        <w:t xml:space="preserve">На указанной сессии ЗМО Международные органы поблагодарили ЕПВ, ВПТЗ США, Международное бюро и всех тех, кто участвовал в создании новой базы для минимума документации РСТ и в валидации внедрения новых требований к патентной документации для патентных ведомств.  Было отмечено, что все Международные органы опубликовали в разделе </w:t>
      </w:r>
      <w:r>
        <w:rPr>
          <w:i/>
        </w:rPr>
        <w:t>Официальных уведомлений (Бюллетень РСТ)</w:t>
      </w:r>
      <w:r>
        <w:t xml:space="preserve"> уведомления, предусмотренные новым правилом 34.1(d)(i) Инструкции к РСТ, о наличии фондов национальных и региональных патентных документов (пункт 38 документа PCT/MIA/32/10).  Дополнительная информация о дискуссиях в рамках данной сессии представлена в пунктах 37–41 документа PCT/MIA/32/10, который воспроизводится в приложении к документу PCT/WG/19/2.</w:t>
      </w:r>
    </w:p>
    <w:p w14:paraId="2A69E9D0" w14:textId="57A55291" w:rsidR="00631F40" w:rsidRDefault="00C757AD" w:rsidP="00C757AD">
      <w:pPr>
        <w:pStyle w:val="ONUME"/>
      </w:pPr>
      <w:r>
        <w:t>Постоянная Целевая группа по минимуму документации PCT будет на регулярной основе отчитываться о своей работе на ЗМО и, по мере целесообразности, перед Рабочей группой по PCT.   Первая сессия данной постоянной Целевой группы предварительно запланирована на май 2026 года и пройдет под руководством ВПТЗ США, которое в добровольном порядке вызвалось координировать первый комплексный обзор непатентной литературы.</w:t>
      </w:r>
    </w:p>
    <w:p w14:paraId="5D5EA171" w14:textId="0ADD3BAF" w:rsidR="00631F40" w:rsidRPr="00631F40" w:rsidRDefault="00C757AD" w:rsidP="00C757AD">
      <w:pPr>
        <w:pStyle w:val="ONUME"/>
        <w:ind w:left="5533"/>
        <w:rPr>
          <w:i/>
        </w:rPr>
      </w:pPr>
      <w:r>
        <w:rPr>
          <w:i/>
        </w:rPr>
        <w:t xml:space="preserve">Рабочей группе предлагается принять к сведению содержание настоящего документа. </w:t>
      </w:r>
    </w:p>
    <w:p w14:paraId="0C4EF086" w14:textId="5FA523E3" w:rsidR="002928D3" w:rsidRDefault="00C757AD" w:rsidP="00631F40">
      <w:pPr>
        <w:pStyle w:val="Endofdocument-Annex"/>
      </w:pPr>
      <w:r>
        <w:t>[Конец документа]</w:t>
      </w:r>
    </w:p>
    <w:sectPr w:rsidR="002928D3" w:rsidSect="00C757A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BE91" w14:textId="77777777" w:rsidR="00C757AD" w:rsidRDefault="00C757AD">
      <w:r>
        <w:separator/>
      </w:r>
    </w:p>
  </w:endnote>
  <w:endnote w:type="continuationSeparator" w:id="0">
    <w:p w14:paraId="03B8B935" w14:textId="77777777" w:rsidR="00C757AD" w:rsidRDefault="00C757AD" w:rsidP="003B38C1">
      <w:r>
        <w:separator/>
      </w:r>
    </w:p>
    <w:p w14:paraId="60A5E3FE" w14:textId="77777777" w:rsidR="00C757AD" w:rsidRPr="00902C9C" w:rsidRDefault="00C757AD" w:rsidP="003B38C1">
      <w:pPr>
        <w:spacing w:after="60"/>
        <w:rPr>
          <w:sz w:val="17"/>
          <w:lang w:val="en-US"/>
        </w:rPr>
      </w:pPr>
      <w:r w:rsidRPr="00902C9C">
        <w:rPr>
          <w:sz w:val="17"/>
          <w:lang w:val="en-US"/>
        </w:rPr>
        <w:t>[Endnote continued from previous page]</w:t>
      </w:r>
    </w:p>
  </w:endnote>
  <w:endnote w:type="continuationNotice" w:id="1">
    <w:p w14:paraId="46FF3AB8" w14:textId="77777777" w:rsidR="00C757AD" w:rsidRPr="00902C9C" w:rsidRDefault="00C757AD" w:rsidP="003B38C1">
      <w:pPr>
        <w:spacing w:before="60"/>
        <w:jc w:val="right"/>
        <w:rPr>
          <w:sz w:val="17"/>
          <w:szCs w:val="17"/>
          <w:lang w:val="en-US"/>
        </w:rPr>
      </w:pPr>
      <w:r w:rsidRPr="00902C9C">
        <w:rPr>
          <w:sz w:val="17"/>
          <w:szCs w:val="17"/>
          <w:lang w:val="en-US"/>
        </w:rPr>
        <w:t xml:space="preserve">[Endnote </w:t>
      </w:r>
      <w:proofErr w:type="gramStart"/>
      <w:r w:rsidRPr="00902C9C">
        <w:rPr>
          <w:sz w:val="17"/>
          <w:szCs w:val="17"/>
          <w:lang w:val="en-US"/>
        </w:rPr>
        <w:t>continued on</w:t>
      </w:r>
      <w:proofErr w:type="gramEnd"/>
      <w:r w:rsidRPr="00902C9C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80BC" w14:textId="77777777" w:rsidR="00C757AD" w:rsidRDefault="00C757AD">
      <w:r>
        <w:separator/>
      </w:r>
    </w:p>
  </w:footnote>
  <w:footnote w:type="continuationSeparator" w:id="0">
    <w:p w14:paraId="2F6843F7" w14:textId="77777777" w:rsidR="00C757AD" w:rsidRDefault="00C757AD" w:rsidP="008B60B2">
      <w:r>
        <w:separator/>
      </w:r>
    </w:p>
    <w:p w14:paraId="4E042C2D" w14:textId="77777777" w:rsidR="00C757AD" w:rsidRPr="00902C9C" w:rsidRDefault="00C757AD" w:rsidP="008B60B2">
      <w:pPr>
        <w:spacing w:after="60"/>
        <w:rPr>
          <w:sz w:val="17"/>
          <w:szCs w:val="17"/>
          <w:lang w:val="en-US"/>
        </w:rPr>
      </w:pPr>
      <w:r w:rsidRPr="00902C9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61149C2" w14:textId="77777777" w:rsidR="00C757AD" w:rsidRPr="00902C9C" w:rsidRDefault="00C757AD" w:rsidP="008B60B2">
      <w:pPr>
        <w:spacing w:before="60"/>
        <w:jc w:val="right"/>
        <w:rPr>
          <w:sz w:val="17"/>
          <w:szCs w:val="17"/>
          <w:lang w:val="en-US"/>
        </w:rPr>
      </w:pPr>
      <w:r w:rsidRPr="00902C9C">
        <w:rPr>
          <w:sz w:val="17"/>
          <w:szCs w:val="17"/>
          <w:lang w:val="en-US"/>
        </w:rPr>
        <w:t xml:space="preserve">[Footnote </w:t>
      </w:r>
      <w:proofErr w:type="gramStart"/>
      <w:r w:rsidRPr="00902C9C">
        <w:rPr>
          <w:sz w:val="17"/>
          <w:szCs w:val="17"/>
          <w:lang w:val="en-US"/>
        </w:rPr>
        <w:t>continued on</w:t>
      </w:r>
      <w:proofErr w:type="gramEnd"/>
      <w:r w:rsidRPr="00902C9C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10BE" w14:textId="1166F5E2" w:rsidR="00EC4E49" w:rsidRDefault="00C757AD" w:rsidP="00477D6B">
    <w:pPr>
      <w:jc w:val="right"/>
    </w:pPr>
    <w:bookmarkStart w:id="6" w:name="Code2"/>
    <w:bookmarkEnd w:id="6"/>
    <w:r>
      <w:t>PCT/WG/19/3</w:t>
    </w:r>
  </w:p>
  <w:p w14:paraId="71A22914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750EDF38" w14:textId="77777777" w:rsidR="00EC4E49" w:rsidRDefault="00EC4E49" w:rsidP="00477D6B">
    <w:pPr>
      <w:jc w:val="right"/>
    </w:pPr>
  </w:p>
  <w:p w14:paraId="56966A64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AD"/>
    <w:rsid w:val="00000897"/>
    <w:rsid w:val="0001647B"/>
    <w:rsid w:val="00043CAA"/>
    <w:rsid w:val="00075432"/>
    <w:rsid w:val="000968ED"/>
    <w:rsid w:val="000F5E56"/>
    <w:rsid w:val="001024FE"/>
    <w:rsid w:val="001362EE"/>
    <w:rsid w:val="00142868"/>
    <w:rsid w:val="001832A6"/>
    <w:rsid w:val="001B0AF6"/>
    <w:rsid w:val="001C6808"/>
    <w:rsid w:val="002121FA"/>
    <w:rsid w:val="002634C4"/>
    <w:rsid w:val="0029121E"/>
    <w:rsid w:val="002928D3"/>
    <w:rsid w:val="0029703C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B5D70"/>
    <w:rsid w:val="003D352A"/>
    <w:rsid w:val="003F4C9E"/>
    <w:rsid w:val="00423E3E"/>
    <w:rsid w:val="00427AF4"/>
    <w:rsid w:val="004400E2"/>
    <w:rsid w:val="00461632"/>
    <w:rsid w:val="004647DA"/>
    <w:rsid w:val="00474062"/>
    <w:rsid w:val="00477D6B"/>
    <w:rsid w:val="00497C1B"/>
    <w:rsid w:val="004D39C4"/>
    <w:rsid w:val="0053057A"/>
    <w:rsid w:val="00543927"/>
    <w:rsid w:val="00560A29"/>
    <w:rsid w:val="00585970"/>
    <w:rsid w:val="00594D27"/>
    <w:rsid w:val="005C2C86"/>
    <w:rsid w:val="00601760"/>
    <w:rsid w:val="00605827"/>
    <w:rsid w:val="00631F40"/>
    <w:rsid w:val="00646050"/>
    <w:rsid w:val="006713CA"/>
    <w:rsid w:val="00676C5C"/>
    <w:rsid w:val="00695558"/>
    <w:rsid w:val="006D5E0F"/>
    <w:rsid w:val="006E03EC"/>
    <w:rsid w:val="007058FB"/>
    <w:rsid w:val="007124EB"/>
    <w:rsid w:val="00743C54"/>
    <w:rsid w:val="00744C06"/>
    <w:rsid w:val="007B6A58"/>
    <w:rsid w:val="007D1613"/>
    <w:rsid w:val="00847A60"/>
    <w:rsid w:val="00873EE5"/>
    <w:rsid w:val="008B2CC1"/>
    <w:rsid w:val="008B4B5E"/>
    <w:rsid w:val="008B60B2"/>
    <w:rsid w:val="00902C9C"/>
    <w:rsid w:val="0090731E"/>
    <w:rsid w:val="00916EE2"/>
    <w:rsid w:val="00946221"/>
    <w:rsid w:val="0095026E"/>
    <w:rsid w:val="00956E72"/>
    <w:rsid w:val="00966A22"/>
    <w:rsid w:val="00966E08"/>
    <w:rsid w:val="0096722F"/>
    <w:rsid w:val="00980843"/>
    <w:rsid w:val="009E2791"/>
    <w:rsid w:val="009E3F6F"/>
    <w:rsid w:val="009F09F8"/>
    <w:rsid w:val="009F3BF9"/>
    <w:rsid w:val="009F499F"/>
    <w:rsid w:val="00A04488"/>
    <w:rsid w:val="00A26A28"/>
    <w:rsid w:val="00A33172"/>
    <w:rsid w:val="00A42DAF"/>
    <w:rsid w:val="00A45BD8"/>
    <w:rsid w:val="00A778BF"/>
    <w:rsid w:val="00A85B8E"/>
    <w:rsid w:val="00AC205C"/>
    <w:rsid w:val="00AF5C73"/>
    <w:rsid w:val="00B05A69"/>
    <w:rsid w:val="00B103A9"/>
    <w:rsid w:val="00B36CA2"/>
    <w:rsid w:val="00B40598"/>
    <w:rsid w:val="00B50B99"/>
    <w:rsid w:val="00B62CD9"/>
    <w:rsid w:val="00B64BE2"/>
    <w:rsid w:val="00B9734B"/>
    <w:rsid w:val="00BF2415"/>
    <w:rsid w:val="00BF48DE"/>
    <w:rsid w:val="00C11BFE"/>
    <w:rsid w:val="00C757AD"/>
    <w:rsid w:val="00C91AB4"/>
    <w:rsid w:val="00C94629"/>
    <w:rsid w:val="00CA15DC"/>
    <w:rsid w:val="00CB217F"/>
    <w:rsid w:val="00CE65D4"/>
    <w:rsid w:val="00D42089"/>
    <w:rsid w:val="00D45252"/>
    <w:rsid w:val="00D71B4D"/>
    <w:rsid w:val="00D93D55"/>
    <w:rsid w:val="00E070BF"/>
    <w:rsid w:val="00E161A2"/>
    <w:rsid w:val="00E335FE"/>
    <w:rsid w:val="00E5021F"/>
    <w:rsid w:val="00E671A6"/>
    <w:rsid w:val="00E90B8B"/>
    <w:rsid w:val="00EC4E49"/>
    <w:rsid w:val="00ED77FB"/>
    <w:rsid w:val="00F021A6"/>
    <w:rsid w:val="00F11D94"/>
    <w:rsid w:val="00F66152"/>
    <w:rsid w:val="00F866B9"/>
    <w:rsid w:val="00F9200A"/>
    <w:rsid w:val="00F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504E1"/>
  <w15:docId w15:val="{FF1B0129-2379-4183-9003-E1515FF7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PCT_WG_19 (E)</Template>
  <TotalTime>2</TotalTime>
  <Pages>5</Pages>
  <Words>1651</Words>
  <Characters>10754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PCT/WG/19/3</vt:lpstr>
    </vt:vector>
  </TitlesOfParts>
  <Company>WIPO</Company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PCT/WG/19/3</dc:title>
  <dc:subject>PCT Minimum Documentation Task Force:  Status Report</dc:subject>
  <dc:creator/>
  <cp:keywords/>
  <cp:lastModifiedBy>MARLOW Thomas</cp:lastModifiedBy>
  <cp:revision>3</cp:revision>
  <cp:lastPrinted>2025-12-11T10:21:00Z</cp:lastPrinted>
  <dcterms:created xsi:type="dcterms:W3CDTF">2025-12-22T19:04:00Z</dcterms:created>
  <dcterms:modified xsi:type="dcterms:W3CDTF">2025-12-22T19:05:00Z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