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731FF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</w:rPr>
        <w:drawing>
          <wp:inline distT="0" distB="0" distL="0" distR="0" wp14:anchorId="6DCACE92" wp14:editId="1863A509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41BF169F" wp14:editId="5AD3AF1F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AD30F74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865D8D4" w14:textId="46B6814B" w:rsidR="008B2CC1" w:rsidRPr="001024FE" w:rsidRDefault="00E90B8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PCT/WG/18/</w:t>
      </w:r>
      <w:bookmarkStart w:id="0" w:name="Code"/>
      <w:bookmarkEnd w:id="0"/>
      <w:r>
        <w:rPr>
          <w:rFonts w:ascii="Arial Black" w:hAnsi="Arial Black"/>
          <w:caps/>
          <w:sz w:val="15"/>
        </w:rPr>
        <w:t>19</w:t>
      </w:r>
    </w:p>
    <w:p w14:paraId="763C2B02" w14:textId="628AFFFF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7D4ADE70" w14:textId="217097E4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ДАТА</w:t>
      </w:r>
      <w:bookmarkStart w:id="2" w:name="Date"/>
      <w:r>
        <w:rPr>
          <w:rFonts w:ascii="Arial Black" w:hAnsi="Arial Black"/>
          <w:caps/>
          <w:sz w:val="15"/>
        </w:rPr>
        <w:t>: 4 февраля 2025 года</w:t>
      </w:r>
    </w:p>
    <w:bookmarkEnd w:id="2"/>
    <w:p w14:paraId="3C44727D" w14:textId="77777777" w:rsidR="008B2CC1" w:rsidRPr="003845C1" w:rsidRDefault="00E90B8B" w:rsidP="00FB3E5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Рабочая группа по Договору о патентной кооперации (PCT)</w:t>
      </w:r>
    </w:p>
    <w:p w14:paraId="28E8EC5E" w14:textId="77777777" w:rsidR="008B2CC1" w:rsidRPr="003845C1" w:rsidRDefault="00946221" w:rsidP="008B2CC1">
      <w:pPr>
        <w:rPr>
          <w:b/>
          <w:sz w:val="24"/>
          <w:szCs w:val="24"/>
        </w:rPr>
      </w:pPr>
      <w:r>
        <w:rPr>
          <w:b/>
          <w:sz w:val="24"/>
        </w:rPr>
        <w:t>Восемнадцатая сессия</w:t>
      </w:r>
    </w:p>
    <w:p w14:paraId="0AC0AC84" w14:textId="77777777" w:rsidR="008B2CC1" w:rsidRPr="009F3BF9" w:rsidRDefault="00E90B8B" w:rsidP="00CE65D4">
      <w:pPr>
        <w:spacing w:after="720"/>
      </w:pPr>
      <w:r>
        <w:rPr>
          <w:b/>
          <w:sz w:val="24"/>
        </w:rPr>
        <w:t>Женева, 18–20 февраля 2025 года</w:t>
      </w:r>
    </w:p>
    <w:p w14:paraId="1CA6F9AE" w14:textId="4758DF89" w:rsidR="008B2CC1" w:rsidRPr="009F3BF9" w:rsidRDefault="00256D31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Способ подачи международных заявок:</w:t>
      </w:r>
      <w:r w:rsidR="00714908" w:rsidRPr="00714908">
        <w:rPr>
          <w:caps/>
          <w:sz w:val="24"/>
        </w:rPr>
        <w:t xml:space="preserve"> </w:t>
      </w:r>
      <w:r>
        <w:rPr>
          <w:caps/>
          <w:sz w:val="24"/>
        </w:rPr>
        <w:t>поправка, обусловленная предшествующими изменениями</w:t>
      </w:r>
    </w:p>
    <w:p w14:paraId="4CC544C1" w14:textId="141D0046" w:rsidR="008B2CC1" w:rsidRPr="004D39C4" w:rsidRDefault="00256D31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Документ подготовлен Международным бюро</w:t>
      </w:r>
    </w:p>
    <w:bookmarkEnd w:id="4"/>
    <w:p w14:paraId="53F81632" w14:textId="3A46BE3F" w:rsidR="007A0CD3" w:rsidRDefault="007A0CD3" w:rsidP="007A0CD3">
      <w:pPr>
        <w:pStyle w:val="Heading1"/>
      </w:pPr>
      <w:r>
        <w:t>Справочная информация</w:t>
      </w:r>
    </w:p>
    <w:p w14:paraId="22278042" w14:textId="51C0E783" w:rsidR="00FD70CF" w:rsidRDefault="007A0CD3" w:rsidP="007A0CD3">
      <w:pPr>
        <w:pStyle w:val="ONUME"/>
      </w:pPr>
      <w:r>
        <w:t>По итогам обсуждения на семнадцатой сессии Рабочей группы (см. документ PCT/WG/17/15 и пункты 15 и 16 документа PCT/WG/17/21) Ассамблея Союза РСТ приняла поправки к правилу 89</w:t>
      </w:r>
      <w:r>
        <w:rPr>
          <w:i/>
        </w:rPr>
        <w:t>bis</w:t>
      </w:r>
      <w:r>
        <w:t xml:space="preserve"> PCT, позволяющие Получающему ведомству указывать, что оно получает международные заявки и последующие документы только в электронной форме.  Данные поправки вступят в силу </w:t>
      </w:r>
      <w:r w:rsidRPr="00B408B1">
        <w:t>1 июля 2025 года</w:t>
      </w:r>
      <w:r>
        <w:t>.</w:t>
      </w:r>
    </w:p>
    <w:p w14:paraId="53D5CF1C" w14:textId="0C9E0C6E" w:rsidR="007A0CD3" w:rsidRDefault="00FD70CF" w:rsidP="007A0CD3">
      <w:pPr>
        <w:pStyle w:val="ONUME"/>
      </w:pPr>
      <w:r>
        <w:t>Правило 89</w:t>
      </w:r>
      <w:r>
        <w:rPr>
          <w:i/>
        </w:rPr>
        <w:t>bis</w:t>
      </w:r>
      <w:r>
        <w:t>.1(d-</w:t>
      </w:r>
      <w:r>
        <w:rPr>
          <w:i/>
        </w:rPr>
        <w:t>ter</w:t>
      </w:r>
      <w:r>
        <w:t>) позволяет Получающему ведомству указывать, что любая заявка, поданная на бумаге, должна быть повторно представлена электронными средствами в течение двух месяцев с даты направления ведомством предложения.  Если электронная копия не получена в срок, то международная заявка считается изъятой.</w:t>
      </w:r>
    </w:p>
    <w:p w14:paraId="19C2468D" w14:textId="25BAA0F2" w:rsidR="007A0CD3" w:rsidRDefault="0058784C" w:rsidP="007A0CD3">
      <w:pPr>
        <w:pStyle w:val="ONUME"/>
      </w:pPr>
      <w:r>
        <w:t>Отмечается, что применительно к иным случаям, когда заявки считаются изъятыми, дальнейшие действия, которые должно предпринять Получающее ведомство (а также действия, которые Получающее ведомство и Международное бюро должны не совершать), указаны в правиле 29.  В случае, описываемом в правиле 89</w:t>
      </w:r>
      <w:r>
        <w:rPr>
          <w:i/>
        </w:rPr>
        <w:t>bis</w:t>
      </w:r>
      <w:r>
        <w:t>.1(d-</w:t>
      </w:r>
      <w:r>
        <w:rPr>
          <w:i/>
        </w:rPr>
        <w:t>ter</w:t>
      </w:r>
      <w:r>
        <w:t>), должны предписываться те же действия.</w:t>
      </w:r>
    </w:p>
    <w:p w14:paraId="2BA3B162" w14:textId="57B80B7A" w:rsidR="0058784C" w:rsidRDefault="0058784C" w:rsidP="0058784C">
      <w:pPr>
        <w:pStyle w:val="Heading1"/>
      </w:pPr>
      <w:r>
        <w:t>Предложение</w:t>
      </w:r>
    </w:p>
    <w:p w14:paraId="3AD29A92" w14:textId="4AE944C1" w:rsidR="0058784C" w:rsidRDefault="0058784C" w:rsidP="007A0CD3">
      <w:pPr>
        <w:pStyle w:val="ONUME"/>
      </w:pPr>
      <w:r>
        <w:t>В приложении I содержатся предлагаемые поправки к правилу 29 PCT, призванные пояснить, что к заявкам, считающимся изъятыми в соответствии с правилом 89</w:t>
      </w:r>
      <w:r>
        <w:rPr>
          <w:i/>
        </w:rPr>
        <w:t>bis</w:t>
      </w:r>
      <w:r>
        <w:t>.1(d-</w:t>
      </w:r>
      <w:r>
        <w:rPr>
          <w:i/>
        </w:rPr>
        <w:t>ter</w:t>
      </w:r>
      <w:r>
        <w:t xml:space="preserve">), будет применяться тот же порядок, что и к заявкам, считающимся изъятыми по любой другой причине.  Получающее ведомство сможет решить, пересылать ли </w:t>
      </w:r>
      <w:r>
        <w:lastRenderedPageBreak/>
        <w:t>регистрационный экземпляр на бумажном носителе или отсканировать его и переслать в электронной форме.  Для удобства в документе представлены соответствующие части правила 89</w:t>
      </w:r>
      <w:r>
        <w:rPr>
          <w:i/>
        </w:rPr>
        <w:t>bis</w:t>
      </w:r>
      <w:r>
        <w:t xml:space="preserve">.1 в том виде, в каком оно вступит в силу с 1 июля 2025 года. </w:t>
      </w:r>
    </w:p>
    <w:p w14:paraId="0D636858" w14:textId="0100BA3C" w:rsidR="007A0CD3" w:rsidRPr="007A0CD3" w:rsidRDefault="007A0CD3" w:rsidP="007A0CD3">
      <w:pPr>
        <w:pStyle w:val="ONUME"/>
        <w:tabs>
          <w:tab w:val="left" w:pos="5954"/>
        </w:tabs>
        <w:ind w:left="5533"/>
        <w:rPr>
          <w:i/>
        </w:rPr>
      </w:pPr>
      <w:r>
        <w:rPr>
          <w:i/>
        </w:rPr>
        <w:t>Рабочей группе предлагается рассмотреть предлагаемые поправки к Инструкции к PCT, изложенные в приложении к документу PCT/WG/18/19.</w:t>
      </w:r>
    </w:p>
    <w:p w14:paraId="55F6E076" w14:textId="77777777" w:rsidR="007A0CD3" w:rsidRDefault="007A0CD3" w:rsidP="007A0CD3"/>
    <w:p w14:paraId="605A5147" w14:textId="77777777" w:rsidR="007A0CD3" w:rsidRPr="007A0CD3" w:rsidRDefault="007A0CD3" w:rsidP="007A0CD3"/>
    <w:p w14:paraId="5E03B816" w14:textId="2894150B" w:rsidR="00D673CF" w:rsidRDefault="00D673CF" w:rsidP="007A0CD3">
      <w:pPr>
        <w:pStyle w:val="Endofdocument-Annex"/>
        <w:sectPr w:rsidR="00D673CF" w:rsidSect="00256D31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[Приложение следует]</w:t>
      </w:r>
    </w:p>
    <w:p w14:paraId="515966D5" w14:textId="4BFC6022" w:rsidR="002928D3" w:rsidRDefault="00BC788C" w:rsidP="00BC788C">
      <w:pPr>
        <w:jc w:val="center"/>
      </w:pPr>
      <w:r>
        <w:lastRenderedPageBreak/>
        <w:t>ПРЕДЛАГАЕМЫЕ ПОПРАВКИ К ИНСТРУКЦИИ К РСТ</w:t>
      </w:r>
      <w:r w:rsidR="00DD59F3">
        <w:rPr>
          <w:rStyle w:val="FootnoteReference"/>
          <w:caps/>
        </w:rPr>
        <w:footnoteReference w:id="2"/>
      </w:r>
    </w:p>
    <w:p w14:paraId="7CA6E7CF" w14:textId="77777777" w:rsidR="00BC788C" w:rsidRDefault="00BC788C" w:rsidP="00BC788C">
      <w:pPr>
        <w:jc w:val="center"/>
      </w:pPr>
    </w:p>
    <w:p w14:paraId="74D8A0DE" w14:textId="3C031AD6" w:rsidR="00BC788C" w:rsidRDefault="00BC788C" w:rsidP="00BC788C">
      <w:pPr>
        <w:jc w:val="center"/>
      </w:pPr>
      <w:r>
        <w:t>СОДЕРЖАНИЕ</w:t>
      </w:r>
    </w:p>
    <w:p w14:paraId="175AB7A5" w14:textId="77777777" w:rsidR="00BC788C" w:rsidRDefault="00BC788C" w:rsidP="00BC788C"/>
    <w:p w14:paraId="5FA5491F" w14:textId="77777777" w:rsidR="00BC788C" w:rsidRDefault="00BC788C" w:rsidP="00BC788C"/>
    <w:p w14:paraId="38F499CE" w14:textId="5EB6189F" w:rsidR="00EE0CA0" w:rsidRDefault="001F28A8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ru-RU"/>
          <w14:ligatures w14:val="standardContextual"/>
        </w:rPr>
      </w:pPr>
      <w:r>
        <w:fldChar w:fldCharType="begin"/>
      </w:r>
      <w:r>
        <w:instrText xml:space="preserve"> TOC \t "Leg # Title,1,Leg SubRule #,2" </w:instrText>
      </w:r>
      <w:r>
        <w:fldChar w:fldCharType="separate"/>
      </w:r>
      <w:r w:rsidR="00EE0CA0">
        <w:rPr>
          <w:noProof/>
        </w:rPr>
        <w:t>Правило 29  Международные заявки, считающиеся изъятыми</w:t>
      </w:r>
      <w:r w:rsidR="00EE0CA0">
        <w:rPr>
          <w:noProof/>
        </w:rPr>
        <w:tab/>
      </w:r>
      <w:r w:rsidR="00EE0CA0">
        <w:rPr>
          <w:noProof/>
        </w:rPr>
        <w:fldChar w:fldCharType="begin"/>
      </w:r>
      <w:r w:rsidR="00EE0CA0">
        <w:rPr>
          <w:noProof/>
        </w:rPr>
        <w:instrText xml:space="preserve"> PAGEREF _Toc189831070 \h </w:instrText>
      </w:r>
      <w:r w:rsidR="00EE0CA0">
        <w:rPr>
          <w:noProof/>
        </w:rPr>
      </w:r>
      <w:r w:rsidR="00EE0CA0">
        <w:rPr>
          <w:noProof/>
        </w:rPr>
        <w:fldChar w:fldCharType="separate"/>
      </w:r>
      <w:r w:rsidR="00427955">
        <w:rPr>
          <w:noProof/>
        </w:rPr>
        <w:t>2</w:t>
      </w:r>
      <w:r w:rsidR="00EE0CA0">
        <w:rPr>
          <w:noProof/>
        </w:rPr>
        <w:fldChar w:fldCharType="end"/>
      </w:r>
    </w:p>
    <w:p w14:paraId="1ABD55FF" w14:textId="1E768F61" w:rsidR="00EE0CA0" w:rsidRDefault="00EE0CA0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ru-RU"/>
          <w14:ligatures w14:val="standardContextual"/>
        </w:rPr>
      </w:pPr>
      <w:r>
        <w:rPr>
          <w:noProof/>
        </w:rPr>
        <w:t>29.1   </w:t>
      </w:r>
      <w:r w:rsidRPr="00B501CF">
        <w:rPr>
          <w:i/>
          <w:noProof/>
        </w:rPr>
        <w:t>Установление фактов Получающим ведомством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_Toc189831071 \h </w:instrText>
      </w:r>
      <w:r>
        <w:rPr>
          <w:noProof/>
        </w:rPr>
      </w:r>
      <w:r>
        <w:rPr>
          <w:noProof/>
        </w:rPr>
        <w:fldChar w:fldCharType="separate"/>
      </w:r>
      <w:r w:rsidR="00427955">
        <w:rPr>
          <w:noProof/>
        </w:rPr>
        <w:t>2</w:t>
      </w:r>
      <w:r>
        <w:rPr>
          <w:noProof/>
        </w:rPr>
        <w:fldChar w:fldCharType="end"/>
      </w:r>
    </w:p>
    <w:p w14:paraId="6C98C929" w14:textId="227612F7" w:rsidR="00EE0CA0" w:rsidRDefault="00EE0CA0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ru-RU"/>
          <w14:ligatures w14:val="standardContextual"/>
        </w:rPr>
      </w:pPr>
      <w:r>
        <w:rPr>
          <w:noProof/>
        </w:rPr>
        <w:t>29.2   </w:t>
      </w:r>
      <w:r w:rsidRPr="00B501CF">
        <w:rPr>
          <w:i/>
          <w:noProof/>
        </w:rPr>
        <w:t>[По-прежнему изъято]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_Toc189831072 \h </w:instrText>
      </w:r>
      <w:r>
        <w:rPr>
          <w:noProof/>
        </w:rPr>
      </w:r>
      <w:r>
        <w:rPr>
          <w:noProof/>
        </w:rPr>
        <w:fldChar w:fldCharType="separate"/>
      </w:r>
      <w:r w:rsidR="00427955">
        <w:rPr>
          <w:noProof/>
        </w:rPr>
        <w:t>3</w:t>
      </w:r>
      <w:r>
        <w:rPr>
          <w:noProof/>
        </w:rPr>
        <w:fldChar w:fldCharType="end"/>
      </w:r>
    </w:p>
    <w:p w14:paraId="3C6A2C92" w14:textId="0820BF57" w:rsidR="00EE0CA0" w:rsidRDefault="00EE0CA0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ru-RU"/>
          <w14:ligatures w14:val="standardContextual"/>
        </w:rPr>
      </w:pPr>
      <w:r>
        <w:rPr>
          <w:noProof/>
        </w:rPr>
        <w:t xml:space="preserve">29.3 и 29.4   </w:t>
      </w:r>
      <w:r w:rsidRPr="00B501CF">
        <w:rPr>
          <w:i/>
          <w:noProof/>
        </w:rPr>
        <w:t>[Без изменений]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_Toc189831073 \h </w:instrText>
      </w:r>
      <w:r>
        <w:rPr>
          <w:noProof/>
        </w:rPr>
      </w:r>
      <w:r>
        <w:rPr>
          <w:noProof/>
        </w:rPr>
        <w:fldChar w:fldCharType="separate"/>
      </w:r>
      <w:r w:rsidR="00427955">
        <w:rPr>
          <w:noProof/>
        </w:rPr>
        <w:t>3</w:t>
      </w:r>
      <w:r>
        <w:rPr>
          <w:noProof/>
        </w:rPr>
        <w:fldChar w:fldCharType="end"/>
      </w:r>
    </w:p>
    <w:p w14:paraId="503CAE7C" w14:textId="54B7DCBB" w:rsidR="00EE0CA0" w:rsidRDefault="00EE0CA0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ru-RU"/>
          <w14:ligatures w14:val="standardContextual"/>
        </w:rPr>
      </w:pPr>
      <w:r>
        <w:rPr>
          <w:noProof/>
        </w:rPr>
        <w:t>Правило 89</w:t>
      </w:r>
      <w:r w:rsidRPr="00B501CF">
        <w:rPr>
          <w:i/>
          <w:noProof/>
        </w:rPr>
        <w:t>bis</w:t>
      </w:r>
      <w:r>
        <w:rPr>
          <w:noProof/>
        </w:rPr>
        <w:t xml:space="preserve"> Подача, обработка и пересылка международных заявок и других документов в электронной форме или электронными средствами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_Toc189831074 \h </w:instrText>
      </w:r>
      <w:r>
        <w:rPr>
          <w:noProof/>
        </w:rPr>
      </w:r>
      <w:r>
        <w:rPr>
          <w:noProof/>
        </w:rPr>
        <w:fldChar w:fldCharType="separate"/>
      </w:r>
      <w:r w:rsidR="00427955">
        <w:rPr>
          <w:noProof/>
        </w:rPr>
        <w:t>4</w:t>
      </w:r>
      <w:r>
        <w:rPr>
          <w:noProof/>
        </w:rPr>
        <w:fldChar w:fldCharType="end"/>
      </w:r>
    </w:p>
    <w:p w14:paraId="42FEB5E5" w14:textId="72C51B7E" w:rsidR="00EE0CA0" w:rsidRDefault="00EE0CA0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ru-RU"/>
          <w14:ligatures w14:val="standardContextual"/>
        </w:rPr>
      </w:pPr>
      <w:r>
        <w:rPr>
          <w:noProof/>
        </w:rPr>
        <w:t>89</w:t>
      </w:r>
      <w:r w:rsidRPr="00B501CF">
        <w:rPr>
          <w:i/>
          <w:noProof/>
        </w:rPr>
        <w:t>bis</w:t>
      </w:r>
      <w:r>
        <w:rPr>
          <w:noProof/>
        </w:rPr>
        <w:t xml:space="preserve">.1   [Без изменений]  </w:t>
      </w:r>
      <w:r w:rsidRPr="00B501CF">
        <w:rPr>
          <w:i/>
          <w:noProof/>
        </w:rPr>
        <w:t>Международные заявки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_Toc189831075 \h </w:instrText>
      </w:r>
      <w:r>
        <w:rPr>
          <w:noProof/>
        </w:rPr>
      </w:r>
      <w:r>
        <w:rPr>
          <w:noProof/>
        </w:rPr>
        <w:fldChar w:fldCharType="separate"/>
      </w:r>
      <w:r w:rsidR="00427955">
        <w:rPr>
          <w:noProof/>
        </w:rPr>
        <w:t>4</w:t>
      </w:r>
      <w:r>
        <w:rPr>
          <w:noProof/>
        </w:rPr>
        <w:fldChar w:fldCharType="end"/>
      </w:r>
    </w:p>
    <w:p w14:paraId="4094ECC8" w14:textId="74ED1A73" w:rsidR="00EE0CA0" w:rsidRDefault="00EE0CA0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ru-RU"/>
          <w14:ligatures w14:val="standardContextual"/>
        </w:rPr>
      </w:pPr>
      <w:r>
        <w:rPr>
          <w:noProof/>
        </w:rPr>
        <w:t>89</w:t>
      </w:r>
      <w:r w:rsidRPr="00B501CF">
        <w:rPr>
          <w:i/>
          <w:noProof/>
        </w:rPr>
        <w:t>bis</w:t>
      </w:r>
      <w:r>
        <w:rPr>
          <w:noProof/>
        </w:rPr>
        <w:t>.2    [Без изменений] </w:t>
      </w:r>
      <w:r w:rsidRPr="00B501CF">
        <w:rPr>
          <w:i/>
          <w:noProof/>
        </w:rPr>
        <w:t>Другие документы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_Toc189831076 \h </w:instrText>
      </w:r>
      <w:r>
        <w:rPr>
          <w:noProof/>
        </w:rPr>
      </w:r>
      <w:r>
        <w:rPr>
          <w:noProof/>
        </w:rPr>
        <w:fldChar w:fldCharType="separate"/>
      </w:r>
      <w:r w:rsidR="00427955">
        <w:rPr>
          <w:noProof/>
        </w:rPr>
        <w:t>4</w:t>
      </w:r>
      <w:r>
        <w:rPr>
          <w:noProof/>
        </w:rPr>
        <w:fldChar w:fldCharType="end"/>
      </w:r>
    </w:p>
    <w:p w14:paraId="2C4C7F49" w14:textId="2E5A5540" w:rsidR="00EE0CA0" w:rsidRDefault="00EE0CA0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ru-RU"/>
          <w14:ligatures w14:val="standardContextual"/>
        </w:rPr>
      </w:pPr>
      <w:r>
        <w:rPr>
          <w:noProof/>
        </w:rPr>
        <w:t>89</w:t>
      </w:r>
      <w:r w:rsidRPr="00B501CF">
        <w:rPr>
          <w:i/>
          <w:noProof/>
        </w:rPr>
        <w:t>bis</w:t>
      </w:r>
      <w:r>
        <w:rPr>
          <w:noProof/>
        </w:rPr>
        <w:t>.3   </w:t>
      </w:r>
      <w:r w:rsidRPr="00B501CF">
        <w:rPr>
          <w:i/>
          <w:noProof/>
        </w:rPr>
        <w:t>[Без изменений]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_Toc189831077 \h </w:instrText>
      </w:r>
      <w:r>
        <w:rPr>
          <w:noProof/>
        </w:rPr>
      </w:r>
      <w:r>
        <w:rPr>
          <w:noProof/>
        </w:rPr>
        <w:fldChar w:fldCharType="separate"/>
      </w:r>
      <w:r w:rsidR="00427955">
        <w:rPr>
          <w:noProof/>
        </w:rPr>
        <w:t>5</w:t>
      </w:r>
      <w:r>
        <w:rPr>
          <w:noProof/>
        </w:rPr>
        <w:fldChar w:fldCharType="end"/>
      </w:r>
    </w:p>
    <w:p w14:paraId="209223E1" w14:textId="0DBBEA11" w:rsidR="00BC788C" w:rsidRDefault="001F28A8" w:rsidP="00BC788C">
      <w:r>
        <w:fldChar w:fldCharType="end"/>
      </w:r>
    </w:p>
    <w:p w14:paraId="17FF820F" w14:textId="77777777" w:rsidR="00D673CF" w:rsidRDefault="00D673CF" w:rsidP="00D673CF"/>
    <w:p w14:paraId="22FE50CB" w14:textId="77777777" w:rsidR="00D673CF" w:rsidRDefault="00D673CF" w:rsidP="00D673CF"/>
    <w:p w14:paraId="08105331" w14:textId="77777777" w:rsidR="0001146D" w:rsidRDefault="0001146D" w:rsidP="0001146D">
      <w:pPr>
        <w:pStyle w:val="LegTitle"/>
      </w:pPr>
      <w:bookmarkStart w:id="6" w:name="_Toc189831070"/>
      <w:r>
        <w:lastRenderedPageBreak/>
        <w:t xml:space="preserve">Правило 29 </w:t>
      </w:r>
      <w:r>
        <w:br/>
        <w:t>Международные заявки, считающиеся изъятыми</w:t>
      </w:r>
      <w:bookmarkEnd w:id="6"/>
    </w:p>
    <w:p w14:paraId="7554405C" w14:textId="77777777" w:rsidR="0001146D" w:rsidRDefault="0001146D" w:rsidP="0001146D">
      <w:pPr>
        <w:pStyle w:val="LegSubRule"/>
      </w:pPr>
      <w:bookmarkStart w:id="7" w:name="_Toc189831071"/>
      <w:r>
        <w:t>29.1   </w:t>
      </w:r>
      <w:r>
        <w:rPr>
          <w:i/>
        </w:rPr>
        <w:t>Установление фактов Получающим ведомством</w:t>
      </w:r>
      <w:bookmarkEnd w:id="7"/>
    </w:p>
    <w:p w14:paraId="3C360727" w14:textId="00F0BBFF" w:rsidR="0001146D" w:rsidRDefault="0001146D" w:rsidP="0001146D">
      <w:pPr>
        <w:pStyle w:val="Lega"/>
      </w:pPr>
      <w:r>
        <w:tab/>
        <w:t>Если Получающее ведомство заявляет в соответствии со статьей 14(1)(b) и правилом 26.5 (неисправление отдельных недостатков) или в соответствии со статьей 14(3)(а) (неуплата установленных пошлин в соответствии с правилом 27.1(а)), или в соответствии со статьей 14(4) (последующее выявление несоответствия требованиям, перечисленным в пунктах (i)–(iii) статьи 11(1)), или в соответствии с правилом 12.3(d), 12.4(d) или 26.3</w:t>
      </w:r>
      <w:r>
        <w:rPr>
          <w:i/>
        </w:rPr>
        <w:t>ter</w:t>
      </w:r>
      <w:r>
        <w:t xml:space="preserve"> (непредставление требуемого перевода или, когда это применимо, неуплата пошлины за позднее представление),</w:t>
      </w:r>
      <w:r>
        <w:rPr>
          <w:rStyle w:val="LegInsertedText"/>
        </w:rPr>
        <w:t xml:space="preserve"> или в соответствии с правилом 89</w:t>
      </w:r>
      <w:r>
        <w:rPr>
          <w:rStyle w:val="LegInsertedText"/>
          <w:i/>
        </w:rPr>
        <w:t>bis</w:t>
      </w:r>
      <w:r>
        <w:rPr>
          <w:rStyle w:val="LegInsertedText"/>
        </w:rPr>
        <w:t>.1(d-</w:t>
      </w:r>
      <w:r>
        <w:rPr>
          <w:rStyle w:val="LegInsertedText"/>
          <w:i/>
        </w:rPr>
        <w:t>ter</w:t>
      </w:r>
      <w:r>
        <w:rPr>
          <w:rStyle w:val="LegInsertedText"/>
        </w:rPr>
        <w:t>) (невыполнение требования о представлении международной заявки повторно электронными средствами),</w:t>
      </w:r>
      <w:r>
        <w:t xml:space="preserve"> или в соответствии с правилом 92.4(g)(i) (непредставление оригинала документа) о том, что международная заявка считается изъятой, то:</w:t>
      </w:r>
    </w:p>
    <w:p w14:paraId="7FBD3536" w14:textId="77777777" w:rsidR="0001146D" w:rsidRDefault="0001146D" w:rsidP="0001146D">
      <w:pPr>
        <w:pStyle w:val="Legi"/>
      </w:pPr>
      <w:r>
        <w:tab/>
        <w:t>(i)</w:t>
      </w:r>
      <w:r>
        <w:tab/>
        <w:t>Получающее ведомство пересылает в Международное бюро регистрационный экземпляр (если он уже не был переслан) и любые исправления, предложенные заявителем;</w:t>
      </w:r>
    </w:p>
    <w:p w14:paraId="18AF54DA" w14:textId="77777777" w:rsidR="0001146D" w:rsidRDefault="0001146D" w:rsidP="0001146D">
      <w:pPr>
        <w:pStyle w:val="Legi"/>
      </w:pPr>
      <w:r>
        <w:tab/>
        <w:t>(ii)</w:t>
      </w:r>
      <w:r>
        <w:tab/>
        <w:t>Получающее ведомство незамедлительно уведомляет заявителя и Международное бюро об упомянутом заявлении, а Международное бюро, в свою очередь, уведомляет каждое Указанное ведомство, которое уже было извещено о своем указании;</w:t>
      </w:r>
    </w:p>
    <w:p w14:paraId="1956E8F8" w14:textId="77777777" w:rsidR="0001146D" w:rsidRDefault="0001146D" w:rsidP="0001146D">
      <w:pPr>
        <w:pStyle w:val="Legi"/>
      </w:pPr>
      <w:r>
        <w:tab/>
        <w:t>(iii)</w:t>
      </w:r>
      <w:r>
        <w:tab/>
        <w:t>Получающее ведомство не пересылает копию для поиска, как это предусмотрено правилом 23, или, если эта копия уже была переслана, то оно уведомляет об упомянутом заявлении Международный поисковый орган;</w:t>
      </w:r>
    </w:p>
    <w:p w14:paraId="3634274B" w14:textId="77777777" w:rsidR="0001146D" w:rsidRDefault="0001146D" w:rsidP="0001146D">
      <w:pPr>
        <w:pStyle w:val="Legi"/>
      </w:pPr>
      <w:r>
        <w:tab/>
        <w:t xml:space="preserve">(iv) </w:t>
      </w:r>
      <w:r>
        <w:tab/>
        <w:t>Международное бюро не обязано уведомлять заявителя о получении регистрационного экземпляра;</w:t>
      </w:r>
    </w:p>
    <w:p w14:paraId="09D440BD" w14:textId="77777777" w:rsidR="0001146D" w:rsidRDefault="0001146D" w:rsidP="0001146D">
      <w:pPr>
        <w:pStyle w:val="Legi"/>
        <w:rPr>
          <w:i/>
        </w:rPr>
      </w:pPr>
      <w:r>
        <w:tab/>
        <w:t>(v)</w:t>
      </w:r>
      <w:r>
        <w:tab/>
        <w:t>международная публикация международной заявки не производится, если уведомление об упомянутом заявлении, направленное Получающим ведомством, получено Международным бюро до завершения технической подготовки к международной публикации.</w:t>
      </w:r>
    </w:p>
    <w:p w14:paraId="2EC459FE" w14:textId="2FAF77C1" w:rsidR="0001146D" w:rsidRDefault="0001146D" w:rsidP="0001146D">
      <w:pPr>
        <w:pStyle w:val="LegSubRule"/>
      </w:pPr>
      <w:bookmarkStart w:id="8" w:name="_Toc189831072"/>
      <w:r>
        <w:lastRenderedPageBreak/>
        <w:t>29.2   </w:t>
      </w:r>
      <w:r>
        <w:rPr>
          <w:i/>
        </w:rPr>
        <w:t>[По-прежнему изъято]</w:t>
      </w:r>
      <w:bookmarkEnd w:id="8"/>
    </w:p>
    <w:p w14:paraId="3DBD3C1E" w14:textId="0089F0B5" w:rsidR="0001146D" w:rsidRDefault="0001146D" w:rsidP="0001146D">
      <w:pPr>
        <w:pStyle w:val="LegSubRule"/>
      </w:pPr>
      <w:bookmarkStart w:id="9" w:name="_Toc189831073"/>
      <w:r>
        <w:t xml:space="preserve">29.3 и 29.4   </w:t>
      </w:r>
      <w:r>
        <w:rPr>
          <w:i/>
        </w:rPr>
        <w:t>[Без изменений]</w:t>
      </w:r>
      <w:bookmarkEnd w:id="9"/>
    </w:p>
    <w:p w14:paraId="05F162F2" w14:textId="77777777" w:rsidR="00D673CF" w:rsidRDefault="00D673CF" w:rsidP="00D673CF"/>
    <w:p w14:paraId="35CB056B" w14:textId="77777777" w:rsidR="00D673CF" w:rsidRPr="00DE6A4E" w:rsidRDefault="00D673CF" w:rsidP="00D673CF">
      <w:pPr>
        <w:pStyle w:val="LegTitle"/>
      </w:pPr>
      <w:bookmarkStart w:id="10" w:name="_Toc160470697"/>
      <w:bookmarkStart w:id="11" w:name="_Toc160471085"/>
      <w:bookmarkStart w:id="12" w:name="_Toc160471224"/>
      <w:bookmarkStart w:id="13" w:name="_Toc160471347"/>
      <w:bookmarkStart w:id="14" w:name="_Toc160471515"/>
      <w:bookmarkStart w:id="15" w:name="_Toc160542735"/>
      <w:bookmarkStart w:id="16" w:name="_Toc189831074"/>
      <w:r>
        <w:lastRenderedPageBreak/>
        <w:t>Правило 89</w:t>
      </w:r>
      <w:r>
        <w:rPr>
          <w:i/>
        </w:rPr>
        <w:t>bis</w:t>
      </w:r>
      <w:r>
        <w:br/>
        <w:t>Подача, обработка и пересылка международных заявок и других документов в электронной форме или электронными средствами</w:t>
      </w:r>
      <w:bookmarkEnd w:id="10"/>
      <w:bookmarkEnd w:id="11"/>
      <w:bookmarkEnd w:id="12"/>
      <w:bookmarkEnd w:id="13"/>
      <w:bookmarkEnd w:id="14"/>
      <w:bookmarkEnd w:id="15"/>
      <w:bookmarkEnd w:id="16"/>
      <w:r>
        <w:t xml:space="preserve"> </w:t>
      </w:r>
    </w:p>
    <w:p w14:paraId="489B9C8F" w14:textId="0745E7A9" w:rsidR="00D673CF" w:rsidRPr="006E324D" w:rsidRDefault="00D673CF" w:rsidP="00D673CF">
      <w:pPr>
        <w:pStyle w:val="LegSubRule"/>
      </w:pPr>
      <w:bookmarkStart w:id="17" w:name="_Toc160470698"/>
      <w:bookmarkStart w:id="18" w:name="_Toc160471086"/>
      <w:bookmarkStart w:id="19" w:name="_Toc160471225"/>
      <w:bookmarkStart w:id="20" w:name="_Toc160471348"/>
      <w:bookmarkStart w:id="21" w:name="_Toc160471516"/>
      <w:bookmarkStart w:id="22" w:name="_Toc160542736"/>
      <w:bookmarkStart w:id="23" w:name="_Toc189831075"/>
      <w:r>
        <w:t>89</w:t>
      </w:r>
      <w:r>
        <w:rPr>
          <w:i/>
        </w:rPr>
        <w:t>bis</w:t>
      </w:r>
      <w:r>
        <w:t xml:space="preserve">.1   [Без изменений]  </w:t>
      </w:r>
      <w:r>
        <w:rPr>
          <w:i/>
        </w:rPr>
        <w:t>Международные заявки</w:t>
      </w:r>
      <w:bookmarkEnd w:id="17"/>
      <w:bookmarkEnd w:id="18"/>
      <w:bookmarkEnd w:id="19"/>
      <w:bookmarkEnd w:id="20"/>
      <w:bookmarkEnd w:id="21"/>
      <w:bookmarkEnd w:id="22"/>
      <w:bookmarkEnd w:id="23"/>
    </w:p>
    <w:p w14:paraId="14D1E6C1" w14:textId="10CA919A" w:rsidR="00D673CF" w:rsidRDefault="00D673CF" w:rsidP="00D673CF">
      <w:pPr>
        <w:pStyle w:val="Lega"/>
      </w:pPr>
      <w:r>
        <w:tab/>
        <w:t>(а)  [Без изменений] С учетом пунктов (b) и (е), международные заявки могут подаваться и обрабатываться в электронной форме или электронными средствами в соответствии с Административной инструкцией</w:t>
      </w:r>
      <w:r>
        <w:rPr>
          <w:color w:val="C00000"/>
        </w:rPr>
        <w:t>.</w:t>
      </w:r>
      <w:r>
        <w:t xml:space="preserve">  </w:t>
      </w:r>
    </w:p>
    <w:p w14:paraId="538E348E" w14:textId="77777777" w:rsidR="00D673CF" w:rsidRDefault="00D673CF" w:rsidP="00D673CF">
      <w:pPr>
        <w:pStyle w:val="Lega"/>
      </w:pPr>
      <w:r>
        <w:tab/>
        <w:t>(b)–(d)  [Без изменений]</w:t>
      </w:r>
    </w:p>
    <w:p w14:paraId="11831F81" w14:textId="4F2F620C" w:rsidR="00D673CF" w:rsidRPr="00967521" w:rsidRDefault="00D673CF" w:rsidP="00D673CF">
      <w:pPr>
        <w:pStyle w:val="Lega"/>
        <w:rPr>
          <w:rFonts w:eastAsia="SimSun"/>
        </w:rPr>
      </w:pPr>
      <w:r>
        <w:tab/>
        <w:t>(d-</w:t>
      </w:r>
      <w:r>
        <w:rPr>
          <w:i/>
        </w:rPr>
        <w:t>bis</w:t>
      </w:r>
      <w:r>
        <w:t>)  [Без изменений] Национальное ведомство или межправительственная организация, за исключением Международного бюро, направившие уведомление в соответствии с пунктом (d), могут уведомить Международное бюро о том, что они будут принимать международные заявки только в том случае, если такие заявки поданы в электронной форме или электронными средствами.  Международное бюро публикует сообщенную таким образом информацию в Бюллетене.</w:t>
      </w:r>
    </w:p>
    <w:p w14:paraId="6E5C4B43" w14:textId="7F812CE1" w:rsidR="00D673CF" w:rsidRPr="00862EE0" w:rsidRDefault="00D673CF" w:rsidP="00D673CF">
      <w:pPr>
        <w:pStyle w:val="Lega"/>
        <w:keepLines/>
        <w:rPr>
          <w:rFonts w:eastAsia="SimSun"/>
        </w:rPr>
      </w:pPr>
      <w:r>
        <w:tab/>
        <w:t>(d-</w:t>
      </w:r>
      <w:r>
        <w:rPr>
          <w:i/>
        </w:rPr>
        <w:t>ter</w:t>
      </w:r>
      <w:r>
        <w:t>)  [Без изменений] Национальное ведомство или межправительственная организация, направившие уведомление в соответствии с пунктом (d), но не пунктом (d</w:t>
      </w:r>
      <w:r>
        <w:noBreakHyphen/>
      </w:r>
      <w:r>
        <w:rPr>
          <w:i/>
        </w:rPr>
        <w:t>bis</w:t>
      </w:r>
      <w:r>
        <w:t>), могут уведомить Международное бюро о том, что любая заявка, поданная на бумаге, должна быть повторно представлена электронными средствами в течение двух месяцев с даты соответствующего предложения ведомства или организации.  Если соответствующие документы не получены в срок, то международная заявка считается изъятой и Получающее ведомство делает об этом соответствующее заявление.  Международное бюро публикует сообщенную таким образом информацию в Бюллетене.</w:t>
      </w:r>
    </w:p>
    <w:p w14:paraId="65C03A68" w14:textId="77777777" w:rsidR="00D673CF" w:rsidRPr="00862EE0" w:rsidRDefault="00D673CF" w:rsidP="00D673CF">
      <w:pPr>
        <w:pStyle w:val="Lega"/>
      </w:pPr>
      <w:r>
        <w:tab/>
        <w:t xml:space="preserve">(e)   [Без изменений] </w:t>
      </w:r>
    </w:p>
    <w:p w14:paraId="1A8D855F" w14:textId="2222B56B" w:rsidR="00D673CF" w:rsidRDefault="00D673CF" w:rsidP="00D673CF">
      <w:pPr>
        <w:pStyle w:val="LegSubRule"/>
        <w:rPr>
          <w:i/>
        </w:rPr>
      </w:pPr>
      <w:bookmarkStart w:id="24" w:name="_Toc160470699"/>
      <w:bookmarkStart w:id="25" w:name="_Toc160471087"/>
      <w:bookmarkStart w:id="26" w:name="_Toc160471226"/>
      <w:bookmarkStart w:id="27" w:name="_Toc160471349"/>
      <w:bookmarkStart w:id="28" w:name="_Toc160471517"/>
      <w:bookmarkStart w:id="29" w:name="_Toc160542737"/>
      <w:bookmarkStart w:id="30" w:name="_Toc189831076"/>
      <w:r>
        <w:t>89</w:t>
      </w:r>
      <w:r>
        <w:rPr>
          <w:i/>
        </w:rPr>
        <w:t>bis</w:t>
      </w:r>
      <w:r>
        <w:t>.2    [Без изменений] </w:t>
      </w:r>
      <w:r>
        <w:rPr>
          <w:i/>
        </w:rPr>
        <w:t>Другие документы</w:t>
      </w:r>
      <w:bookmarkEnd w:id="24"/>
      <w:bookmarkEnd w:id="25"/>
      <w:bookmarkEnd w:id="26"/>
      <w:bookmarkEnd w:id="27"/>
      <w:bookmarkEnd w:id="28"/>
      <w:bookmarkEnd w:id="29"/>
      <w:bookmarkEnd w:id="30"/>
    </w:p>
    <w:p w14:paraId="42423BF8" w14:textId="318FC854" w:rsidR="00D673CF" w:rsidRPr="006E324D" w:rsidRDefault="00D673CF" w:rsidP="00D673CF">
      <w:pPr>
        <w:pStyle w:val="Lega"/>
      </w:pPr>
      <w:r>
        <w:tab/>
        <w:t>[Без изменений] Правило 89</w:t>
      </w:r>
      <w:r>
        <w:rPr>
          <w:i/>
        </w:rPr>
        <w:t>bis</w:t>
      </w:r>
      <w:r>
        <w:t>.1 применяется mutatis mutandis к прочим документам и переписке в связи с международными заявками, при условии, что любые такие документы или переписка, поданные на бумаге и повторно не представленные электронными средствами в течение двух месяцев с даты соответствующего предложения, не принимаются во внимание в тех случаях, когда национальное ведомство или межправительственная организация направили уведомление в соответствии с правилом 89</w:t>
      </w:r>
      <w:r>
        <w:rPr>
          <w:i/>
        </w:rPr>
        <w:t>bis</w:t>
      </w:r>
      <w:r>
        <w:t>.1(d</w:t>
      </w:r>
      <w:r>
        <w:noBreakHyphen/>
      </w:r>
      <w:r>
        <w:rPr>
          <w:i/>
        </w:rPr>
        <w:t>ter</w:t>
      </w:r>
      <w:r>
        <w:t xml:space="preserve">). </w:t>
      </w:r>
    </w:p>
    <w:p w14:paraId="02036440" w14:textId="77777777" w:rsidR="00D673CF" w:rsidRDefault="00D673CF" w:rsidP="00D673CF">
      <w:pPr>
        <w:pStyle w:val="LegSubRule"/>
      </w:pPr>
      <w:bookmarkStart w:id="31" w:name="_Toc160470700"/>
      <w:bookmarkStart w:id="32" w:name="_Toc160471088"/>
      <w:bookmarkStart w:id="33" w:name="_Toc160471227"/>
      <w:bookmarkStart w:id="34" w:name="_Toc160471350"/>
      <w:bookmarkStart w:id="35" w:name="_Toc160471518"/>
      <w:bookmarkStart w:id="36" w:name="_Toc160542738"/>
      <w:bookmarkStart w:id="37" w:name="_Toc189831077"/>
      <w:r>
        <w:lastRenderedPageBreak/>
        <w:t>89</w:t>
      </w:r>
      <w:r>
        <w:rPr>
          <w:i/>
        </w:rPr>
        <w:t>bis</w:t>
      </w:r>
      <w:r>
        <w:t>.3   </w:t>
      </w:r>
      <w:r>
        <w:rPr>
          <w:i/>
        </w:rPr>
        <w:t>[Без изменений]</w:t>
      </w:r>
      <w:bookmarkEnd w:id="31"/>
      <w:bookmarkEnd w:id="32"/>
      <w:bookmarkEnd w:id="33"/>
      <w:bookmarkEnd w:id="34"/>
      <w:bookmarkEnd w:id="35"/>
      <w:bookmarkEnd w:id="36"/>
      <w:bookmarkEnd w:id="37"/>
      <w:r>
        <w:t xml:space="preserve"> </w:t>
      </w:r>
    </w:p>
    <w:p w14:paraId="4E8327EF" w14:textId="77777777" w:rsidR="00D673CF" w:rsidRDefault="00D673CF" w:rsidP="00D673CF"/>
    <w:p w14:paraId="41AD328A" w14:textId="637616C6" w:rsidR="00BC788C" w:rsidRDefault="00BC788C" w:rsidP="00BC788C">
      <w:pPr>
        <w:pStyle w:val="Endofdocument-Annex"/>
      </w:pPr>
      <w:r>
        <w:t>[Конец Приложения и документа]</w:t>
      </w:r>
    </w:p>
    <w:sectPr w:rsidR="00BC788C" w:rsidSect="00D673CF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7F917" w14:textId="77777777" w:rsidR="00256D31" w:rsidRDefault="00256D31">
      <w:r>
        <w:separator/>
      </w:r>
    </w:p>
  </w:endnote>
  <w:endnote w:type="continuationSeparator" w:id="0">
    <w:p w14:paraId="58292C77" w14:textId="77777777" w:rsidR="00256D31" w:rsidRDefault="00256D31" w:rsidP="003B38C1">
      <w:r>
        <w:separator/>
      </w:r>
    </w:p>
    <w:p w14:paraId="3E9BA4ED" w14:textId="77777777" w:rsidR="00256D31" w:rsidRPr="00B05FF0" w:rsidRDefault="00256D31" w:rsidP="003B38C1">
      <w:pPr>
        <w:spacing w:after="60"/>
        <w:rPr>
          <w:sz w:val="17"/>
          <w:lang w:val="en-US"/>
        </w:rPr>
      </w:pPr>
      <w:r w:rsidRPr="00B05FF0">
        <w:rPr>
          <w:sz w:val="17"/>
          <w:lang w:val="en-US"/>
        </w:rPr>
        <w:t>[Endnote continued from previous page]</w:t>
      </w:r>
    </w:p>
  </w:endnote>
  <w:endnote w:type="continuationNotice" w:id="1">
    <w:p w14:paraId="153A3CFA" w14:textId="77777777" w:rsidR="00256D31" w:rsidRPr="00B05FF0" w:rsidRDefault="00256D31" w:rsidP="003B38C1">
      <w:pPr>
        <w:spacing w:before="60"/>
        <w:jc w:val="right"/>
        <w:rPr>
          <w:sz w:val="17"/>
          <w:szCs w:val="17"/>
          <w:lang w:val="en-US"/>
        </w:rPr>
      </w:pPr>
      <w:r w:rsidRPr="00B05FF0">
        <w:rPr>
          <w:sz w:val="17"/>
          <w:szCs w:val="17"/>
          <w:lang w:val="en-US"/>
        </w:rPr>
        <w:t xml:space="preserve">[Endnote </w:t>
      </w:r>
      <w:proofErr w:type="gramStart"/>
      <w:r w:rsidRPr="00B05FF0">
        <w:rPr>
          <w:sz w:val="17"/>
          <w:szCs w:val="17"/>
          <w:lang w:val="en-US"/>
        </w:rPr>
        <w:t>continued on</w:t>
      </w:r>
      <w:proofErr w:type="gramEnd"/>
      <w:r w:rsidRPr="00B05FF0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A6BA6" w14:textId="77777777" w:rsidR="00256D31" w:rsidRDefault="00256D31">
      <w:r>
        <w:separator/>
      </w:r>
    </w:p>
  </w:footnote>
  <w:footnote w:type="continuationSeparator" w:id="0">
    <w:p w14:paraId="58F5E7C4" w14:textId="77777777" w:rsidR="00256D31" w:rsidRDefault="00256D31" w:rsidP="008B60B2">
      <w:r>
        <w:separator/>
      </w:r>
    </w:p>
    <w:p w14:paraId="6CC9332D" w14:textId="77777777" w:rsidR="00256D31" w:rsidRPr="00B05FF0" w:rsidRDefault="00256D31" w:rsidP="008B60B2">
      <w:pPr>
        <w:spacing w:after="60"/>
        <w:rPr>
          <w:sz w:val="17"/>
          <w:szCs w:val="17"/>
          <w:lang w:val="en-US"/>
        </w:rPr>
      </w:pPr>
      <w:r w:rsidRPr="00B05FF0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5E22866C" w14:textId="77777777" w:rsidR="00256D31" w:rsidRPr="00B05FF0" w:rsidRDefault="00256D31" w:rsidP="008B60B2">
      <w:pPr>
        <w:spacing w:before="60"/>
        <w:jc w:val="right"/>
        <w:rPr>
          <w:sz w:val="17"/>
          <w:szCs w:val="17"/>
          <w:lang w:val="en-US"/>
        </w:rPr>
      </w:pPr>
      <w:r w:rsidRPr="00B05FF0">
        <w:rPr>
          <w:sz w:val="17"/>
          <w:szCs w:val="17"/>
          <w:lang w:val="en-US"/>
        </w:rPr>
        <w:t xml:space="preserve">[Footnote </w:t>
      </w:r>
      <w:proofErr w:type="gramStart"/>
      <w:r w:rsidRPr="00B05FF0">
        <w:rPr>
          <w:sz w:val="17"/>
          <w:szCs w:val="17"/>
          <w:lang w:val="en-US"/>
        </w:rPr>
        <w:t>continued on</w:t>
      </w:r>
      <w:proofErr w:type="gramEnd"/>
      <w:r w:rsidRPr="00B05FF0">
        <w:rPr>
          <w:sz w:val="17"/>
          <w:szCs w:val="17"/>
          <w:lang w:val="en-US"/>
        </w:rPr>
        <w:t xml:space="preserve"> next page]</w:t>
      </w:r>
    </w:p>
  </w:footnote>
  <w:footnote w:id="2">
    <w:p w14:paraId="2C00C441" w14:textId="4A7B6860" w:rsidR="00DD59F3" w:rsidRDefault="00DD59F3" w:rsidP="00DD59F3">
      <w:pPr>
        <w:pStyle w:val="FootnoteText"/>
      </w:pPr>
      <w:r>
        <w:rPr>
          <w:rStyle w:val="FootnoteReference"/>
        </w:rPr>
        <w:footnoteRef/>
      </w:r>
      <w:r>
        <w:t xml:space="preserve"> Предлагаемые добавления выделены в тексте подчеркиванием.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BE049" w14:textId="17B7A380" w:rsidR="00EC4E49" w:rsidRDefault="00256D31" w:rsidP="00477D6B">
    <w:pPr>
      <w:jc w:val="right"/>
    </w:pPr>
    <w:bookmarkStart w:id="5" w:name="Code2"/>
    <w:bookmarkEnd w:id="5"/>
    <w:r>
      <w:t>PCT/WG/18/19</w:t>
    </w:r>
  </w:p>
  <w:p w14:paraId="49A80B57" w14:textId="77777777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4EC7D2A2" w14:textId="77777777" w:rsidR="00EC4E49" w:rsidRDefault="00EC4E49" w:rsidP="00477D6B">
    <w:pPr>
      <w:jc w:val="right"/>
    </w:pPr>
  </w:p>
  <w:p w14:paraId="62E87C5F" w14:textId="77777777" w:rsidR="00B50B99" w:rsidRDefault="00B50B99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A693" w14:textId="77777777" w:rsidR="00D673CF" w:rsidRDefault="00D673CF" w:rsidP="00477D6B">
    <w:pPr>
      <w:jc w:val="right"/>
    </w:pPr>
    <w:r>
      <w:t>PCT/WG/18/19</w:t>
    </w:r>
  </w:p>
  <w:p w14:paraId="30A52308" w14:textId="639CBE8D" w:rsidR="00D673CF" w:rsidRDefault="00D673CF" w:rsidP="00477D6B">
    <w:pPr>
      <w:jc w:val="right"/>
    </w:pPr>
    <w:r>
      <w:t>Приложение, стр.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14:paraId="4A3DA446" w14:textId="77777777" w:rsidR="00D673CF" w:rsidRDefault="00D673CF" w:rsidP="00477D6B">
    <w:pPr>
      <w:jc w:val="right"/>
    </w:pPr>
  </w:p>
  <w:p w14:paraId="39D3FE60" w14:textId="77777777" w:rsidR="00D673CF" w:rsidRDefault="00D673C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67765" w14:textId="7A91D1C5" w:rsidR="00D673CF" w:rsidRDefault="00D673CF" w:rsidP="00D673CF">
    <w:pPr>
      <w:pStyle w:val="Header"/>
      <w:jc w:val="right"/>
    </w:pPr>
    <w:r>
      <w:t>PCT/WG/18/19</w:t>
    </w:r>
  </w:p>
  <w:p w14:paraId="18566429" w14:textId="0706584F" w:rsidR="00D673CF" w:rsidRDefault="00D673CF" w:rsidP="00D673CF">
    <w:pPr>
      <w:pStyle w:val="Header"/>
      <w:jc w:val="right"/>
    </w:pPr>
    <w:r>
      <w:t>ПРИЛОЖЕНИЕ</w:t>
    </w:r>
  </w:p>
  <w:p w14:paraId="7546E92B" w14:textId="77777777" w:rsidR="00D673CF" w:rsidRDefault="00D673CF" w:rsidP="00D673C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838653">
    <w:abstractNumId w:val="2"/>
  </w:num>
  <w:num w:numId="2" w16cid:durableId="1159539219">
    <w:abstractNumId w:val="4"/>
  </w:num>
  <w:num w:numId="3" w16cid:durableId="76558780">
    <w:abstractNumId w:val="0"/>
  </w:num>
  <w:num w:numId="4" w16cid:durableId="1331255219">
    <w:abstractNumId w:val="5"/>
  </w:num>
  <w:num w:numId="5" w16cid:durableId="1001860684">
    <w:abstractNumId w:val="1"/>
  </w:num>
  <w:num w:numId="6" w16cid:durableId="970937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31"/>
    <w:rsid w:val="0001146D"/>
    <w:rsid w:val="0001647B"/>
    <w:rsid w:val="00043CAA"/>
    <w:rsid w:val="0005116B"/>
    <w:rsid w:val="00075432"/>
    <w:rsid w:val="00076E50"/>
    <w:rsid w:val="000968ED"/>
    <w:rsid w:val="000F5E56"/>
    <w:rsid w:val="001024FE"/>
    <w:rsid w:val="001115DE"/>
    <w:rsid w:val="001362EE"/>
    <w:rsid w:val="00142868"/>
    <w:rsid w:val="001832A6"/>
    <w:rsid w:val="001913A6"/>
    <w:rsid w:val="001C6808"/>
    <w:rsid w:val="001F28A8"/>
    <w:rsid w:val="002121FA"/>
    <w:rsid w:val="00214C74"/>
    <w:rsid w:val="00224D2D"/>
    <w:rsid w:val="00226109"/>
    <w:rsid w:val="00256D31"/>
    <w:rsid w:val="002634C4"/>
    <w:rsid w:val="002928D3"/>
    <w:rsid w:val="0029703C"/>
    <w:rsid w:val="002F1FE6"/>
    <w:rsid w:val="002F4E68"/>
    <w:rsid w:val="00312F7F"/>
    <w:rsid w:val="003228B7"/>
    <w:rsid w:val="003508A3"/>
    <w:rsid w:val="003673CF"/>
    <w:rsid w:val="003845C1"/>
    <w:rsid w:val="003A6F89"/>
    <w:rsid w:val="003B38C1"/>
    <w:rsid w:val="003C46A7"/>
    <w:rsid w:val="003D352A"/>
    <w:rsid w:val="003F4C9E"/>
    <w:rsid w:val="004009A7"/>
    <w:rsid w:val="00423E3E"/>
    <w:rsid w:val="00427955"/>
    <w:rsid w:val="00427AF4"/>
    <w:rsid w:val="004400E2"/>
    <w:rsid w:val="00461632"/>
    <w:rsid w:val="004647DA"/>
    <w:rsid w:val="00474062"/>
    <w:rsid w:val="00477D6B"/>
    <w:rsid w:val="00497C1B"/>
    <w:rsid w:val="004D39C4"/>
    <w:rsid w:val="0053057A"/>
    <w:rsid w:val="00543927"/>
    <w:rsid w:val="00560A29"/>
    <w:rsid w:val="00564730"/>
    <w:rsid w:val="00585617"/>
    <w:rsid w:val="0058784C"/>
    <w:rsid w:val="00594D27"/>
    <w:rsid w:val="005D29F3"/>
    <w:rsid w:val="00601760"/>
    <w:rsid w:val="00605827"/>
    <w:rsid w:val="00646050"/>
    <w:rsid w:val="006713CA"/>
    <w:rsid w:val="00676C5C"/>
    <w:rsid w:val="00695558"/>
    <w:rsid w:val="006D5E0F"/>
    <w:rsid w:val="007058FB"/>
    <w:rsid w:val="00714908"/>
    <w:rsid w:val="00744C06"/>
    <w:rsid w:val="00791C08"/>
    <w:rsid w:val="007A0CD3"/>
    <w:rsid w:val="007B6A58"/>
    <w:rsid w:val="007D1613"/>
    <w:rsid w:val="007E5C74"/>
    <w:rsid w:val="00873EE5"/>
    <w:rsid w:val="008B2CC1"/>
    <w:rsid w:val="008B4B5E"/>
    <w:rsid w:val="008B60B2"/>
    <w:rsid w:val="0090731E"/>
    <w:rsid w:val="00916EE2"/>
    <w:rsid w:val="00942E94"/>
    <w:rsid w:val="00946221"/>
    <w:rsid w:val="00966A22"/>
    <w:rsid w:val="0096722F"/>
    <w:rsid w:val="00980843"/>
    <w:rsid w:val="009E2791"/>
    <w:rsid w:val="009E3F6F"/>
    <w:rsid w:val="009F3BF9"/>
    <w:rsid w:val="009F499F"/>
    <w:rsid w:val="00A01C80"/>
    <w:rsid w:val="00A26A28"/>
    <w:rsid w:val="00A42DAF"/>
    <w:rsid w:val="00A45BD8"/>
    <w:rsid w:val="00A60A2B"/>
    <w:rsid w:val="00A778BF"/>
    <w:rsid w:val="00A85B8E"/>
    <w:rsid w:val="00AC205C"/>
    <w:rsid w:val="00AF5C73"/>
    <w:rsid w:val="00B03107"/>
    <w:rsid w:val="00B05A69"/>
    <w:rsid w:val="00B05FF0"/>
    <w:rsid w:val="00B40598"/>
    <w:rsid w:val="00B408B1"/>
    <w:rsid w:val="00B50B99"/>
    <w:rsid w:val="00B62CD9"/>
    <w:rsid w:val="00B9734B"/>
    <w:rsid w:val="00BC788C"/>
    <w:rsid w:val="00BD300F"/>
    <w:rsid w:val="00BF2415"/>
    <w:rsid w:val="00BF48DE"/>
    <w:rsid w:val="00BF5031"/>
    <w:rsid w:val="00C11BFE"/>
    <w:rsid w:val="00C67CB6"/>
    <w:rsid w:val="00C91AB4"/>
    <w:rsid w:val="00C94629"/>
    <w:rsid w:val="00CA7400"/>
    <w:rsid w:val="00CB75D6"/>
    <w:rsid w:val="00CE65D4"/>
    <w:rsid w:val="00D45252"/>
    <w:rsid w:val="00D61F40"/>
    <w:rsid w:val="00D673CF"/>
    <w:rsid w:val="00D71B4D"/>
    <w:rsid w:val="00D93D55"/>
    <w:rsid w:val="00DD59F3"/>
    <w:rsid w:val="00E03E67"/>
    <w:rsid w:val="00E070BF"/>
    <w:rsid w:val="00E161A2"/>
    <w:rsid w:val="00E335FE"/>
    <w:rsid w:val="00E5021F"/>
    <w:rsid w:val="00E671A6"/>
    <w:rsid w:val="00E90B8B"/>
    <w:rsid w:val="00EC4E49"/>
    <w:rsid w:val="00ED77FB"/>
    <w:rsid w:val="00EE0CA0"/>
    <w:rsid w:val="00F021A6"/>
    <w:rsid w:val="00F11D94"/>
    <w:rsid w:val="00F66152"/>
    <w:rsid w:val="00F866B9"/>
    <w:rsid w:val="00F9200A"/>
    <w:rsid w:val="00FB3E54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4401A4"/>
  <w15:docId w15:val="{0B3FF191-E556-413A-919B-FC6392C2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7A0CD3"/>
    <w:pPr>
      <w:keepNext/>
      <w:spacing w:before="240" w:after="18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Legbasic">
    <w:name w:val="Leg basic"/>
    <w:qFormat/>
    <w:rsid w:val="00D673CF"/>
    <w:pPr>
      <w:spacing w:after="180"/>
      <w:ind w:left="567"/>
    </w:pPr>
    <w:rPr>
      <w:rFonts w:ascii="Arial" w:hAnsi="Arial" w:cs="Arial"/>
      <w:snapToGrid w:val="0"/>
      <w:sz w:val="22"/>
      <w:szCs w:val="22"/>
      <w:lang w:eastAsia="en-US"/>
    </w:rPr>
  </w:style>
  <w:style w:type="paragraph" w:customStyle="1" w:styleId="LegTitle">
    <w:name w:val="Leg # Title"/>
    <w:basedOn w:val="Legbasic"/>
    <w:next w:val="Normal"/>
    <w:rsid w:val="00564730"/>
    <w:pPr>
      <w:keepNext/>
      <w:keepLines/>
      <w:pageBreakBefore/>
      <w:spacing w:before="240" w:line="360" w:lineRule="auto"/>
      <w:jc w:val="center"/>
    </w:pPr>
    <w:rPr>
      <w:b/>
    </w:rPr>
  </w:style>
  <w:style w:type="paragraph" w:customStyle="1" w:styleId="Lega">
    <w:name w:val="Leg (a)"/>
    <w:basedOn w:val="Legbasic"/>
    <w:link w:val="LegaChar"/>
    <w:rsid w:val="00564730"/>
    <w:pPr>
      <w:tabs>
        <w:tab w:val="left" w:pos="454"/>
      </w:tabs>
      <w:spacing w:line="360" w:lineRule="auto"/>
    </w:pPr>
  </w:style>
  <w:style w:type="paragraph" w:customStyle="1" w:styleId="Legacont">
    <w:name w:val="Leg (a) [cont]"/>
    <w:basedOn w:val="Lega"/>
    <w:next w:val="Lega"/>
    <w:rsid w:val="00D673CF"/>
  </w:style>
  <w:style w:type="paragraph" w:customStyle="1" w:styleId="Legi">
    <w:name w:val="Leg (i)"/>
    <w:basedOn w:val="Legbasic"/>
    <w:rsid w:val="00564730"/>
    <w:pPr>
      <w:tabs>
        <w:tab w:val="right" w:pos="1560"/>
        <w:tab w:val="left" w:pos="1843"/>
      </w:tabs>
      <w:spacing w:line="360" w:lineRule="auto"/>
    </w:pPr>
  </w:style>
  <w:style w:type="character" w:customStyle="1" w:styleId="LegDeletedText">
    <w:name w:val="Leg Deleted Text"/>
    <w:basedOn w:val="DefaultParagraphFont"/>
    <w:uiPriority w:val="1"/>
    <w:qFormat/>
    <w:rsid w:val="00D673CF"/>
    <w:rPr>
      <w:strike/>
      <w:color w:val="FF0000"/>
    </w:rPr>
  </w:style>
  <w:style w:type="paragraph" w:customStyle="1" w:styleId="LegSubRule">
    <w:name w:val="Leg SubRule #"/>
    <w:basedOn w:val="Legbasic"/>
    <w:rsid w:val="00564730"/>
    <w:pPr>
      <w:keepNext/>
      <w:tabs>
        <w:tab w:val="left" w:pos="510"/>
      </w:tabs>
      <w:spacing w:line="360" w:lineRule="auto"/>
      <w:outlineLvl w:val="0"/>
    </w:pPr>
  </w:style>
  <w:style w:type="character" w:customStyle="1" w:styleId="LegInsertedText">
    <w:name w:val="LegInsertedText"/>
    <w:rsid w:val="00D673CF"/>
    <w:rPr>
      <w:color w:val="0000FF"/>
      <w:u w:val="single"/>
    </w:rPr>
  </w:style>
  <w:style w:type="character" w:customStyle="1" w:styleId="LegaChar">
    <w:name w:val="Leg (a) Char"/>
    <w:link w:val="Lega"/>
    <w:rsid w:val="00564730"/>
    <w:rPr>
      <w:rFonts w:ascii="Arial" w:hAnsi="Arial" w:cs="Arial"/>
      <w:snapToGrid w:val="0"/>
      <w:sz w:val="22"/>
      <w:szCs w:val="22"/>
      <w:lang w:val="ru-RU" w:eastAsia="en-US"/>
    </w:rPr>
  </w:style>
  <w:style w:type="character" w:customStyle="1" w:styleId="InsertedText">
    <w:name w:val="Inserted Text"/>
    <w:basedOn w:val="DefaultParagraphFont"/>
    <w:uiPriority w:val="1"/>
    <w:qFormat/>
    <w:rsid w:val="00D673CF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1F28A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F28A8"/>
    <w:pPr>
      <w:spacing w:after="100"/>
      <w:ind w:left="220"/>
    </w:pPr>
  </w:style>
  <w:style w:type="paragraph" w:styleId="Revision">
    <w:name w:val="Revision"/>
    <w:hidden/>
    <w:uiPriority w:val="99"/>
    <w:semiHidden/>
    <w:rsid w:val="00C67CB6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basedOn w:val="DefaultParagraphFont"/>
    <w:semiHidden/>
    <w:unhideWhenUsed/>
    <w:rsid w:val="00DD59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WG_1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0A8AE-CDC3-40C9-A01B-D84F67AD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PCT_WG_18 (E)</Template>
  <TotalTime>0</TotalTime>
  <Pages>7</Pages>
  <Words>832</Words>
  <Characters>6010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PCT/WG/18/19</vt:lpstr>
    </vt:vector>
  </TitlesOfParts>
  <Company>WIPO</Company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PCT/WG/18/19</dc:title>
  <dc:subject>Filing Medium of International Applications - Consequential Amendment</dc:subject>
  <dc:creator>WIPO</dc:creator>
  <cp:keywords>FOR OFFICIAL USE ONLY</cp:keywords>
  <cp:lastModifiedBy>MARLOW Thomas</cp:lastModifiedBy>
  <cp:revision>2</cp:revision>
  <cp:lastPrinted>2011-02-15T11:56:00Z</cp:lastPrinted>
  <dcterms:created xsi:type="dcterms:W3CDTF">2025-02-10T09:21:00Z</dcterms:created>
  <dcterms:modified xsi:type="dcterms:W3CDTF">2025-02-10T09:21:00Z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2023-12-13T09:48:21Z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0bf27739-8b3d-4d7e-ba90-ef8e3b8e5134</vt:lpwstr>
  </property>
  <property fmtid="{D5CDD505-2E9C-101B-9397-08002B2CF9AE}" pid="14" name="MSIP_Label_20773ee6-353b-4fb9-a59d-0b94c8c67bea_ContentBits">
    <vt:lpwstr>0</vt:lpwstr>
  </property>
</Properties>
</file>