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6FD2C" w14:textId="77777777" w:rsidR="008B2CC1" w:rsidRPr="008B2CC1" w:rsidRDefault="00625323" w:rsidP="00F11D94">
      <w:pPr>
        <w:spacing w:after="120"/>
        <w:jc w:val="right"/>
      </w:pPr>
      <w:r w:rsidRPr="002476EA">
        <w:rPr>
          <w:noProof/>
          <w:lang w:eastAsia="ru-RU"/>
        </w:rPr>
        <w:drawing>
          <wp:inline distT="0" distB="0" distL="0" distR="0" wp14:anchorId="5887B1D3" wp14:editId="68BDE170">
            <wp:extent cx="3244978" cy="1635244"/>
            <wp:effectExtent l="0" t="0" r="0" b="0"/>
            <wp:docPr id="2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77E7435" wp14:editId="293CEC06">
                <wp:extent cx="5935980" cy="635"/>
                <wp:effectExtent l="0" t="0" r="7620" b="18415"/>
                <wp:docPr id="1" name="Straight Connector 2" descr="Horizont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5935980" cy="6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06973C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">
                <o:lock v:ext="edit" shapetype="f"/>
                <w10:anchorlock/>
              </v:line>
            </w:pict>
          </mc:Fallback>
        </mc:AlternateContent>
      </w:r>
    </w:p>
    <w:p w14:paraId="1FDB7AE5" w14:textId="77777777" w:rsidR="008B2CC1" w:rsidRPr="001024FE" w:rsidRDefault="00E90B8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PCT/WG/18/</w:t>
      </w:r>
      <w:bookmarkStart w:id="0" w:name="Code"/>
      <w:bookmarkEnd w:id="0"/>
      <w:r>
        <w:rPr>
          <w:rFonts w:ascii="Arial Black" w:hAnsi="Arial Black"/>
          <w:caps/>
          <w:sz w:val="15"/>
        </w:rPr>
        <w:t>13</w:t>
      </w:r>
    </w:p>
    <w:p w14:paraId="42066B0C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0B458C9F" w14:textId="77777777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17 января 2025 года</w:t>
      </w:r>
    </w:p>
    <w:bookmarkEnd w:id="2"/>
    <w:p w14:paraId="06305A66" w14:textId="77777777" w:rsidR="008B2CC1" w:rsidRPr="003845C1" w:rsidRDefault="00E90B8B" w:rsidP="00FB3E5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Рабочая группа по Договору о патентной кооперации (PCT)</w:t>
      </w:r>
    </w:p>
    <w:p w14:paraId="0808BC19" w14:textId="77777777" w:rsidR="008B2CC1" w:rsidRPr="003845C1" w:rsidRDefault="00946221" w:rsidP="008B2CC1">
      <w:pPr>
        <w:rPr>
          <w:b/>
          <w:sz w:val="24"/>
          <w:szCs w:val="24"/>
        </w:rPr>
      </w:pPr>
      <w:r>
        <w:rPr>
          <w:b/>
          <w:sz w:val="24"/>
        </w:rPr>
        <w:t>Восемнадцатая сессия</w:t>
      </w:r>
    </w:p>
    <w:p w14:paraId="5224B1AB" w14:textId="77777777" w:rsidR="008B2CC1" w:rsidRPr="009F3BF9" w:rsidRDefault="00E90B8B" w:rsidP="00CE65D4">
      <w:pPr>
        <w:spacing w:after="720"/>
      </w:pPr>
      <w:r>
        <w:rPr>
          <w:b/>
          <w:sz w:val="24"/>
        </w:rPr>
        <w:t>Женева, 18–20 февраля 2025 года</w:t>
      </w:r>
    </w:p>
    <w:p w14:paraId="64C0DBDD" w14:textId="77777777" w:rsidR="008B2CC1" w:rsidRPr="009F3BF9" w:rsidRDefault="0000504E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Процедуры, связанные с международной публикацией</w:t>
      </w:r>
    </w:p>
    <w:p w14:paraId="55BF98F5" w14:textId="77777777" w:rsidR="008B2CC1" w:rsidRPr="004D39C4" w:rsidRDefault="002B7A22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Документ подготовлен Международным бюро</w:t>
      </w:r>
    </w:p>
    <w:p w14:paraId="325BC985" w14:textId="77777777" w:rsidR="00FB3E54" w:rsidRDefault="0000504E" w:rsidP="002D5731">
      <w:pPr>
        <w:pStyle w:val="Heading1"/>
      </w:pPr>
      <w:bookmarkStart w:id="5" w:name="_Hlk184714599"/>
      <w:bookmarkEnd w:id="4"/>
      <w:r>
        <w:t>Резюме</w:t>
      </w:r>
    </w:p>
    <w:p w14:paraId="064EB6FB" w14:textId="77777777" w:rsidR="0071381D" w:rsidRPr="000A4CE1" w:rsidRDefault="000A4CE1" w:rsidP="007E703C">
      <w:pPr>
        <w:pStyle w:val="ONUME"/>
      </w:pPr>
      <w:r w:rsidRPr="000A4CE1">
        <w:t xml:space="preserve">Международное бюро предлагает перевести работу с международными публикациями на текстовую основу, что позволит повысить эффективность и гибкость использования их компонентов. Для этого содержание традиционной «брошюры» будет ограничено только титульным листом (включая реферат), описанием, формулой изобретения (включая поправки к ней, предусмотренные статьей 19) и чертежами. Отчет о международном поиске или декларация о том, что отчет о международном поиске не составляется, а также переводы отчетов о поиске и, возможно, заявления, касающиеся поправок к формуле изобретения, предусмотренных статьей 19, будут публиковаться в виде отдельных документов. Это будет соответствовать порядку, действующему уже несколько лет в отношении деклараций, </w:t>
      </w:r>
      <w:r w:rsidR="00D52297" w:rsidRPr="007B33B0">
        <w:t>предусмотренн</w:t>
      </w:r>
      <w:r w:rsidR="00D52297">
        <w:t>ых правилом</w:t>
      </w:r>
      <w:r w:rsidRPr="000A4CE1">
        <w:t xml:space="preserve"> 4.17, указаний в</w:t>
      </w:r>
      <w:r w:rsidR="00D52297">
        <w:t> </w:t>
      </w:r>
      <w:r w:rsidRPr="000A4CE1">
        <w:t>отношении депонированного биологического материала и различных других документов.</w:t>
      </w:r>
    </w:p>
    <w:p w14:paraId="14CE6F7D" w14:textId="77777777" w:rsidR="008720DB" w:rsidRPr="000A4CE1" w:rsidRDefault="000A4CE1" w:rsidP="0071381D">
      <w:pPr>
        <w:pStyle w:val="ONUME"/>
      </w:pPr>
      <w:r w:rsidRPr="000A4CE1">
        <w:t>Это упростит процедуры публикации, сократит нарушения сроков, позволит направлять отчеты и заключения, которые, смотря по ситуации, проще представить на других языках и в других форматах, а также облегчит публикацию цветных чертежей и дальнейшую оптимизацию процессов отображения и использования информации. Вся та информация, которая публикуется в настоящее время, будет публиковаться и далее, так, чтобы весь ее объем, при условии своевременного получения Международным бюро соответствующих документов от Получающего ведомства и Международного поискового органа, был доступен на дату международной публикации.</w:t>
      </w:r>
    </w:p>
    <w:p w14:paraId="4E97B9A5" w14:textId="77777777" w:rsidR="008720DB" w:rsidRDefault="008720DB" w:rsidP="008720DB">
      <w:pPr>
        <w:pStyle w:val="Heading1"/>
      </w:pPr>
      <w:r>
        <w:lastRenderedPageBreak/>
        <w:t>Справочная информация</w:t>
      </w:r>
    </w:p>
    <w:p w14:paraId="2DB9C15D" w14:textId="77777777" w:rsidR="008679AF" w:rsidRPr="000A4CE1" w:rsidRDefault="000A4CE1" w:rsidP="0000504E">
      <w:pPr>
        <w:pStyle w:val="ONUME"/>
      </w:pPr>
      <w:r w:rsidRPr="000A4CE1">
        <w:t>Международная публикация является важным информационно-регистрационным документом, но порядок работы с ней изменился. Содержание международной публикации установлено правилом 48. Первоначальная редакция этого правила была разработана в период, когда досье еще не проверялись в электронном виде, и, следовательно, было важно, чтобы вся наиболее существенная информация, касающаяся международной заявки, была сведена в единую «брошюру», которая публиковалась и рассылалась в бумажном виде всем Договаривающимся государствам и поставщикам информации.</w:t>
      </w:r>
    </w:p>
    <w:p w14:paraId="4A3BDF22" w14:textId="77777777" w:rsidR="008679AF" w:rsidRPr="000A4CE1" w:rsidRDefault="000A4CE1" w:rsidP="0000504E">
      <w:pPr>
        <w:pStyle w:val="ONUME"/>
      </w:pPr>
      <w:r w:rsidRPr="000A4CE1">
        <w:t xml:space="preserve">1 апреля 2006 года была принята обновленная редакция правила 48.1, согласно которой термин «брошюра» </w:t>
      </w:r>
      <w:r w:rsidR="00D52297">
        <w:t>был выведен из употребления</w:t>
      </w:r>
      <w:r w:rsidRPr="000A4CE1">
        <w:t>, а вопрос о форме и способах публикации должен был решаться в Административной инструкции (раздел 406). В</w:t>
      </w:r>
      <w:r w:rsidR="008A06FC">
        <w:t> </w:t>
      </w:r>
      <w:r w:rsidRPr="000A4CE1">
        <w:t xml:space="preserve">результате система </w:t>
      </w:r>
      <w:r w:rsidRPr="000A4CE1">
        <w:rPr>
          <w:lang w:val="en-US"/>
        </w:rPr>
        <w:t>PATENTSCOPE</w:t>
      </w:r>
      <w:r w:rsidRPr="000A4CE1">
        <w:t xml:space="preserve"> стала официальным органом публикации, а некоторые части международной публикации помещались на ее титульном листе в виде ссылок, но стали отдельными документами, которые пользователь находит при просмотре заявки в разделе «Опубликованная международная заявка» вкладки «Документы» на сайте </w:t>
      </w:r>
      <w:r w:rsidRPr="000A4CE1">
        <w:rPr>
          <w:lang w:val="en-US"/>
        </w:rPr>
        <w:t>PATENTSCOPE</w:t>
      </w:r>
      <w:r w:rsidRPr="000A4CE1">
        <w:t>.</w:t>
      </w:r>
    </w:p>
    <w:p w14:paraId="75EBE6BA" w14:textId="77777777" w:rsidR="008679AF" w:rsidRDefault="00625323" w:rsidP="008679AF">
      <w:r w:rsidRPr="002476EA">
        <w:rPr>
          <w:noProof/>
          <w:lang w:eastAsia="ru-RU"/>
        </w:rPr>
        <w:drawing>
          <wp:inline distT="0" distB="0" distL="0" distR="0" wp14:anchorId="213762B2" wp14:editId="5DCA8951">
            <wp:extent cx="5934075" cy="2085975"/>
            <wp:effectExtent l="0" t="0" r="0" b="0"/>
            <wp:docPr id="3" name="Picture 1" descr="Здесь показан снимок экрана раздела «Опубликованная международная заявка» в PATENTSCOPE.  Здесь показаны отдельные записи для компонентов международной публикации, а именно: международная публикация с ОМП, декларация, указания, относящиеся к депонированному микроорганизму и другому биологическому материалу, и перечни последовательнос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Здесь показан снимок экрана раздела «Опубликованная международная заявка» в PATENTSCOPE.  Здесь показаны отдельные записи для компонентов международной публикации, а именно: международная публикация с ОМП, декларация, указания, относящиеся к депонированному микроорганизму и другому биологическому материалу, и перечни последовательносте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F636E" w14:textId="77777777" w:rsidR="008679AF" w:rsidRPr="000A4CE1" w:rsidRDefault="000A4CE1" w:rsidP="008679AF">
      <w:pPr>
        <w:rPr>
          <w:i/>
          <w:iCs/>
        </w:rPr>
      </w:pPr>
      <w:r w:rsidRPr="000A4CE1">
        <w:rPr>
          <w:i/>
        </w:rPr>
        <w:t xml:space="preserve">Пример раздела «Опубликованная международная заявка» </w:t>
      </w:r>
      <w:r w:rsidR="008A06FC">
        <w:rPr>
          <w:i/>
        </w:rPr>
        <w:t>на сайте</w:t>
      </w:r>
      <w:r w:rsidRPr="000A4CE1">
        <w:rPr>
          <w:i/>
        </w:rPr>
        <w:t xml:space="preserve"> </w:t>
      </w:r>
      <w:r w:rsidRPr="000A4CE1">
        <w:rPr>
          <w:i/>
          <w:lang w:val="en-US"/>
        </w:rPr>
        <w:t>PATENTSCOPE</w:t>
      </w:r>
    </w:p>
    <w:p w14:paraId="61966886" w14:textId="77777777" w:rsidR="008679AF" w:rsidRPr="000A4CE1" w:rsidRDefault="008679AF" w:rsidP="008679AF"/>
    <w:p w14:paraId="6234B65E" w14:textId="77777777" w:rsidR="008653D3" w:rsidRPr="000A4CE1" w:rsidRDefault="000A4CE1" w:rsidP="0000504E">
      <w:pPr>
        <w:pStyle w:val="ONUME"/>
      </w:pPr>
      <w:r w:rsidRPr="000A4CE1">
        <w:t>Это упростило публикацию, облегчило работу с частью международной публикации, входившей в «брошюру», и поиск указанными ведомствами различных частей международной публикации, которые должны обрабатываться по-разному при переходе на национальную фазу. Однако каждая отдельная часть публикации остается – по крайней мере, официально – набором изображений в постраничном формате, очень похожих на те, которые традиционно публиковались в бумажном виде.</w:t>
      </w:r>
    </w:p>
    <w:p w14:paraId="1B451E40" w14:textId="77777777" w:rsidR="00D87DE4" w:rsidRPr="000A4CE1" w:rsidRDefault="000A4CE1" w:rsidP="0000504E">
      <w:pPr>
        <w:pStyle w:val="ONUME"/>
      </w:pPr>
      <w:r w:rsidRPr="000A4CE1">
        <w:t xml:space="preserve">В некоторых случаях некоторые или все компоненты международной публикации имеются в виде структурированной или текстовой информации, но она представлена отдельно, а не как часть официальной публикации. В настоящее время желательно перейти к более широкому использованию структурированных данных в рамках официальной публикации. </w:t>
      </w:r>
    </w:p>
    <w:p w14:paraId="45A63885" w14:textId="77777777" w:rsidR="00626889" w:rsidRPr="000A4CE1" w:rsidRDefault="000A4CE1" w:rsidP="00626889">
      <w:pPr>
        <w:pStyle w:val="Heading1"/>
        <w:rPr>
          <w:lang w:val="en-US"/>
        </w:rPr>
      </w:pPr>
      <w:r w:rsidRPr="000A4CE1">
        <w:t>Содержание международной публикации</w:t>
      </w:r>
    </w:p>
    <w:p w14:paraId="14D313CC" w14:textId="77777777" w:rsidR="008720DB" w:rsidRPr="000A4CE1" w:rsidRDefault="000A4CE1" w:rsidP="006D321B">
      <w:pPr>
        <w:pStyle w:val="ONUME"/>
        <w:keepLines/>
      </w:pPr>
      <w:r w:rsidRPr="000A4CE1">
        <w:t xml:space="preserve">Согласно статье 21 </w:t>
      </w:r>
      <w:r w:rsidRPr="000A4CE1">
        <w:rPr>
          <w:lang w:val="en-US"/>
        </w:rPr>
        <w:t>PCT</w:t>
      </w:r>
      <w:r w:rsidRPr="000A4CE1">
        <w:t>, Международное бюро должно публиковать международные заявки (пункт (1)), а также отчеты о международном поиске или декларации о том, что отчет о международном поиске не составляется (пункт (3)). Однако нет принципиального требования о том, чтобы эти публикации были представлены в виде единого документа.</w:t>
      </w:r>
    </w:p>
    <w:p w14:paraId="00AB258C" w14:textId="77777777" w:rsidR="000379B6" w:rsidRPr="000A4CE1" w:rsidRDefault="000A4CE1" w:rsidP="00F47AFF">
      <w:pPr>
        <w:pStyle w:val="ONUME"/>
        <w:keepNext/>
      </w:pPr>
      <w:r w:rsidRPr="000A4CE1">
        <w:lastRenderedPageBreak/>
        <w:t>Содержание международной публикации определяется правилом 48.2 следующим образом:</w:t>
      </w:r>
    </w:p>
    <w:p w14:paraId="40CC1452" w14:textId="77777777" w:rsidR="00E155D7" w:rsidRPr="00E155D7" w:rsidRDefault="00E155D7" w:rsidP="00D63896">
      <w:pPr>
        <w:pStyle w:val="LegSubRule"/>
      </w:pPr>
      <w:r>
        <w:t>48.2   </w:t>
      </w:r>
      <w:r>
        <w:rPr>
          <w:i/>
        </w:rPr>
        <w:t>Содержание</w:t>
      </w:r>
    </w:p>
    <w:p w14:paraId="70346AEC" w14:textId="77777777" w:rsidR="00E155D7" w:rsidRPr="00E155D7" w:rsidRDefault="00E155D7" w:rsidP="00F47AFF">
      <w:pPr>
        <w:pStyle w:val="Lega"/>
        <w:keepNext/>
      </w:pPr>
      <w:r>
        <w:tab/>
        <w:t>(a)</w:t>
      </w:r>
      <w:r>
        <w:tab/>
        <w:t>Публикация международной заявки содержит:</w:t>
      </w:r>
    </w:p>
    <w:p w14:paraId="25F6E2F0" w14:textId="77777777" w:rsidR="00E155D7" w:rsidRPr="00E155D7" w:rsidRDefault="00E155D7" w:rsidP="00A876EB">
      <w:pPr>
        <w:pStyle w:val="Legi"/>
        <w:keepNext/>
        <w:tabs>
          <w:tab w:val="clear" w:pos="1560"/>
          <w:tab w:val="right" w:pos="1843"/>
        </w:tabs>
        <w:ind w:left="709"/>
      </w:pPr>
      <w:r>
        <w:tab/>
        <w:t>(i)</w:t>
      </w:r>
      <w:r>
        <w:tab/>
        <w:t>стандартный титульный лист;</w:t>
      </w:r>
    </w:p>
    <w:p w14:paraId="0B6CC6C4" w14:textId="77777777" w:rsidR="00E155D7" w:rsidRPr="00E155D7" w:rsidRDefault="00E155D7" w:rsidP="00A876EB">
      <w:pPr>
        <w:pStyle w:val="Legi"/>
        <w:keepNext/>
        <w:tabs>
          <w:tab w:val="clear" w:pos="1560"/>
          <w:tab w:val="right" w:pos="1843"/>
        </w:tabs>
        <w:ind w:left="709"/>
      </w:pPr>
      <w:r>
        <w:tab/>
        <w:t>(ii)</w:t>
      </w:r>
      <w:r>
        <w:tab/>
        <w:t>описание изобретения;</w:t>
      </w:r>
    </w:p>
    <w:p w14:paraId="6711FBCE" w14:textId="77777777" w:rsidR="00E155D7" w:rsidRPr="00E155D7" w:rsidRDefault="00E155D7" w:rsidP="00A876EB">
      <w:pPr>
        <w:pStyle w:val="Legi"/>
        <w:keepNext/>
        <w:tabs>
          <w:tab w:val="clear" w:pos="1560"/>
          <w:tab w:val="right" w:pos="1843"/>
        </w:tabs>
        <w:ind w:left="709"/>
      </w:pPr>
      <w:r>
        <w:tab/>
        <w:t>(iii)</w:t>
      </w:r>
      <w:r>
        <w:tab/>
        <w:t>формулу изобретения;</w:t>
      </w:r>
    </w:p>
    <w:p w14:paraId="37F60D4A" w14:textId="77777777" w:rsidR="00E155D7" w:rsidRPr="00E155D7" w:rsidRDefault="00E155D7" w:rsidP="00A876EB">
      <w:pPr>
        <w:pStyle w:val="Legi"/>
        <w:keepNext/>
        <w:tabs>
          <w:tab w:val="clear" w:pos="1560"/>
          <w:tab w:val="right" w:pos="1843"/>
        </w:tabs>
        <w:ind w:left="709"/>
      </w:pPr>
      <w:r>
        <w:tab/>
        <w:t>(iv)</w:t>
      </w:r>
      <w:r>
        <w:tab/>
        <w:t>чертежи (если таковые имеются);</w:t>
      </w:r>
    </w:p>
    <w:p w14:paraId="7568A898" w14:textId="77777777" w:rsidR="00E155D7" w:rsidRPr="00E155D7" w:rsidRDefault="00E155D7" w:rsidP="00A876EB">
      <w:pPr>
        <w:pStyle w:val="Legi"/>
        <w:keepNext/>
        <w:tabs>
          <w:tab w:val="clear" w:pos="1560"/>
          <w:tab w:val="right" w:pos="1843"/>
        </w:tabs>
        <w:ind w:left="709"/>
      </w:pPr>
      <w:r>
        <w:tab/>
        <w:t>(v)</w:t>
      </w:r>
      <w:r>
        <w:tab/>
        <w:t>с учетом положений пункта (g) – отчет о международном поиске или декларацию в соответствии со статьей 17(2)(а);</w:t>
      </w:r>
    </w:p>
    <w:p w14:paraId="4B18D1D2" w14:textId="77777777" w:rsidR="00E155D7" w:rsidRPr="00E155D7" w:rsidRDefault="00E155D7" w:rsidP="00A876EB">
      <w:pPr>
        <w:pStyle w:val="Legi"/>
        <w:keepNext/>
        <w:tabs>
          <w:tab w:val="clear" w:pos="1560"/>
          <w:tab w:val="right" w:pos="1843"/>
        </w:tabs>
        <w:ind w:left="709"/>
      </w:pPr>
      <w:r>
        <w:tab/>
        <w:t>(vi)</w:t>
      </w:r>
      <w:r>
        <w:tab/>
        <w:t>любое объяснение, поданное в соответствии со статьей 19(1), за исключением случаев, когда Международное бюро устанавливает, что объяснение не соответствует положениям правила 46.4;</w:t>
      </w:r>
    </w:p>
    <w:p w14:paraId="12362FD9" w14:textId="77777777" w:rsidR="00E155D7" w:rsidRPr="00E155D7" w:rsidRDefault="00E155D7" w:rsidP="00A876EB">
      <w:pPr>
        <w:pStyle w:val="Legi"/>
        <w:keepNext/>
        <w:tabs>
          <w:tab w:val="clear" w:pos="1560"/>
          <w:tab w:val="right" w:pos="1843"/>
        </w:tabs>
        <w:ind w:left="709"/>
      </w:pPr>
      <w:bookmarkStart w:id="6" w:name="_Hlk184718238"/>
      <w:r>
        <w:tab/>
        <w:t>(vii)</w:t>
      </w:r>
      <w:r>
        <w:tab/>
        <w:t>если Международное бюро получило просьбу о публикации в соответствии с правилом 91.3(d) до завершения технической подготовки к международной публикации, – любую просьбу об исправлении очевидной ошибки, любые причины и любые комментарии, упомянутые в правиле 91.3(d);</w:t>
      </w:r>
    </w:p>
    <w:p w14:paraId="43D6410B" w14:textId="77777777" w:rsidR="00E155D7" w:rsidRPr="00E155D7" w:rsidRDefault="00E155D7" w:rsidP="00A876EB">
      <w:pPr>
        <w:pStyle w:val="Legi"/>
        <w:keepNext/>
        <w:tabs>
          <w:tab w:val="clear" w:pos="1560"/>
          <w:tab w:val="right" w:pos="1843"/>
        </w:tabs>
        <w:ind w:left="709"/>
      </w:pPr>
      <w:r>
        <w:tab/>
        <w:t>(viii)</w:t>
      </w:r>
      <w:r>
        <w:tab/>
        <w:t>сведения в отношении депонированного биологического материала, представленные в соответствии с правилом 13</w:t>
      </w:r>
      <w:r>
        <w:rPr>
          <w:i/>
        </w:rPr>
        <w:t>bis</w:t>
      </w:r>
      <w:r>
        <w:t xml:space="preserve"> отдельно от описания, вместе с датой, на которую Международное бюро получило эти сведения;</w:t>
      </w:r>
    </w:p>
    <w:p w14:paraId="0D8A1918" w14:textId="77777777" w:rsidR="00E155D7" w:rsidRPr="00E155D7" w:rsidRDefault="00E155D7" w:rsidP="00A876EB">
      <w:pPr>
        <w:pStyle w:val="Legi"/>
        <w:keepNext/>
        <w:tabs>
          <w:tab w:val="clear" w:pos="1560"/>
          <w:tab w:val="right" w:pos="1843"/>
        </w:tabs>
        <w:ind w:left="709"/>
      </w:pPr>
      <w:r>
        <w:tab/>
        <w:t>(ix)</w:t>
      </w:r>
      <w:r>
        <w:tab/>
        <w:t>любую информацию, касающуюся притязания на приоритет, упомянутую в правиле 26bis.2(d);</w:t>
      </w:r>
    </w:p>
    <w:p w14:paraId="05F155E2" w14:textId="77777777" w:rsidR="00E155D7" w:rsidRPr="00E155D7" w:rsidRDefault="00E155D7" w:rsidP="00A876EB">
      <w:pPr>
        <w:pStyle w:val="Legi"/>
        <w:keepNext/>
        <w:tabs>
          <w:tab w:val="clear" w:pos="1560"/>
          <w:tab w:val="right" w:pos="1843"/>
        </w:tabs>
        <w:ind w:left="709"/>
      </w:pPr>
      <w:r>
        <w:tab/>
        <w:t>(x)</w:t>
      </w:r>
      <w:r>
        <w:tab/>
        <w:t>любую декларацию, упомянутую в правиле 4.17, и любое внесенное в нее исправление в соответствии с правилом 26ter.1, которые Международное бюро получило до истечения срока, установленного в правиле 26ter.1;</w:t>
      </w:r>
    </w:p>
    <w:p w14:paraId="1678805E" w14:textId="77777777" w:rsidR="00E155D7" w:rsidRPr="00E155D7" w:rsidRDefault="00E155D7" w:rsidP="00A876EB">
      <w:pPr>
        <w:pStyle w:val="Legi"/>
        <w:keepNext/>
        <w:tabs>
          <w:tab w:val="clear" w:pos="1560"/>
          <w:tab w:val="right" w:pos="1843"/>
        </w:tabs>
        <w:ind w:left="709"/>
      </w:pPr>
      <w:r>
        <w:tab/>
        <w:t>(xi)</w:t>
      </w:r>
      <w:r>
        <w:tab/>
        <w:t>любую информацию, касающуюся просьбы о восстановлении права на приоритет в соответствии с правилом 26bis.3, и решение Получающего ведомства в отношении такой просьбы, включая информацию относительно критерия восстановления, на котором основывалось решение.</w:t>
      </w:r>
    </w:p>
    <w:bookmarkEnd w:id="6"/>
    <w:p w14:paraId="27E151A5" w14:textId="77777777" w:rsidR="000379B6" w:rsidRPr="000A4CE1" w:rsidRDefault="000A4CE1" w:rsidP="0000504E">
      <w:pPr>
        <w:pStyle w:val="ONUME"/>
      </w:pPr>
      <w:r w:rsidRPr="000A4CE1">
        <w:t xml:space="preserve">На практике в течение уже ряда лет </w:t>
      </w:r>
      <w:r w:rsidR="008A06FC">
        <w:t>материалы</w:t>
      </w:r>
      <w:r w:rsidRPr="000A4CE1">
        <w:t>, перечисленные в пунктах (</w:t>
      </w:r>
      <w:r w:rsidRPr="000A4CE1">
        <w:rPr>
          <w:lang w:val="en-US"/>
        </w:rPr>
        <w:t>vii</w:t>
      </w:r>
      <w:r w:rsidRPr="000A4CE1">
        <w:t>)-(</w:t>
      </w:r>
      <w:r w:rsidRPr="000A4CE1">
        <w:rPr>
          <w:lang w:val="en-US"/>
        </w:rPr>
        <w:t>xi</w:t>
      </w:r>
      <w:r w:rsidRPr="000A4CE1">
        <w:t>) правила 48.2(</w:t>
      </w:r>
      <w:r w:rsidRPr="000A4CE1">
        <w:rPr>
          <w:lang w:val="en-US"/>
        </w:rPr>
        <w:t>a</w:t>
      </w:r>
      <w:r w:rsidRPr="000A4CE1">
        <w:t>)</w:t>
      </w:r>
      <w:r w:rsidR="008A06FC">
        <w:t>,</w:t>
      </w:r>
      <w:r w:rsidRPr="000A4CE1">
        <w:t xml:space="preserve"> публикуются в виде отдельных документов, которые </w:t>
      </w:r>
      <w:r w:rsidR="008A06FC">
        <w:t xml:space="preserve">сводятся </w:t>
      </w:r>
      <w:r w:rsidRPr="000A4CE1">
        <w:t xml:space="preserve">в системе </w:t>
      </w:r>
      <w:r w:rsidRPr="000A4CE1">
        <w:rPr>
          <w:lang w:val="en-US"/>
        </w:rPr>
        <w:t>PATENTSCOPE</w:t>
      </w:r>
      <w:r w:rsidRPr="000A4CE1">
        <w:t xml:space="preserve"> (официальном органе публикации) в разделе, озаглавленном «Опубликованная международная заявка», с указаниями на титульном листе о наличии соответствующих материалов.</w:t>
      </w:r>
    </w:p>
    <w:p w14:paraId="0A05E2F6" w14:textId="77777777" w:rsidR="00D623C9" w:rsidRPr="000A4CE1" w:rsidRDefault="000A4CE1" w:rsidP="00D623C9">
      <w:pPr>
        <w:pStyle w:val="ONUME"/>
        <w:keepLines/>
      </w:pPr>
      <w:r w:rsidRPr="000A4CE1">
        <w:t xml:space="preserve">Отчет о международном поиске, его перевод, в соответствующих случаях, и заявления, предусмотренные статьей 19(1), касающиеся поправок к формуле изобретения, по-прежнему объединяются в документ, составляющий основную часть международной заявки. Однако основу документа по-прежнему составляет ряд изображений в постраничном формате, даже когда исходное содержание основного текста заявки или отчет о международном поиске были подготовлены в формате </w:t>
      </w:r>
      <w:r w:rsidRPr="000A4CE1">
        <w:rPr>
          <w:lang w:val="en-US"/>
        </w:rPr>
        <w:t>XML</w:t>
      </w:r>
      <w:r w:rsidRPr="000A4CE1">
        <w:t>.</w:t>
      </w:r>
    </w:p>
    <w:p w14:paraId="1EE0BDCD" w14:textId="77777777" w:rsidR="00626889" w:rsidRPr="000A4CE1" w:rsidRDefault="000A4CE1" w:rsidP="00626889">
      <w:pPr>
        <w:pStyle w:val="ONUME"/>
      </w:pPr>
      <w:bookmarkStart w:id="7" w:name="_Hlk184821433"/>
      <w:bookmarkEnd w:id="5"/>
      <w:r w:rsidRPr="000A4CE1">
        <w:t>Объединение в составе международной пуб</w:t>
      </w:r>
      <w:bookmarkStart w:id="8" w:name="a"/>
      <w:bookmarkEnd w:id="8"/>
      <w:r w:rsidRPr="000A4CE1">
        <w:t xml:space="preserve">ликации отчета о международном поиске и (в соответствующих случаях) его перевода усложняет процесс, и такое усложнение уже не служит какой-то полезной практической цели. Напротив, оно может вызывать задержки в публикации и повторной публикации отчета. В том случае, когда </w:t>
      </w:r>
      <w:r w:rsidRPr="000A4CE1">
        <w:lastRenderedPageBreak/>
        <w:t>отчет о международном поиске получен после завершения подготовки международной публикации, но до даты публикации, международная заявка публикуется в виде документа с кодом А2, хотя отчет о международном поиске будет присутствовать в досье международной заявки в дату публикации; официальная публикация отчета о</w:t>
      </w:r>
      <w:r w:rsidR="00164606">
        <w:t> </w:t>
      </w:r>
      <w:r w:rsidRPr="000A4CE1">
        <w:t>международном поиске в виде документа с кодом А3 возможна только через некоторое время (сегодня этот период обычно составляет от трех до шести недель).</w:t>
      </w:r>
    </w:p>
    <w:p w14:paraId="2EDE316C" w14:textId="77777777" w:rsidR="00626889" w:rsidRPr="000A4CE1" w:rsidRDefault="000A4CE1" w:rsidP="00626889">
      <w:pPr>
        <w:pStyle w:val="Heading1"/>
      </w:pPr>
      <w:r w:rsidRPr="000A4CE1">
        <w:t>Подготовка и публикация основного текста заявки</w:t>
      </w:r>
    </w:p>
    <w:p w14:paraId="1D1ACECF" w14:textId="77777777" w:rsidR="00626889" w:rsidRPr="000A4CE1" w:rsidRDefault="000A4CE1" w:rsidP="00626889">
      <w:pPr>
        <w:pStyle w:val="ONUME"/>
      </w:pPr>
      <w:r w:rsidRPr="000A4CE1">
        <w:t xml:space="preserve">В настоящее время официальная публикация описания, формулы изобретения и чертежей имеет форму изображений в постраничном формате. Официальная публикация содержит </w:t>
      </w:r>
      <w:r w:rsidRPr="000A4CE1">
        <w:rPr>
          <w:lang w:val="en-US"/>
        </w:rPr>
        <w:t>XML</w:t>
      </w:r>
      <w:r w:rsidRPr="000A4CE1">
        <w:t xml:space="preserve">-файл, включающий данные, совпадающие с данными на титульном листе международной публикации, но основной текст заявки включается в него только путем отсылки к ряду черно-белых изображений в формате </w:t>
      </w:r>
      <w:r w:rsidRPr="000A4CE1">
        <w:rPr>
          <w:lang w:val="en-US"/>
        </w:rPr>
        <w:t>TIFF</w:t>
      </w:r>
      <w:r w:rsidRPr="000A4CE1">
        <w:t xml:space="preserve">, даже если международная заявка была подана и обработана в формате </w:t>
      </w:r>
      <w:r w:rsidRPr="000A4CE1">
        <w:rPr>
          <w:lang w:val="en-US"/>
        </w:rPr>
        <w:t>XML</w:t>
      </w:r>
      <w:r w:rsidRPr="000A4CE1">
        <w:t>.</w:t>
      </w:r>
    </w:p>
    <w:p w14:paraId="287C951F" w14:textId="77777777" w:rsidR="00F52176" w:rsidRPr="000A4CE1" w:rsidRDefault="000A4CE1" w:rsidP="00626889">
      <w:pPr>
        <w:pStyle w:val="ONUME"/>
      </w:pPr>
      <w:r w:rsidRPr="000A4CE1">
        <w:t xml:space="preserve">В настоящее время основной текст более половины международных заявок, поступающих в Международное бюро, выполнен в формате </w:t>
      </w:r>
      <w:r w:rsidRPr="000A4CE1">
        <w:rPr>
          <w:lang w:val="en-US"/>
        </w:rPr>
        <w:t>XML</w:t>
      </w:r>
      <w:r w:rsidRPr="000A4CE1">
        <w:t xml:space="preserve">. К ним относятся и заявки, первоначально поданные в формате </w:t>
      </w:r>
      <w:r w:rsidRPr="000A4CE1">
        <w:rPr>
          <w:lang w:val="en-US"/>
        </w:rPr>
        <w:t>XML</w:t>
      </w:r>
      <w:r w:rsidRPr="000A4CE1">
        <w:t xml:space="preserve">, в том числе загруженные в систему </w:t>
      </w:r>
      <w:proofErr w:type="spellStart"/>
      <w:r w:rsidRPr="000A4CE1">
        <w:rPr>
          <w:lang w:val="en-US"/>
        </w:rPr>
        <w:t>ePCT</w:t>
      </w:r>
      <w:proofErr w:type="spellEnd"/>
      <w:r w:rsidRPr="000A4CE1">
        <w:t xml:space="preserve"> в формате </w:t>
      </w:r>
      <w:r w:rsidRPr="000A4CE1">
        <w:rPr>
          <w:lang w:val="en-US"/>
        </w:rPr>
        <w:t>DOCX</w:t>
      </w:r>
      <w:r w:rsidRPr="000A4CE1">
        <w:t xml:space="preserve"> и автоматически преобразованные в формат </w:t>
      </w:r>
      <w:r w:rsidRPr="000A4CE1">
        <w:rPr>
          <w:lang w:val="en-US"/>
        </w:rPr>
        <w:t>XML</w:t>
      </w:r>
      <w:r w:rsidRPr="000A4CE1">
        <w:t xml:space="preserve">, предусмотренный стандартом ВОИС </w:t>
      </w:r>
      <w:r w:rsidRPr="000A4CE1">
        <w:rPr>
          <w:lang w:val="en-US"/>
        </w:rPr>
        <w:t>ST</w:t>
      </w:r>
      <w:r w:rsidRPr="000A4CE1">
        <w:t xml:space="preserve">.36, </w:t>
      </w:r>
      <w:r w:rsidR="00164606">
        <w:t>до их подачи</w:t>
      </w:r>
      <w:r w:rsidRPr="000A4CE1">
        <w:t xml:space="preserve">. К ним также относятся заявки, первоначально подаваемые в формате </w:t>
      </w:r>
      <w:r w:rsidRPr="000A4CE1">
        <w:rPr>
          <w:lang w:val="en-US"/>
        </w:rPr>
        <w:t>PDF</w:t>
      </w:r>
      <w:r w:rsidRPr="000A4CE1">
        <w:t xml:space="preserve"> в Китайское национальное управление интеллектуальной собственности как Получающее ведомство (</w:t>
      </w:r>
      <w:r w:rsidRPr="000A4CE1">
        <w:rPr>
          <w:lang w:val="en-US"/>
        </w:rPr>
        <w:t>RO</w:t>
      </w:r>
      <w:r w:rsidRPr="000A4CE1">
        <w:t>/</w:t>
      </w:r>
      <w:r w:rsidRPr="000A4CE1">
        <w:rPr>
          <w:lang w:val="en-US"/>
        </w:rPr>
        <w:t>CN</w:t>
      </w:r>
      <w:r w:rsidRPr="000A4CE1">
        <w:t xml:space="preserve">) и преобразуемые им в формат </w:t>
      </w:r>
      <w:r w:rsidRPr="000A4CE1">
        <w:rPr>
          <w:lang w:val="en-US"/>
        </w:rPr>
        <w:t>XML</w:t>
      </w:r>
      <w:r w:rsidRPr="000A4CE1">
        <w:t xml:space="preserve"> до пересылки регистрационного экземпляра в Международное бюро.</w:t>
      </w:r>
    </w:p>
    <w:p w14:paraId="4E718966" w14:textId="77777777" w:rsidR="00E13FD1" w:rsidRPr="000A4CE1" w:rsidRDefault="000A4CE1" w:rsidP="00E13FD1">
      <w:pPr>
        <w:pStyle w:val="Heading3"/>
        <w:rPr>
          <w:lang w:val="en-US"/>
        </w:rPr>
      </w:pPr>
      <w:r w:rsidRPr="000A4CE1">
        <w:t>Разметка изменений</w:t>
      </w:r>
    </w:p>
    <w:p w14:paraId="74B0DE4D" w14:textId="77777777" w:rsidR="00746CBA" w:rsidRPr="000A4CE1" w:rsidRDefault="000A4CE1" w:rsidP="00626889">
      <w:pPr>
        <w:pStyle w:val="ONUME"/>
      </w:pPr>
      <w:r w:rsidRPr="000A4CE1">
        <w:t xml:space="preserve">В рамках пилотного проекта (см. циркуляр </w:t>
      </w:r>
      <w:r w:rsidRPr="000A4CE1">
        <w:rPr>
          <w:lang w:val="en-US"/>
        </w:rPr>
        <w:t>C</w:t>
      </w:r>
      <w:r w:rsidRPr="000A4CE1">
        <w:t xml:space="preserve">. </w:t>
      </w:r>
      <w:r w:rsidRPr="000A4CE1">
        <w:rPr>
          <w:lang w:val="en-US"/>
        </w:rPr>
        <w:t>PCT</w:t>
      </w:r>
      <w:r w:rsidRPr="000A4CE1">
        <w:t xml:space="preserve"> 1656), который, как ожидается, вскоре будет официально утвержден в качестве стандартной процедуры, эти заявки затем обрабатываются Международным бюро в формате </w:t>
      </w:r>
      <w:r w:rsidRPr="000A4CE1">
        <w:rPr>
          <w:lang w:val="en-US"/>
        </w:rPr>
        <w:t>XML</w:t>
      </w:r>
      <w:r w:rsidRPr="000A4CE1">
        <w:t xml:space="preserve"> в ходе подготовки к публикации, включая разметку исправленных абзацев и рисунков, при которой метки, соответствующие штампам на заменяющих листах, предусмотренным разделом 325 Административной инструкции, даются на полях.</w:t>
      </w:r>
    </w:p>
    <w:p w14:paraId="404D1E6B" w14:textId="77777777" w:rsidR="00F52176" w:rsidRDefault="00625323" w:rsidP="001234A7">
      <w:pPr>
        <w:keepNext/>
      </w:pPr>
      <w:r w:rsidRPr="002476EA">
        <w:rPr>
          <w:noProof/>
          <w:lang w:eastAsia="ru-RU"/>
        </w:rPr>
        <w:drawing>
          <wp:inline distT="0" distB="0" distL="0" distR="0" wp14:anchorId="68B7CEC1" wp14:editId="5BF58C16">
            <wp:extent cx="5943600" cy="1314450"/>
            <wp:effectExtent l="0" t="0" r="0" b="0"/>
            <wp:docPr id="4" name="Picture 1" descr="На изображении показан пример того, как абзац, включающий исправление очевидной ошибки в соответствии с правилом 91, будет отображаться при визуализации страницы.  Правое поле содержит текст, ссылающийся на правило 91 и дату получения исправлен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На изображении показан пример того, как абзац, включающий исправление очевидной ошибки в соответствии с правилом 91, будет отображаться при визуализации страницы.  Правое поле содержит текст, ссылающийся на правило 91 и дату получения исправления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4BED1" w14:textId="77777777" w:rsidR="00F52176" w:rsidRPr="000A4CE1" w:rsidRDefault="000A4CE1" w:rsidP="00F52176">
      <w:r w:rsidRPr="000A4CE1">
        <w:rPr>
          <w:i/>
        </w:rPr>
        <w:t xml:space="preserve">Фрагмент примера исправленного абзаца в основном тексте заявки в формате </w:t>
      </w:r>
      <w:r w:rsidRPr="000A4CE1">
        <w:rPr>
          <w:i/>
          <w:lang w:val="en-US"/>
        </w:rPr>
        <w:t>XML</w:t>
      </w:r>
      <w:r w:rsidRPr="000A4CE1">
        <w:rPr>
          <w:i/>
        </w:rPr>
        <w:t xml:space="preserve"> на английском языке, представленного в постраничном формате</w:t>
      </w:r>
    </w:p>
    <w:p w14:paraId="0A6950DD" w14:textId="77777777" w:rsidR="00F52176" w:rsidRDefault="00625323" w:rsidP="001234A7">
      <w:pPr>
        <w:keepNext/>
      </w:pPr>
      <w:r w:rsidRPr="002476EA">
        <w:rPr>
          <w:noProof/>
          <w:lang w:eastAsia="ru-RU"/>
        </w:rPr>
        <w:drawing>
          <wp:inline distT="0" distB="0" distL="0" distR="0" wp14:anchorId="4C4A370F" wp14:editId="793C6D78">
            <wp:extent cx="5943600" cy="4495800"/>
            <wp:effectExtent l="0" t="0" r="0" b="0"/>
            <wp:docPr id="5" name="Picture 1" descr="В этом отрывке показан пример исправленной цифры в теле заявки и ее отображение на странице. На правом поле имеется текст, содержащий ссылку на правило 26 и дату представления исправлен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В этом отрывке показан пример исправленной цифры в теле заявки и ее отображение на странице. На правом поле имеется текст, содержащий ссылку на правило 26 и дату представления исправления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FE835" w14:textId="77777777" w:rsidR="00F52176" w:rsidRPr="000A4CE1" w:rsidRDefault="000A4CE1" w:rsidP="00F52176">
      <w:r w:rsidRPr="000A4CE1">
        <w:rPr>
          <w:i/>
        </w:rPr>
        <w:t xml:space="preserve">Фрагмент примера исправленного рисунка в основном тексте заявки в формате </w:t>
      </w:r>
      <w:r w:rsidRPr="000A4CE1">
        <w:rPr>
          <w:i/>
          <w:lang w:val="en-US"/>
        </w:rPr>
        <w:t>XML</w:t>
      </w:r>
      <w:r w:rsidRPr="000A4CE1">
        <w:rPr>
          <w:i/>
        </w:rPr>
        <w:t xml:space="preserve"> на китайском языке, представленного в постраничном формате</w:t>
      </w:r>
    </w:p>
    <w:p w14:paraId="658BFC63" w14:textId="77777777" w:rsidR="00F52176" w:rsidRPr="000A4CE1" w:rsidRDefault="00F52176" w:rsidP="00F52176"/>
    <w:p w14:paraId="465E5894" w14:textId="1F61F0F2" w:rsidR="00F52176" w:rsidRPr="000A4CE1" w:rsidRDefault="000A4CE1" w:rsidP="00626889">
      <w:pPr>
        <w:pStyle w:val="ONUME"/>
      </w:pPr>
      <w:r w:rsidRPr="000A4CE1">
        <w:t>Разметка не является идеальным решением для так</w:t>
      </w:r>
      <w:r w:rsidR="00164606">
        <w:t>их случаев</w:t>
      </w:r>
      <w:r w:rsidRPr="000A4CE1">
        <w:t xml:space="preserve">, поскольку она </w:t>
      </w:r>
      <w:r w:rsidR="00164606">
        <w:t>требует вставки</w:t>
      </w:r>
      <w:r w:rsidRPr="000A4CE1">
        <w:t xml:space="preserve"> текста</w:t>
      </w:r>
      <w:r w:rsidR="00650F84">
        <w:t xml:space="preserve">, </w:t>
      </w:r>
      <w:r w:rsidRPr="000A4CE1">
        <w:t>например «[Исправлено в соответствии с правилом 26 от 31.01.2023]»</w:t>
      </w:r>
      <w:r w:rsidR="00650F84">
        <w:t>,</w:t>
      </w:r>
      <w:r w:rsidRPr="000A4CE1">
        <w:t xml:space="preserve"> в начале соответствующих абзацев или внутри меток рисунков, сопровождающих чертежи, в</w:t>
      </w:r>
      <w:r w:rsidR="00164606">
        <w:t>нутри</w:t>
      </w:r>
      <w:r w:rsidRPr="000A4CE1">
        <w:t xml:space="preserve"> данных формата </w:t>
      </w:r>
      <w:r w:rsidRPr="000A4CE1">
        <w:rPr>
          <w:lang w:val="en-US"/>
        </w:rPr>
        <w:t>XML</w:t>
      </w:r>
      <w:r w:rsidRPr="000A4CE1">
        <w:t xml:space="preserve">. Международное бюро надеется перейти на новый формат </w:t>
      </w:r>
      <w:r w:rsidRPr="000A4CE1">
        <w:rPr>
          <w:lang w:val="en-US"/>
        </w:rPr>
        <w:t>XML</w:t>
      </w:r>
      <w:r w:rsidRPr="000A4CE1">
        <w:t xml:space="preserve">, в котором основная часть </w:t>
      </w:r>
      <w:r w:rsidRPr="000A4CE1">
        <w:rPr>
          <w:lang w:val="en-US"/>
        </w:rPr>
        <w:t>XML</w:t>
      </w:r>
      <w:r w:rsidRPr="000A4CE1">
        <w:t>-файла представляет собой «чистый» основной текст заявки с соответствующими исправлениями или дополнениями, с информацией на полях, генерируемой на основе содержания раздела изменений, и показывающей, какие части основного текста заявки изменились с момента подачи и, возможно, прежнее</w:t>
      </w:r>
      <w:r w:rsidR="00164606">
        <w:t>,</w:t>
      </w:r>
      <w:r w:rsidRPr="000A4CE1">
        <w:t xml:space="preserve"> замененное </w:t>
      </w:r>
      <w:r w:rsidR="00164606">
        <w:t xml:space="preserve">ими </w:t>
      </w:r>
      <w:r w:rsidRPr="000A4CE1">
        <w:t xml:space="preserve">содержание, что позволит легко сопоставлять первоначальное и </w:t>
      </w:r>
      <w:r w:rsidR="00164606">
        <w:t>за</w:t>
      </w:r>
      <w:r w:rsidRPr="000A4CE1">
        <w:t>мененное содержание.</w:t>
      </w:r>
    </w:p>
    <w:p w14:paraId="2C78EDD9" w14:textId="77777777" w:rsidR="00E13FD1" w:rsidRPr="000A4CE1" w:rsidRDefault="000A4CE1" w:rsidP="00E13FD1">
      <w:pPr>
        <w:pStyle w:val="Heading3"/>
      </w:pPr>
      <w:r w:rsidRPr="000A4CE1">
        <w:t>Полный текст и цветные чертежи</w:t>
      </w:r>
    </w:p>
    <w:p w14:paraId="36496DA2" w14:textId="77777777" w:rsidR="00C54343" w:rsidRPr="000A4CE1" w:rsidRDefault="000A4CE1" w:rsidP="00626889">
      <w:pPr>
        <w:pStyle w:val="ONUME"/>
      </w:pPr>
      <w:r w:rsidRPr="000A4CE1">
        <w:t xml:space="preserve">Заявки в формате </w:t>
      </w:r>
      <w:r w:rsidRPr="000A4CE1">
        <w:rPr>
          <w:lang w:val="en-US"/>
        </w:rPr>
        <w:t>XML</w:t>
      </w:r>
      <w:r w:rsidRPr="000A4CE1">
        <w:t xml:space="preserve"> уже обрабатываются в формате </w:t>
      </w:r>
      <w:r w:rsidRPr="000A4CE1">
        <w:rPr>
          <w:lang w:val="en-US"/>
        </w:rPr>
        <w:t>XML</w:t>
      </w:r>
      <w:r w:rsidRPr="000A4CE1">
        <w:t xml:space="preserve">, со ссылками на конкретные рисунки, полученные в составе регистрационного экземпляра. В рамках подготовки к публикации создается текстовый </w:t>
      </w:r>
      <w:r w:rsidRPr="000A4CE1">
        <w:rPr>
          <w:lang w:val="en-US"/>
        </w:rPr>
        <w:t>PDF</w:t>
      </w:r>
      <w:r w:rsidRPr="000A4CE1">
        <w:t xml:space="preserve">-файл, который также включает цветные рисунки, если они имелись в составе регистрационного экземпляра и не были заменены в ходе исправления. Затем текстовый </w:t>
      </w:r>
      <w:r w:rsidRPr="000A4CE1">
        <w:rPr>
          <w:lang w:val="en-US"/>
        </w:rPr>
        <w:t>PDF</w:t>
      </w:r>
      <w:r w:rsidRPr="000A4CE1">
        <w:t xml:space="preserve">-файл </w:t>
      </w:r>
      <w:r w:rsidR="00164606">
        <w:t xml:space="preserve">переводится в </w:t>
      </w:r>
      <w:r w:rsidRPr="000A4CE1">
        <w:t>«</w:t>
      </w:r>
      <w:r w:rsidR="00164606">
        <w:t>плоский</w:t>
      </w:r>
      <w:r w:rsidRPr="000A4CE1">
        <w:t>»</w:t>
      </w:r>
      <w:r w:rsidR="00164606">
        <w:t xml:space="preserve"> формат</w:t>
      </w:r>
      <w:r w:rsidRPr="000A4CE1">
        <w:t xml:space="preserve">, приобретая вид ряда черно-белых изображений в формате </w:t>
      </w:r>
      <w:r w:rsidRPr="000A4CE1">
        <w:rPr>
          <w:lang w:val="en-US"/>
        </w:rPr>
        <w:t>TIFF</w:t>
      </w:r>
      <w:r w:rsidRPr="000A4CE1">
        <w:t xml:space="preserve">, ссылки на которые содержатся в файле </w:t>
      </w:r>
      <w:r w:rsidRPr="00164606">
        <w:rPr>
          <w:i/>
          <w:lang w:val="en-US"/>
        </w:rPr>
        <w:t>wo</w:t>
      </w:r>
      <w:r w:rsidRPr="00164606">
        <w:rPr>
          <w:i/>
        </w:rPr>
        <w:t>-</w:t>
      </w:r>
      <w:r w:rsidRPr="00164606">
        <w:rPr>
          <w:i/>
          <w:lang w:val="en-US"/>
        </w:rPr>
        <w:t>published</w:t>
      </w:r>
      <w:r w:rsidRPr="00164606">
        <w:rPr>
          <w:i/>
        </w:rPr>
        <w:t>-</w:t>
      </w:r>
      <w:r w:rsidRPr="00164606">
        <w:rPr>
          <w:i/>
          <w:lang w:val="en-US"/>
        </w:rPr>
        <w:t>application</w:t>
      </w:r>
      <w:r w:rsidRPr="00164606">
        <w:rPr>
          <w:i/>
        </w:rPr>
        <w:t>.</w:t>
      </w:r>
      <w:r w:rsidRPr="00164606">
        <w:rPr>
          <w:i/>
          <w:lang w:val="en-US"/>
        </w:rPr>
        <w:t>xml</w:t>
      </w:r>
      <w:r w:rsidRPr="000A4CE1">
        <w:t xml:space="preserve"> (который, как отмечалось выше, содержит библиографические данные с титульного листа в структурированном формате, а также ссылку на изображение титульного листа).</w:t>
      </w:r>
    </w:p>
    <w:p w14:paraId="39FFA47D" w14:textId="77777777" w:rsidR="00F029CA" w:rsidRPr="000A4CE1" w:rsidRDefault="000A4CE1" w:rsidP="002D1593">
      <w:pPr>
        <w:pStyle w:val="ONUME"/>
      </w:pPr>
      <w:r w:rsidRPr="000A4CE1">
        <w:t xml:space="preserve">Международное бюро хотело бы в конечном счете представлять текстовый файл формата </w:t>
      </w:r>
      <w:r w:rsidRPr="000A4CE1">
        <w:rPr>
          <w:lang w:val="en-US"/>
        </w:rPr>
        <w:t>XML</w:t>
      </w:r>
      <w:r w:rsidRPr="000A4CE1">
        <w:t xml:space="preserve"> как часть официальной международной публикации – по крайней мере в тех случаях, когда основной текст заявки внутри регистрационного экземпляра был </w:t>
      </w:r>
      <w:r w:rsidR="00164606">
        <w:t xml:space="preserve">выполнен </w:t>
      </w:r>
      <w:r w:rsidRPr="000A4CE1">
        <w:t xml:space="preserve">в формате </w:t>
      </w:r>
      <w:r w:rsidRPr="000A4CE1">
        <w:rPr>
          <w:lang w:val="en-US"/>
        </w:rPr>
        <w:t>XML</w:t>
      </w:r>
      <w:r w:rsidRPr="000A4CE1">
        <w:t>.</w:t>
      </w:r>
    </w:p>
    <w:p w14:paraId="1F561193" w14:textId="1082DF33" w:rsidR="002D1593" w:rsidRPr="000A4CE1" w:rsidRDefault="000A4CE1" w:rsidP="002D1593">
      <w:pPr>
        <w:pStyle w:val="ONUME"/>
      </w:pPr>
      <w:r w:rsidRPr="000A4CE1">
        <w:t>Хотя официальное отображение заявки по-прежнему будет постраничным, наличие официальной публикации основного текста заявки в текстовом формате упростит перенос полного текста в базы данных, используемые на национальной фазе, и в базы данных патентной информации. Это также упростит представление основного текста заявки в различных форматах, необходимых пользователю</w:t>
      </w:r>
      <w:r w:rsidR="00650F84">
        <w:t>:</w:t>
      </w:r>
      <w:r w:rsidRPr="000A4CE1">
        <w:t xml:space="preserve"> он сможет</w:t>
      </w:r>
      <w:r w:rsidR="00650F84">
        <w:t>, к примеру,</w:t>
      </w:r>
      <w:r w:rsidRPr="000A4CE1">
        <w:t xml:space="preserve"> просматривать описание и формулу изобретения в отдельном масштабируемом окне с параллельным отображением чертежей и ссылок на них для удобства работы, а также, возможно, параллельно просматривать цитируемые документы, пользуясь ссылками из отчета о поиске в формате </w:t>
      </w:r>
      <w:r w:rsidRPr="000A4CE1">
        <w:rPr>
          <w:lang w:val="en-US"/>
        </w:rPr>
        <w:t>XML</w:t>
      </w:r>
      <w:r w:rsidR="00164606">
        <w:t xml:space="preserve">, </w:t>
      </w:r>
      <w:r w:rsidR="00164606" w:rsidRPr="000A4CE1">
        <w:t>в отдельном документе</w:t>
      </w:r>
      <w:r w:rsidRPr="000A4CE1">
        <w:t>.</w:t>
      </w:r>
    </w:p>
    <w:p w14:paraId="43ECF6CA" w14:textId="77777777" w:rsidR="002D1593" w:rsidRPr="000A4CE1" w:rsidRDefault="000A4CE1" w:rsidP="00626889">
      <w:pPr>
        <w:pStyle w:val="ONUME"/>
      </w:pPr>
      <w:r w:rsidRPr="000A4CE1">
        <w:t xml:space="preserve">В качестве промежуточного этапа, в тех случаях, когда международная заявка обрабатывается в формате </w:t>
      </w:r>
      <w:r w:rsidRPr="000A4CE1">
        <w:rPr>
          <w:lang w:val="en-US"/>
        </w:rPr>
        <w:t>XML</w:t>
      </w:r>
      <w:r w:rsidRPr="000A4CE1">
        <w:t xml:space="preserve">, планируется вскоре предоставлять полнотекстовый </w:t>
      </w:r>
      <w:r w:rsidRPr="000A4CE1">
        <w:rPr>
          <w:lang w:val="en-US"/>
        </w:rPr>
        <w:t>PDF</w:t>
      </w:r>
      <w:r w:rsidRPr="000A4CE1">
        <w:t xml:space="preserve"> (включая цветные чертежи, если таковые имеются) в качестве неофициальной части пакета документов, направляемого для публикации соответствующих заявок, в формате, который ранее использовался для копий документов, получаемых путем оптического распознавания изображений. Практика направления результатов оптического распознавания изображений в составе пакета материалов для публикации была прекращена, поскольку качество распознавания было признано недостаточно высоким, чтобы его можно было использовать для целей официальной публикации, но для заявок в формате </w:t>
      </w:r>
      <w:r w:rsidRPr="000A4CE1">
        <w:rPr>
          <w:lang w:val="en-US"/>
        </w:rPr>
        <w:t>XML</w:t>
      </w:r>
      <w:r w:rsidRPr="000A4CE1">
        <w:t xml:space="preserve"> текстовое содержание будет заведомо идентичным изображениям, поскольку оно было исходным материалом для их создания.</w:t>
      </w:r>
    </w:p>
    <w:p w14:paraId="74C47AAC" w14:textId="77777777" w:rsidR="00F029CA" w:rsidRPr="000A4CE1" w:rsidRDefault="000A4CE1" w:rsidP="00F029CA">
      <w:pPr>
        <w:pStyle w:val="Heading1"/>
      </w:pPr>
      <w:r w:rsidRPr="000A4CE1">
        <w:t>Разделение отчета о международном поиске и заявлений, предусмотренных статьей 19</w:t>
      </w:r>
    </w:p>
    <w:p w14:paraId="30A309C7" w14:textId="77777777" w:rsidR="00F029CA" w:rsidRPr="000A4CE1" w:rsidRDefault="000A4CE1" w:rsidP="00626889">
      <w:pPr>
        <w:pStyle w:val="ONUME"/>
      </w:pPr>
      <w:r w:rsidRPr="000A4CE1">
        <w:t>В настоящее время сообщения, упоминаемые в правиле 4.17, указания в отношении депонированного биологического материала и различные другие материалы, упоминаемые в пунктах (</w:t>
      </w:r>
      <w:r w:rsidRPr="000A4CE1">
        <w:rPr>
          <w:lang w:val="en-US"/>
        </w:rPr>
        <w:t>vii</w:t>
      </w:r>
      <w:r w:rsidRPr="000A4CE1">
        <w:t>)-(</w:t>
      </w:r>
      <w:r w:rsidRPr="000A4CE1">
        <w:rPr>
          <w:lang w:val="en-US"/>
        </w:rPr>
        <w:t>xi</w:t>
      </w:r>
      <w:r w:rsidRPr="000A4CE1">
        <w:t>) правила 48.2(</w:t>
      </w:r>
      <w:r w:rsidRPr="000A4CE1">
        <w:rPr>
          <w:lang w:val="en-US"/>
        </w:rPr>
        <w:t>a</w:t>
      </w:r>
      <w:r w:rsidRPr="000A4CE1">
        <w:t xml:space="preserve">), входят в состав международной публикации, но публикуются в виде файлов, отдельных от основной публикации, имеющей вид документов с кодом </w:t>
      </w:r>
      <w:r w:rsidRPr="000A4CE1">
        <w:rPr>
          <w:lang w:val="en-US"/>
        </w:rPr>
        <w:t>A</w:t>
      </w:r>
      <w:r w:rsidRPr="000A4CE1">
        <w:t xml:space="preserve">1 или </w:t>
      </w:r>
      <w:r w:rsidRPr="000A4CE1">
        <w:rPr>
          <w:lang w:val="en-US"/>
        </w:rPr>
        <w:t>A</w:t>
      </w:r>
      <w:r w:rsidRPr="000A4CE1">
        <w:t>2, с помещением ссылок на них на титульном листе.</w:t>
      </w:r>
    </w:p>
    <w:p w14:paraId="79BAE358" w14:textId="77777777" w:rsidR="00CB141F" w:rsidRPr="000A4CE1" w:rsidRDefault="000A4CE1" w:rsidP="00626889">
      <w:pPr>
        <w:pStyle w:val="ONUME"/>
      </w:pPr>
      <w:r w:rsidRPr="000A4CE1">
        <w:t>С другой стороны, отчет о международном поиске и заявления, направляемые в соответствии со статьей 19(1)</w:t>
      </w:r>
      <w:r w:rsidR="00CB4DF7">
        <w:rPr>
          <w:rStyle w:val="FootnoteReference"/>
        </w:rPr>
        <w:footnoteReference w:id="2"/>
      </w:r>
      <w:r w:rsidRPr="000A4CE1">
        <w:t>,</w:t>
      </w:r>
      <w:r w:rsidR="001234A7" w:rsidRPr="000A4CE1">
        <w:t xml:space="preserve"> </w:t>
      </w:r>
      <w:r w:rsidRPr="000A4CE1">
        <w:t xml:space="preserve">по-прежнему входят в состав «брошюрной» части международной публикации. Хотя важно обеспечивать доступность этих документов как для указанных ведомств, так и для пользователей патентной информации, большинство заинтересованных сторон используют основной текст заявки, отчет о международном поиске и заявления, предусмотренные статьей 19, по-разному, так что, скорее всего, им будет удобно </w:t>
      </w:r>
      <w:r w:rsidR="00164606">
        <w:t xml:space="preserve">получить </w:t>
      </w:r>
      <w:r w:rsidRPr="000A4CE1">
        <w:t>возможность просматривать их параллельно, а не в составе единого документа, выполненного в графическом формате.</w:t>
      </w:r>
    </w:p>
    <w:p w14:paraId="11B08ED3" w14:textId="77777777" w:rsidR="00202666" w:rsidRPr="000A4CE1" w:rsidRDefault="000A4CE1" w:rsidP="00626889">
      <w:pPr>
        <w:pStyle w:val="ONUME"/>
      </w:pPr>
      <w:bookmarkStart w:id="9" w:name="_Ref185256943"/>
      <w:r w:rsidRPr="000A4CE1">
        <w:t xml:space="preserve">Кроме того, желательно, чтобы пользователи получали новые возможности, дающие им реальные преимущества, связанные с использованием </w:t>
      </w:r>
      <w:r w:rsidR="00164606">
        <w:t xml:space="preserve">действующего </w:t>
      </w:r>
      <w:r w:rsidRPr="000A4CE1">
        <w:t xml:space="preserve">формата </w:t>
      </w:r>
      <w:r w:rsidRPr="000A4CE1">
        <w:rPr>
          <w:lang w:val="en-US"/>
        </w:rPr>
        <w:t>XML</w:t>
      </w:r>
      <w:r w:rsidRPr="000A4CE1">
        <w:t xml:space="preserve">, включая представление документов на других языках и формирование ссылок на цитируемые документы. Примером таких возможностей может служить вкладка </w:t>
      </w:r>
      <w:r w:rsidRPr="000A4CE1">
        <w:rPr>
          <w:lang w:val="en-US"/>
        </w:rPr>
        <w:t>ISR</w:t>
      </w:r>
      <w:r w:rsidRPr="000A4CE1">
        <w:t>/</w:t>
      </w:r>
      <w:r w:rsidRPr="000A4CE1">
        <w:rPr>
          <w:lang w:val="en-US"/>
        </w:rPr>
        <w:t>WOSA</w:t>
      </w:r>
      <w:r w:rsidRPr="000A4CE1">
        <w:t>/</w:t>
      </w:r>
      <w:r w:rsidRPr="000A4CE1">
        <w:rPr>
          <w:lang w:val="en-US"/>
        </w:rPr>
        <w:t>A</w:t>
      </w:r>
      <w:r w:rsidRPr="000A4CE1">
        <w:t>17(2)(</w:t>
      </w:r>
      <w:r w:rsidRPr="000A4CE1">
        <w:rPr>
          <w:lang w:val="en-US"/>
        </w:rPr>
        <w:t>a</w:t>
      </w:r>
      <w:r w:rsidRPr="000A4CE1">
        <w:t xml:space="preserve">) в системе </w:t>
      </w:r>
      <w:r w:rsidRPr="000A4CE1">
        <w:rPr>
          <w:lang w:val="en-US"/>
        </w:rPr>
        <w:t>PATENTSCOPE</w:t>
      </w:r>
      <w:r w:rsidRPr="000A4CE1">
        <w:t xml:space="preserve">, где пользователь может просматривать отчет о международном поиске и письменное заключение в формате </w:t>
      </w:r>
      <w:r w:rsidRPr="000A4CE1">
        <w:rPr>
          <w:lang w:val="en-US"/>
        </w:rPr>
        <w:t>HTML</w:t>
      </w:r>
      <w:r w:rsidRPr="000A4CE1">
        <w:t xml:space="preserve"> на основе исходного файла </w:t>
      </w:r>
      <w:r w:rsidRPr="000A4CE1">
        <w:rPr>
          <w:lang w:val="en-US"/>
        </w:rPr>
        <w:t>XML</w:t>
      </w:r>
      <w:r w:rsidRPr="000A4CE1">
        <w:t xml:space="preserve"> на языке оригинала, их официальные переводы на английский язык, если таковые имеются, или машинный перевод на любой из остальных 10 языков публикации, как показано ниже. Здесь можно также </w:t>
      </w:r>
      <w:r w:rsidR="00164606">
        <w:t>просматривать ссылки</w:t>
      </w:r>
      <w:r w:rsidRPr="000A4CE1">
        <w:t xml:space="preserve"> на патентные документы и некоторые виды непатентной литературы.</w:t>
      </w:r>
    </w:p>
    <w:p w14:paraId="3D63DED6" w14:textId="77777777" w:rsidR="00202666" w:rsidRDefault="00625323" w:rsidP="00F47AFF">
      <w:pPr>
        <w:pStyle w:val="ONUME"/>
        <w:keepNext/>
        <w:numPr>
          <w:ilvl w:val="0"/>
          <w:numId w:val="0"/>
        </w:numPr>
      </w:pPr>
      <w:r w:rsidRPr="002476EA">
        <w:rPr>
          <w:noProof/>
          <w:lang w:eastAsia="ru-RU"/>
        </w:rPr>
        <w:drawing>
          <wp:inline distT="0" distB="0" distL="0" distR="0" wp14:anchorId="68386065" wp14:editId="4BC256AB">
            <wp:extent cx="3810000" cy="4438650"/>
            <wp:effectExtent l="0" t="0" r="0" b="0"/>
            <wp:docPr id="6" name="Picture 1" descr="На этом снимке экрана показано, как пользователь может выбрать язык оригинала, официальный перевод PCT или машинный перевод ВОИС для просмотра полнотекстовой версии отчета о международном поиске в PATENTSCOP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На этом снимке экрана показано, как пользователь может выбрать язык оригинала, официальный перевод PCT или машинный перевод ВОИС для просмотра полнотекстовой версии отчета о международном поиске в PATENTSCOPE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89BB2" w14:textId="77777777" w:rsidR="0062228E" w:rsidRPr="000A4CE1" w:rsidRDefault="000A4CE1" w:rsidP="00F47AFF">
      <w:pPr>
        <w:pStyle w:val="ONUME"/>
        <w:numPr>
          <w:ilvl w:val="0"/>
          <w:numId w:val="0"/>
        </w:numPr>
        <w:rPr>
          <w:i/>
          <w:iCs/>
        </w:rPr>
      </w:pPr>
      <w:r w:rsidRPr="000A4CE1">
        <w:rPr>
          <w:i/>
        </w:rPr>
        <w:t xml:space="preserve">Выбор предпочитаемого языка для просмотра полнотекстовой версии отчета о международном поиске в системе </w:t>
      </w:r>
      <w:r w:rsidRPr="000A4CE1">
        <w:rPr>
          <w:i/>
          <w:lang w:val="en-US"/>
        </w:rPr>
        <w:t>PATENTSCOPE</w:t>
      </w:r>
    </w:p>
    <w:bookmarkEnd w:id="9"/>
    <w:p w14:paraId="3729E158" w14:textId="77777777" w:rsidR="00CB141F" w:rsidRPr="000A4CE1" w:rsidRDefault="000A4CE1" w:rsidP="00626889">
      <w:pPr>
        <w:pStyle w:val="ONUME"/>
      </w:pPr>
      <w:r w:rsidRPr="000A4CE1">
        <w:t xml:space="preserve">Планируется, что различные документы в формате </w:t>
      </w:r>
      <w:r w:rsidRPr="000A4CE1">
        <w:rPr>
          <w:lang w:val="en-US"/>
        </w:rPr>
        <w:t>XML</w:t>
      </w:r>
      <w:r w:rsidRPr="000A4CE1">
        <w:t xml:space="preserve">, входящие в состав заявки, такие как основной текст заявки, отчет о международном поиске и декларации, будут составлять отдельные </w:t>
      </w:r>
      <w:r w:rsidRPr="000A4CE1">
        <w:rPr>
          <w:lang w:val="en-US"/>
        </w:rPr>
        <w:t>XML</w:t>
      </w:r>
      <w:r w:rsidRPr="000A4CE1">
        <w:t xml:space="preserve">-файлы. Хотя в принципе было бы возможно создать единый </w:t>
      </w:r>
      <w:r w:rsidRPr="000A4CE1">
        <w:rPr>
          <w:lang w:val="en-US"/>
        </w:rPr>
        <w:t>XML</w:t>
      </w:r>
      <w:r w:rsidRPr="000A4CE1">
        <w:t xml:space="preserve">-документ или пакет документов, содержащий все компоненты международной публикации, чтобы он направлялся как единый </w:t>
      </w:r>
      <w:r w:rsidRPr="000A4CE1">
        <w:rPr>
          <w:lang w:val="en-US"/>
        </w:rPr>
        <w:t>PDF</w:t>
      </w:r>
      <w:r w:rsidRPr="000A4CE1">
        <w:t xml:space="preserve">-документ, эквивалентный «брошюре», это значительно усложнило бы системы, применяемые для обработки международных публикаций. В этом случае необходимо было бы учитывать то, что не все компоненты публикации поступают в формате </w:t>
      </w:r>
      <w:r w:rsidRPr="000A4CE1">
        <w:rPr>
          <w:lang w:val="en-US"/>
        </w:rPr>
        <w:t>XML</w:t>
      </w:r>
      <w:r w:rsidRPr="000A4CE1">
        <w:t xml:space="preserve">, </w:t>
      </w:r>
      <w:r w:rsidR="00164606">
        <w:t xml:space="preserve">а также </w:t>
      </w:r>
      <w:r w:rsidRPr="000A4CE1">
        <w:t xml:space="preserve">различия в форматах файлов </w:t>
      </w:r>
      <w:r w:rsidRPr="000A4CE1">
        <w:rPr>
          <w:lang w:val="en-US"/>
        </w:rPr>
        <w:t>XML</w:t>
      </w:r>
      <w:r w:rsidRPr="000A4CE1">
        <w:t xml:space="preserve">, поступающих от разных ведомств, и различия версий </w:t>
      </w:r>
      <w:r w:rsidRPr="000A4CE1">
        <w:rPr>
          <w:lang w:val="en-US"/>
        </w:rPr>
        <w:t>XML</w:t>
      </w:r>
      <w:r w:rsidRPr="000A4CE1">
        <w:t>, которые используются в разные моменты при подаче заявки. Подход, при котором составные части международной публикации остаются отдельными оригинальными документами, позволит оптимизировать обработку каждой части без риска непредвиденных последствий для других частей процесса публикации.</w:t>
      </w:r>
    </w:p>
    <w:p w14:paraId="5CB6B31A" w14:textId="77777777" w:rsidR="00D33823" w:rsidRPr="000A4CE1" w:rsidRDefault="000A4CE1" w:rsidP="00626889">
      <w:pPr>
        <w:pStyle w:val="ONUME"/>
      </w:pPr>
      <w:r w:rsidRPr="000A4CE1">
        <w:t>Таким образом, выделение отчета о международном поиске (или декларации, предусмотренной статьей 17(2)(а)) и, возможно, заявлений, направляемых в соответствии со статьей 19(1), в отдельные документы упростит процесс публикации и облегчит использование информации различными пользователями.</w:t>
      </w:r>
    </w:p>
    <w:p w14:paraId="6801C6E2" w14:textId="77777777" w:rsidR="00BC4AF4" w:rsidRPr="000A4CE1" w:rsidRDefault="000A4CE1" w:rsidP="00BD6552">
      <w:pPr>
        <w:pStyle w:val="Heading1"/>
        <w:keepLines/>
      </w:pPr>
      <w:r w:rsidRPr="000A4CE1">
        <w:t>Сроки сдачи и поступления материалов</w:t>
      </w:r>
    </w:p>
    <w:p w14:paraId="2737AF29" w14:textId="77777777" w:rsidR="00BC4AF4" w:rsidRPr="000A4CE1" w:rsidRDefault="000A4CE1" w:rsidP="00BD6552">
      <w:pPr>
        <w:pStyle w:val="ONUME"/>
        <w:keepNext/>
        <w:keepLines/>
      </w:pPr>
      <w:r w:rsidRPr="000A4CE1">
        <w:t>Эти предложения не имеют своей целью оказать какое-либо существенное влияние на содержание различных частей международной публикации или сроки их публикации. В</w:t>
      </w:r>
      <w:r w:rsidR="00164606">
        <w:t> </w:t>
      </w:r>
      <w:r w:rsidRPr="000A4CE1">
        <w:t xml:space="preserve">частности, система по-прежнему должна будет обеспечивать своевременную подготовку как отчета о международном поиске, так и любых необходимых переводов документов на английский язык, с тем, чтобы они имелись в наличии на дату международной публикации, или, если это невозможно, публиковались как можно скорее после нее. Содержание переведенных отчетов о поиске будет по-прежнему включать те же материалы, то есть, как минимум, блоки </w:t>
      </w:r>
      <w:r w:rsidRPr="000A4CE1">
        <w:rPr>
          <w:lang w:val="en-US"/>
        </w:rPr>
        <w:t>II</w:t>
      </w:r>
      <w:r w:rsidRPr="000A4CE1">
        <w:t xml:space="preserve"> и </w:t>
      </w:r>
      <w:r w:rsidRPr="000A4CE1">
        <w:rPr>
          <w:lang w:val="en-US"/>
        </w:rPr>
        <w:t>III</w:t>
      </w:r>
      <w:r w:rsidRPr="000A4CE1">
        <w:t xml:space="preserve"> формы </w:t>
      </w:r>
      <w:r w:rsidRPr="000A4CE1">
        <w:rPr>
          <w:lang w:val="en-US"/>
        </w:rPr>
        <w:t>PCT</w:t>
      </w:r>
      <w:r w:rsidRPr="000A4CE1">
        <w:t>/</w:t>
      </w:r>
      <w:r w:rsidRPr="000A4CE1">
        <w:rPr>
          <w:lang w:val="en-US"/>
        </w:rPr>
        <w:t>ISA</w:t>
      </w:r>
      <w:r w:rsidRPr="000A4CE1">
        <w:t>/210 (если таковые используются), содержащие соответствующие замечания в случаях, когда какие-то пункты формулы изобретения были признаны непригодными для поиска, и замечания об отсутствии единства изобретения, дополнительно ко «второму листу» с подробными данными об области поиска, документах, признанных релевантными, и членах патентного семейства.</w:t>
      </w:r>
    </w:p>
    <w:p w14:paraId="1E477051" w14:textId="77777777" w:rsidR="00D33823" w:rsidRDefault="000A4CE1" w:rsidP="00D33823">
      <w:pPr>
        <w:pStyle w:val="Heading1"/>
      </w:pPr>
      <w:r>
        <w:t>официальные повторные публикации</w:t>
      </w:r>
    </w:p>
    <w:p w14:paraId="35ACA4A6" w14:textId="77777777" w:rsidR="001234A7" w:rsidRPr="007F6BEB" w:rsidRDefault="00164606" w:rsidP="00626889">
      <w:pPr>
        <w:pStyle w:val="ONUME"/>
      </w:pPr>
      <w:r>
        <w:t>Поскольку</w:t>
      </w:r>
      <w:r w:rsidR="007F6BEB" w:rsidRPr="007F6BEB">
        <w:t xml:space="preserve"> в статье 21(3) содержится конкретное требование о публикации отчета о международном поиске, предполагается, что первая международная публикация по-прежнему будет регистрироваться как документ с кодом </w:t>
      </w:r>
      <w:r w:rsidR="007F6BEB" w:rsidRPr="007F6BEB">
        <w:rPr>
          <w:lang w:val="en-US"/>
        </w:rPr>
        <w:t>A</w:t>
      </w:r>
      <w:r w:rsidR="007F6BEB" w:rsidRPr="007F6BEB">
        <w:t xml:space="preserve">1 или </w:t>
      </w:r>
      <w:r w:rsidR="007F6BEB" w:rsidRPr="007F6BEB">
        <w:rPr>
          <w:lang w:val="en-US"/>
        </w:rPr>
        <w:t>A</w:t>
      </w:r>
      <w:r w:rsidR="007F6BEB" w:rsidRPr="007F6BEB">
        <w:t>2, в зависимости от наличия отчета о международном поиске (или декларации, предусмотренной статьей 17(2)(</w:t>
      </w:r>
      <w:r w:rsidR="007F6BEB" w:rsidRPr="007F6BEB">
        <w:rPr>
          <w:lang w:val="en-US"/>
        </w:rPr>
        <w:t>a</w:t>
      </w:r>
      <w:r w:rsidR="007F6BEB" w:rsidRPr="007F6BEB">
        <w:t>)) и любого требуемого перевода к моменту публикации. Если документ публикуется с кодом А2, то после подготовки отчета и перевода следует публикация с кодом А3. Однако основной повторн</w:t>
      </w:r>
      <w:r>
        <w:t>о</w:t>
      </w:r>
      <w:r w:rsidR="007F6BEB" w:rsidRPr="007F6BEB">
        <w:t xml:space="preserve"> публикуемый документ будет состоять только из титульного листа с пометкой о наличии отчета о международном поиске с соответствующими уточнениями названия, реферата и классификационных данных, отражающими любые изменения в отчете, если таковые имели место. Как это происходит и сегодня, отчет о международном поиске и любой его перевод будут доступны в дату международной публикации или как можно скорее после этого, хотя документ с кодом А3, фиксирующий их официальную публикацию, может быть опубликован только через несколько недель.</w:t>
      </w:r>
    </w:p>
    <w:p w14:paraId="3B354A40" w14:textId="77777777" w:rsidR="009047D3" w:rsidRPr="007F6BEB" w:rsidRDefault="007F6BEB" w:rsidP="00626889">
      <w:pPr>
        <w:pStyle w:val="ONUME"/>
      </w:pPr>
      <w:r w:rsidRPr="007F6BEB">
        <w:t>Другие повторные публикации, необходимые в различных случаях, таких как получение поправок, предусмотренных статьей 19, и исправление ошибок, будут выполняться так же, как в настоящее время. Однако основной документ будет состоять только из нового титульного листа и связанных с ним данных, за исключением случаев, когда повторная публикация связана с изменением основного текста заявки (включая поправки, предусмотренные статьей 19).</w:t>
      </w:r>
    </w:p>
    <w:p w14:paraId="066E39D8" w14:textId="77777777" w:rsidR="003A70E5" w:rsidRPr="007F6BEB" w:rsidRDefault="007F6BEB" w:rsidP="00626889">
      <w:pPr>
        <w:pStyle w:val="ONUME"/>
      </w:pPr>
      <w:r w:rsidRPr="007F6BEB">
        <w:t xml:space="preserve">Хочется надеяться, что упрощение процедур позволит утверждать больше отчетов о поиске и их переводов после первой публикации, а также сократить сроки повторной публикации, чтобы оригиналы документов, после соответствующих действий, </w:t>
      </w:r>
      <w:r w:rsidR="00164606">
        <w:t>были доступны</w:t>
      </w:r>
      <w:r w:rsidRPr="007F6BEB">
        <w:t xml:space="preserve"> быстрее, чем это происходит сегодня, при обеспечении и в дальнейшем надлежащей регистрации ключевых действий в Бюллетене </w:t>
      </w:r>
      <w:r w:rsidRPr="007F6BEB">
        <w:rPr>
          <w:lang w:val="en-US"/>
        </w:rPr>
        <w:t>PCT</w:t>
      </w:r>
      <w:r w:rsidRPr="007F6BEB">
        <w:t xml:space="preserve"> и удобства ознакомления с ними заинтересованных сторон.</w:t>
      </w:r>
    </w:p>
    <w:p w14:paraId="4DADB69C" w14:textId="77777777" w:rsidR="00F029CA" w:rsidRDefault="007F6BEB" w:rsidP="00F029CA">
      <w:pPr>
        <w:pStyle w:val="Heading1"/>
      </w:pPr>
      <w:r w:rsidRPr="007F6BEB">
        <w:t>Реализация изменений</w:t>
      </w:r>
    </w:p>
    <w:p w14:paraId="1C435FC8" w14:textId="77777777" w:rsidR="00F029CA" w:rsidRPr="007F6BEB" w:rsidRDefault="007F6BEB" w:rsidP="00626889">
      <w:pPr>
        <w:pStyle w:val="ONUME"/>
      </w:pPr>
      <w:r w:rsidRPr="007F6BEB">
        <w:t>Предлагаемые изменения не требуют внесения каких-либо поправок в Инструкцию к РСТ. То, что отчет о международном поиске будет публиковаться только в порядке, предусмотренном правилом 48.2(</w:t>
      </w:r>
      <w:r w:rsidRPr="007F6BEB">
        <w:rPr>
          <w:lang w:val="en-US"/>
        </w:rPr>
        <w:t>a</w:t>
      </w:r>
      <w:r w:rsidRPr="007F6BEB">
        <w:t>)(</w:t>
      </w:r>
      <w:r w:rsidRPr="007F6BEB">
        <w:rPr>
          <w:lang w:val="en-US"/>
        </w:rPr>
        <w:t>v</w:t>
      </w:r>
      <w:r w:rsidRPr="007F6BEB">
        <w:t>), как отдельный документ, а не как часть «брошюры», совместно с основным текстом заявки, в точности соответствует процедуре, которая применяется с 2006 года в отношении частей международной публикации, упоминаемых в пунктах (</w:t>
      </w:r>
      <w:r w:rsidRPr="007F6BEB">
        <w:rPr>
          <w:lang w:val="en-US"/>
        </w:rPr>
        <w:t>vii</w:t>
      </w:r>
      <w:r w:rsidRPr="007F6BEB">
        <w:t>)-(</w:t>
      </w:r>
      <w:r w:rsidRPr="007F6BEB">
        <w:rPr>
          <w:lang w:val="en-US"/>
        </w:rPr>
        <w:t>xi</w:t>
      </w:r>
      <w:r w:rsidRPr="007F6BEB">
        <w:t>) правила 48.2(</w:t>
      </w:r>
      <w:r w:rsidRPr="007F6BEB">
        <w:rPr>
          <w:lang w:val="en-US"/>
        </w:rPr>
        <w:t>a</w:t>
      </w:r>
      <w:r w:rsidRPr="007F6BEB">
        <w:t xml:space="preserve">). Однако Международное бюро проинформирует заинтересованные стороны, в том числе путем рассылки циркуляра </w:t>
      </w:r>
      <w:r w:rsidRPr="007F6BEB">
        <w:rPr>
          <w:lang w:val="en-US"/>
        </w:rPr>
        <w:t>PCT</w:t>
      </w:r>
      <w:r w:rsidRPr="007F6BEB">
        <w:t>, когда оно будет готово реализовать соответствующие изменения и предоставить ведомствам информацию и помощь в реализации любых необходимых изменений, чтобы обеспечить автоматическое определение и скачивание всех типов документов, необходимых для процедур национального этапа.</w:t>
      </w:r>
    </w:p>
    <w:bookmarkEnd w:id="7"/>
    <w:p w14:paraId="5FBE3EB7" w14:textId="77777777" w:rsidR="004E5844" w:rsidRPr="007F6BEB" w:rsidRDefault="007F6BEB" w:rsidP="004E5844">
      <w:pPr>
        <w:pStyle w:val="ONUME"/>
        <w:tabs>
          <w:tab w:val="left" w:pos="6096"/>
        </w:tabs>
        <w:ind w:left="5533"/>
        <w:rPr>
          <w:i/>
        </w:rPr>
      </w:pPr>
      <w:r w:rsidRPr="007F6BEB">
        <w:rPr>
          <w:i/>
        </w:rPr>
        <w:t>Рабочей группе предлагается представить свои замечания в</w:t>
      </w:r>
      <w:r>
        <w:rPr>
          <w:i/>
        </w:rPr>
        <w:t> </w:t>
      </w:r>
      <w:r w:rsidRPr="007F6BEB">
        <w:rPr>
          <w:i/>
        </w:rPr>
        <w:t>отношении предлагаемого порядка публикации отчетов о</w:t>
      </w:r>
      <w:r>
        <w:rPr>
          <w:i/>
        </w:rPr>
        <w:t> </w:t>
      </w:r>
      <w:r w:rsidRPr="007F6BEB">
        <w:rPr>
          <w:i/>
        </w:rPr>
        <w:t>международном поиске и заявлений, предусмотренных статьей 19, в виде документов, отдельных от титульного листа и основного текста заявки.</w:t>
      </w:r>
    </w:p>
    <w:p w14:paraId="2078E220" w14:textId="77777777" w:rsidR="00CD75BB" w:rsidRDefault="00CD75BB" w:rsidP="00A4039E">
      <w:pPr>
        <w:pStyle w:val="Endofdocument-Annex"/>
      </w:pPr>
      <w:r>
        <w:t>[Конец документа]</w:t>
      </w:r>
    </w:p>
    <w:sectPr w:rsidR="00CD75BB" w:rsidSect="00DD63B7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19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77451" w14:textId="77777777" w:rsidR="00750AE3" w:rsidRDefault="00750AE3">
      <w:r>
        <w:separator/>
      </w:r>
    </w:p>
  </w:endnote>
  <w:endnote w:type="continuationSeparator" w:id="0">
    <w:p w14:paraId="2E6A25B7" w14:textId="77777777" w:rsidR="00750AE3" w:rsidRDefault="00750AE3" w:rsidP="003B38C1">
      <w:r>
        <w:separator/>
      </w:r>
    </w:p>
    <w:p w14:paraId="39359A9F" w14:textId="77777777" w:rsidR="00750AE3" w:rsidRPr="00A876EB" w:rsidRDefault="00750AE3" w:rsidP="003B38C1">
      <w:pPr>
        <w:spacing w:after="60"/>
        <w:rPr>
          <w:sz w:val="17"/>
          <w:lang w:val="en-US"/>
        </w:rPr>
      </w:pPr>
      <w:r w:rsidRPr="00A876EB">
        <w:rPr>
          <w:sz w:val="17"/>
          <w:lang w:val="en-US"/>
        </w:rPr>
        <w:t>[Endnote continued from previous page]</w:t>
      </w:r>
    </w:p>
  </w:endnote>
  <w:endnote w:type="continuationNotice" w:id="1">
    <w:p w14:paraId="4E2E9A22" w14:textId="77777777" w:rsidR="00750AE3" w:rsidRPr="00A876EB" w:rsidRDefault="00750AE3" w:rsidP="003B38C1">
      <w:pPr>
        <w:spacing w:before="60"/>
        <w:jc w:val="right"/>
        <w:rPr>
          <w:sz w:val="17"/>
          <w:szCs w:val="17"/>
          <w:lang w:val="en-US"/>
        </w:rPr>
      </w:pPr>
      <w:r w:rsidRPr="00A876EB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CB9CB" w14:textId="77777777" w:rsidR="00750AE3" w:rsidRDefault="00750AE3">
      <w:r>
        <w:separator/>
      </w:r>
    </w:p>
  </w:footnote>
  <w:footnote w:type="continuationSeparator" w:id="0">
    <w:p w14:paraId="0AF8B1FF" w14:textId="77777777" w:rsidR="00750AE3" w:rsidRDefault="00750AE3" w:rsidP="008B60B2">
      <w:r>
        <w:separator/>
      </w:r>
    </w:p>
    <w:p w14:paraId="01D12C41" w14:textId="77777777" w:rsidR="00750AE3" w:rsidRPr="00A876EB" w:rsidRDefault="00750AE3" w:rsidP="008B60B2">
      <w:pPr>
        <w:spacing w:after="60"/>
        <w:rPr>
          <w:sz w:val="17"/>
          <w:szCs w:val="17"/>
          <w:lang w:val="en-US"/>
        </w:rPr>
      </w:pPr>
      <w:r w:rsidRPr="00A876EB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728A417F" w14:textId="77777777" w:rsidR="00750AE3" w:rsidRPr="00A876EB" w:rsidRDefault="00750AE3" w:rsidP="008B60B2">
      <w:pPr>
        <w:spacing w:before="60"/>
        <w:jc w:val="right"/>
        <w:rPr>
          <w:sz w:val="17"/>
          <w:szCs w:val="17"/>
          <w:lang w:val="en-US"/>
        </w:rPr>
      </w:pPr>
      <w:r w:rsidRPr="00A876EB">
        <w:rPr>
          <w:sz w:val="17"/>
          <w:szCs w:val="17"/>
          <w:lang w:val="en-US"/>
        </w:rPr>
        <w:t>[Footnote continued on next page]</w:t>
      </w:r>
    </w:p>
  </w:footnote>
  <w:footnote w:id="2">
    <w:p w14:paraId="18EEBFA3" w14:textId="77777777" w:rsidR="007F6BEB" w:rsidRPr="000A4CE1" w:rsidRDefault="007F6BEB">
      <w:pPr>
        <w:pStyle w:val="FootnoteText"/>
      </w:pPr>
      <w:r>
        <w:rPr>
          <w:rStyle w:val="FootnoteReference"/>
        </w:rPr>
        <w:footnoteRef/>
      </w:r>
      <w:r w:rsidRPr="000A4CE1">
        <w:t xml:space="preserve"> </w:t>
      </w:r>
      <w:r w:rsidRPr="000A4CE1">
        <w:tab/>
        <w:t>Следует иметь в виду, что заявление, предусмотренное статьей 19(1) и правилом 46.4 – это не сопроводительное письмо к поправке, предусмотренной правилом 46.5 (см. пункты 9.006 и 9.007 Руководство РСТ для заявителя). Такое заявление входит в состав международной публикации, в то время как письмо публикуется просто как обычный элемент досье международной заявки.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EC051" w14:textId="77777777" w:rsidR="007F6BEB" w:rsidRDefault="007F6BEB" w:rsidP="00A4039E">
    <w:pPr>
      <w:pStyle w:val="Header"/>
      <w:jc w:val="right"/>
    </w:pPr>
    <w:r>
      <w:t>PCT/WG/18/13</w:t>
    </w:r>
  </w:p>
  <w:p w14:paraId="6174CAC0" w14:textId="77777777" w:rsidR="007F6BEB" w:rsidRDefault="007F6BEB" w:rsidP="00F47AFF">
    <w:pPr>
      <w:pStyle w:val="Header"/>
      <w:jc w:val="right"/>
    </w:pPr>
    <w:r>
      <w:t xml:space="preserve">стр. </w:t>
    </w:r>
    <w:r>
      <w:fldChar w:fldCharType="begin"/>
    </w:r>
    <w:r>
      <w:instrText xml:space="preserve"> PAGE   \* MERGEFORMAT </w:instrText>
    </w:r>
    <w:r>
      <w:fldChar w:fldCharType="separate"/>
    </w:r>
    <w:r w:rsidR="007E3C50">
      <w:rPr>
        <w:noProof/>
      </w:rPr>
      <w:t>9</w:t>
    </w:r>
    <w:r>
      <w:fldChar w:fldCharType="end"/>
    </w:r>
  </w:p>
  <w:p w14:paraId="58931418" w14:textId="77777777" w:rsidR="007F6BEB" w:rsidRDefault="007F6B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6726C" w14:textId="77777777" w:rsidR="007F6BEB" w:rsidRDefault="007F6BEB" w:rsidP="00CD75B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7320379">
    <w:abstractNumId w:val="2"/>
  </w:num>
  <w:num w:numId="2" w16cid:durableId="900284441">
    <w:abstractNumId w:val="4"/>
  </w:num>
  <w:num w:numId="3" w16cid:durableId="937445674">
    <w:abstractNumId w:val="0"/>
  </w:num>
  <w:num w:numId="4" w16cid:durableId="1335259265">
    <w:abstractNumId w:val="5"/>
  </w:num>
  <w:num w:numId="5" w16cid:durableId="643705302">
    <w:abstractNumId w:val="1"/>
  </w:num>
  <w:num w:numId="6" w16cid:durableId="2099910881">
    <w:abstractNumId w:val="3"/>
  </w:num>
  <w:num w:numId="7" w16cid:durableId="1313026809">
    <w:abstractNumId w:val="1"/>
  </w:num>
  <w:num w:numId="8" w16cid:durableId="733360499">
    <w:abstractNumId w:val="1"/>
  </w:num>
  <w:num w:numId="9" w16cid:durableId="365567415">
    <w:abstractNumId w:val="1"/>
  </w:num>
  <w:num w:numId="10" w16cid:durableId="889876052">
    <w:abstractNumId w:val="1"/>
  </w:num>
  <w:num w:numId="11" w16cid:durableId="1036077409">
    <w:abstractNumId w:val="1"/>
  </w:num>
  <w:num w:numId="12" w16cid:durableId="1761683717">
    <w:abstractNumId w:val="1"/>
  </w:num>
  <w:num w:numId="13" w16cid:durableId="2019845313">
    <w:abstractNumId w:val="1"/>
  </w:num>
  <w:num w:numId="14" w16cid:durableId="865555718">
    <w:abstractNumId w:val="1"/>
  </w:num>
  <w:num w:numId="15" w16cid:durableId="1366252779">
    <w:abstractNumId w:val="1"/>
  </w:num>
  <w:num w:numId="16" w16cid:durableId="1059979629">
    <w:abstractNumId w:val="1"/>
  </w:num>
  <w:num w:numId="17" w16cid:durableId="1003049668">
    <w:abstractNumId w:val="1"/>
  </w:num>
  <w:num w:numId="18" w16cid:durableId="1315376821">
    <w:abstractNumId w:val="1"/>
  </w:num>
  <w:num w:numId="19" w16cid:durableId="1031107174">
    <w:abstractNumId w:val="1"/>
  </w:num>
  <w:num w:numId="20" w16cid:durableId="152381605">
    <w:abstractNumId w:val="1"/>
  </w:num>
  <w:num w:numId="21" w16cid:durableId="1086851541">
    <w:abstractNumId w:val="1"/>
  </w:num>
  <w:num w:numId="22" w16cid:durableId="1756242036">
    <w:abstractNumId w:val="1"/>
  </w:num>
  <w:num w:numId="23" w16cid:durableId="1644918922">
    <w:abstractNumId w:val="1"/>
  </w:num>
  <w:num w:numId="24" w16cid:durableId="1413968292">
    <w:abstractNumId w:val="1"/>
  </w:num>
  <w:num w:numId="25" w16cid:durableId="2108845101">
    <w:abstractNumId w:val="1"/>
  </w:num>
  <w:num w:numId="26" w16cid:durableId="159469463">
    <w:abstractNumId w:val="1"/>
  </w:num>
  <w:num w:numId="27" w16cid:durableId="745035261">
    <w:abstractNumId w:val="1"/>
  </w:num>
  <w:num w:numId="28" w16cid:durableId="837885088">
    <w:abstractNumId w:val="1"/>
  </w:num>
  <w:num w:numId="29" w16cid:durableId="1362852297">
    <w:abstractNumId w:val="1"/>
  </w:num>
  <w:num w:numId="30" w16cid:durableId="554976528">
    <w:abstractNumId w:val="1"/>
  </w:num>
  <w:num w:numId="31" w16cid:durableId="1050113445">
    <w:abstractNumId w:val="1"/>
  </w:num>
  <w:num w:numId="32" w16cid:durableId="648360094">
    <w:abstractNumId w:val="1"/>
  </w:num>
  <w:num w:numId="33" w16cid:durableId="1702828184">
    <w:abstractNumId w:val="1"/>
  </w:num>
  <w:num w:numId="34" w16cid:durableId="1791322166">
    <w:abstractNumId w:val="1"/>
  </w:num>
  <w:num w:numId="35" w16cid:durableId="359821218">
    <w:abstractNumId w:val="1"/>
  </w:num>
  <w:num w:numId="36" w16cid:durableId="1730230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A22"/>
    <w:rsid w:val="00000639"/>
    <w:rsid w:val="000047DB"/>
    <w:rsid w:val="0000504E"/>
    <w:rsid w:val="00012009"/>
    <w:rsid w:val="00015BA2"/>
    <w:rsid w:val="0001647B"/>
    <w:rsid w:val="000379B6"/>
    <w:rsid w:val="00043CAA"/>
    <w:rsid w:val="00050A97"/>
    <w:rsid w:val="00056E8E"/>
    <w:rsid w:val="00075432"/>
    <w:rsid w:val="000968ED"/>
    <w:rsid w:val="000A4CE1"/>
    <w:rsid w:val="000B6555"/>
    <w:rsid w:val="000F1B07"/>
    <w:rsid w:val="000F5E56"/>
    <w:rsid w:val="000F6220"/>
    <w:rsid w:val="001024FE"/>
    <w:rsid w:val="001234A7"/>
    <w:rsid w:val="001362EE"/>
    <w:rsid w:val="00137613"/>
    <w:rsid w:val="00142868"/>
    <w:rsid w:val="00145C5A"/>
    <w:rsid w:val="00160DBC"/>
    <w:rsid w:val="00161730"/>
    <w:rsid w:val="00164606"/>
    <w:rsid w:val="001821FD"/>
    <w:rsid w:val="001832A6"/>
    <w:rsid w:val="001C6808"/>
    <w:rsid w:val="001E5D23"/>
    <w:rsid w:val="00202666"/>
    <w:rsid w:val="002121FA"/>
    <w:rsid w:val="002634C4"/>
    <w:rsid w:val="002739B4"/>
    <w:rsid w:val="002928D3"/>
    <w:rsid w:val="00296CC6"/>
    <w:rsid w:val="0029703C"/>
    <w:rsid w:val="002A2114"/>
    <w:rsid w:val="002B7A22"/>
    <w:rsid w:val="002D1593"/>
    <w:rsid w:val="002D5731"/>
    <w:rsid w:val="002F1FE6"/>
    <w:rsid w:val="002F4E68"/>
    <w:rsid w:val="00312F7F"/>
    <w:rsid w:val="00315C82"/>
    <w:rsid w:val="003228B7"/>
    <w:rsid w:val="00327C81"/>
    <w:rsid w:val="0034613F"/>
    <w:rsid w:val="003508A3"/>
    <w:rsid w:val="003673CF"/>
    <w:rsid w:val="003845C1"/>
    <w:rsid w:val="003A6F89"/>
    <w:rsid w:val="003A70E5"/>
    <w:rsid w:val="003B38C1"/>
    <w:rsid w:val="003D352A"/>
    <w:rsid w:val="003E0355"/>
    <w:rsid w:val="003F0C2E"/>
    <w:rsid w:val="003F4C9E"/>
    <w:rsid w:val="00423E3E"/>
    <w:rsid w:val="00427AF4"/>
    <w:rsid w:val="004400E2"/>
    <w:rsid w:val="00461632"/>
    <w:rsid w:val="004647DA"/>
    <w:rsid w:val="00465B0F"/>
    <w:rsid w:val="0047117D"/>
    <w:rsid w:val="004726B8"/>
    <w:rsid w:val="00474062"/>
    <w:rsid w:val="00476439"/>
    <w:rsid w:val="00477D6B"/>
    <w:rsid w:val="00497C1B"/>
    <w:rsid w:val="004A13DA"/>
    <w:rsid w:val="004D39C4"/>
    <w:rsid w:val="004E35E1"/>
    <w:rsid w:val="004E5844"/>
    <w:rsid w:val="004F5096"/>
    <w:rsid w:val="004F5D07"/>
    <w:rsid w:val="005058F7"/>
    <w:rsid w:val="0053057A"/>
    <w:rsid w:val="005366AC"/>
    <w:rsid w:val="00543927"/>
    <w:rsid w:val="00560A29"/>
    <w:rsid w:val="00594D27"/>
    <w:rsid w:val="00601760"/>
    <w:rsid w:val="00605827"/>
    <w:rsid w:val="0062228E"/>
    <w:rsid w:val="00625323"/>
    <w:rsid w:val="00626889"/>
    <w:rsid w:val="00646050"/>
    <w:rsid w:val="00650F84"/>
    <w:rsid w:val="006713CA"/>
    <w:rsid w:val="0067431F"/>
    <w:rsid w:val="00676C5C"/>
    <w:rsid w:val="00695558"/>
    <w:rsid w:val="006A3BE8"/>
    <w:rsid w:val="006D321B"/>
    <w:rsid w:val="006D4F7F"/>
    <w:rsid w:val="006D5E0F"/>
    <w:rsid w:val="00702C30"/>
    <w:rsid w:val="007058FB"/>
    <w:rsid w:val="00707BEB"/>
    <w:rsid w:val="0071381D"/>
    <w:rsid w:val="007429FE"/>
    <w:rsid w:val="00744C06"/>
    <w:rsid w:val="00746CBA"/>
    <w:rsid w:val="00747888"/>
    <w:rsid w:val="00750AE3"/>
    <w:rsid w:val="00753858"/>
    <w:rsid w:val="007569C9"/>
    <w:rsid w:val="00763877"/>
    <w:rsid w:val="00776926"/>
    <w:rsid w:val="007B6A58"/>
    <w:rsid w:val="007D1613"/>
    <w:rsid w:val="007E3C50"/>
    <w:rsid w:val="007E703C"/>
    <w:rsid w:val="007F6BEB"/>
    <w:rsid w:val="00814911"/>
    <w:rsid w:val="008653D3"/>
    <w:rsid w:val="008679AF"/>
    <w:rsid w:val="008720DB"/>
    <w:rsid w:val="008736A3"/>
    <w:rsid w:val="00873EE5"/>
    <w:rsid w:val="008A06FC"/>
    <w:rsid w:val="008A2868"/>
    <w:rsid w:val="008B2CC1"/>
    <w:rsid w:val="008B4B5E"/>
    <w:rsid w:val="008B60B2"/>
    <w:rsid w:val="008F58F5"/>
    <w:rsid w:val="009047D3"/>
    <w:rsid w:val="0090731E"/>
    <w:rsid w:val="00916A15"/>
    <w:rsid w:val="00916EE2"/>
    <w:rsid w:val="00946221"/>
    <w:rsid w:val="00966A22"/>
    <w:rsid w:val="0096722F"/>
    <w:rsid w:val="00980843"/>
    <w:rsid w:val="009A5B79"/>
    <w:rsid w:val="009B3AEF"/>
    <w:rsid w:val="009D451D"/>
    <w:rsid w:val="009E2791"/>
    <w:rsid w:val="009E3F6F"/>
    <w:rsid w:val="009F3BF9"/>
    <w:rsid w:val="009F499F"/>
    <w:rsid w:val="00A0076C"/>
    <w:rsid w:val="00A26A28"/>
    <w:rsid w:val="00A4039E"/>
    <w:rsid w:val="00A42DAF"/>
    <w:rsid w:val="00A45BD8"/>
    <w:rsid w:val="00A56D88"/>
    <w:rsid w:val="00A778BF"/>
    <w:rsid w:val="00A85B8E"/>
    <w:rsid w:val="00A876EB"/>
    <w:rsid w:val="00A919FD"/>
    <w:rsid w:val="00A94072"/>
    <w:rsid w:val="00AA695C"/>
    <w:rsid w:val="00AC205C"/>
    <w:rsid w:val="00AC29A8"/>
    <w:rsid w:val="00AF5C73"/>
    <w:rsid w:val="00B05A69"/>
    <w:rsid w:val="00B40598"/>
    <w:rsid w:val="00B41ECF"/>
    <w:rsid w:val="00B4291B"/>
    <w:rsid w:val="00B50B99"/>
    <w:rsid w:val="00B62CD9"/>
    <w:rsid w:val="00B71AC4"/>
    <w:rsid w:val="00B9734B"/>
    <w:rsid w:val="00BC4AF4"/>
    <w:rsid w:val="00BD6552"/>
    <w:rsid w:val="00BF2415"/>
    <w:rsid w:val="00BF3508"/>
    <w:rsid w:val="00BF48DE"/>
    <w:rsid w:val="00C11BFE"/>
    <w:rsid w:val="00C5309B"/>
    <w:rsid w:val="00C54343"/>
    <w:rsid w:val="00C91AB4"/>
    <w:rsid w:val="00C94629"/>
    <w:rsid w:val="00CB141F"/>
    <w:rsid w:val="00CB4DF7"/>
    <w:rsid w:val="00CD1E8A"/>
    <w:rsid w:val="00CD75BB"/>
    <w:rsid w:val="00CE65D4"/>
    <w:rsid w:val="00D00811"/>
    <w:rsid w:val="00D33102"/>
    <w:rsid w:val="00D33823"/>
    <w:rsid w:val="00D45252"/>
    <w:rsid w:val="00D52297"/>
    <w:rsid w:val="00D623C9"/>
    <w:rsid w:val="00D63896"/>
    <w:rsid w:val="00D71B4D"/>
    <w:rsid w:val="00D87DE4"/>
    <w:rsid w:val="00D93D55"/>
    <w:rsid w:val="00DD63B7"/>
    <w:rsid w:val="00DE68C0"/>
    <w:rsid w:val="00E070BF"/>
    <w:rsid w:val="00E13FD1"/>
    <w:rsid w:val="00E155D7"/>
    <w:rsid w:val="00E161A2"/>
    <w:rsid w:val="00E335FE"/>
    <w:rsid w:val="00E5021F"/>
    <w:rsid w:val="00E671A6"/>
    <w:rsid w:val="00E900D8"/>
    <w:rsid w:val="00E90B8B"/>
    <w:rsid w:val="00EA1AB4"/>
    <w:rsid w:val="00EA648C"/>
    <w:rsid w:val="00EB22A4"/>
    <w:rsid w:val="00EB2E46"/>
    <w:rsid w:val="00EC4E49"/>
    <w:rsid w:val="00ED77FB"/>
    <w:rsid w:val="00F021A6"/>
    <w:rsid w:val="00F029CA"/>
    <w:rsid w:val="00F11D94"/>
    <w:rsid w:val="00F30C14"/>
    <w:rsid w:val="00F345FA"/>
    <w:rsid w:val="00F47AFF"/>
    <w:rsid w:val="00F52176"/>
    <w:rsid w:val="00F66152"/>
    <w:rsid w:val="00F866B9"/>
    <w:rsid w:val="00F9200A"/>
    <w:rsid w:val="00FA2A6C"/>
    <w:rsid w:val="00FB1EF5"/>
    <w:rsid w:val="00FB3E54"/>
    <w:rsid w:val="00FD088A"/>
    <w:rsid w:val="00FD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DE40C07"/>
  <w15:chartTrackingRefBased/>
  <w15:docId w15:val="{FBD5223E-021D-4D5A-8752-1A7B333D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4DF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D5731"/>
    <w:pPr>
      <w:keepNext/>
      <w:spacing w:before="240" w:after="18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2D5731"/>
    <w:pPr>
      <w:keepNext/>
      <w:spacing w:before="240" w:after="18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2D5731"/>
    <w:pPr>
      <w:keepNext/>
      <w:spacing w:before="240" w:after="18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B4DF7"/>
    <w:rPr>
      <w:sz w:val="20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LegTitle">
    <w:name w:val="Leg # Title"/>
    <w:basedOn w:val="Legbasic"/>
    <w:next w:val="Normal"/>
    <w:rsid w:val="005058F7"/>
    <w:pPr>
      <w:keepNext/>
      <w:keepLines/>
      <w:spacing w:before="240"/>
      <w:jc w:val="center"/>
    </w:pPr>
    <w:rPr>
      <w:b/>
    </w:rPr>
  </w:style>
  <w:style w:type="paragraph" w:customStyle="1" w:styleId="LegSubRule">
    <w:name w:val="Leg SubRule #"/>
    <w:basedOn w:val="Legbasic"/>
    <w:rsid w:val="004F5D07"/>
    <w:pPr>
      <w:keepNext/>
      <w:tabs>
        <w:tab w:val="left" w:pos="510"/>
      </w:tabs>
      <w:jc w:val="both"/>
      <w:outlineLvl w:val="0"/>
    </w:pPr>
  </w:style>
  <w:style w:type="paragraph" w:customStyle="1" w:styleId="Lega">
    <w:name w:val="Leg (a)"/>
    <w:basedOn w:val="Legbasic"/>
    <w:rsid w:val="005058F7"/>
    <w:pPr>
      <w:tabs>
        <w:tab w:val="left" w:pos="454"/>
      </w:tabs>
      <w:jc w:val="both"/>
    </w:pPr>
  </w:style>
  <w:style w:type="paragraph" w:customStyle="1" w:styleId="Legi">
    <w:name w:val="Leg (i)"/>
    <w:basedOn w:val="Legbasic"/>
    <w:rsid w:val="004F5D07"/>
    <w:pPr>
      <w:tabs>
        <w:tab w:val="right" w:pos="1560"/>
        <w:tab w:val="left" w:pos="1843"/>
      </w:tabs>
      <w:jc w:val="both"/>
    </w:pPr>
  </w:style>
  <w:style w:type="paragraph" w:customStyle="1" w:styleId="Legacont">
    <w:name w:val="Leg (a) [cont]"/>
    <w:basedOn w:val="Lega"/>
    <w:next w:val="Lega"/>
    <w:rsid w:val="005058F7"/>
  </w:style>
  <w:style w:type="character" w:customStyle="1" w:styleId="RItalic">
    <w:name w:val="RItalic"/>
    <w:rsid w:val="00E155D7"/>
    <w:rPr>
      <w:i/>
    </w:rPr>
  </w:style>
  <w:style w:type="paragraph" w:customStyle="1" w:styleId="Legbasic">
    <w:name w:val="Leg basic"/>
    <w:qFormat/>
    <w:rsid w:val="005058F7"/>
    <w:pPr>
      <w:spacing w:after="180"/>
      <w:ind w:left="567"/>
    </w:pPr>
    <w:rPr>
      <w:rFonts w:ascii="Arial" w:hAnsi="Arial" w:cs="Arial"/>
      <w:snapToGrid w:val="0"/>
      <w:sz w:val="22"/>
      <w:szCs w:val="22"/>
      <w:lang w:eastAsia="en-US"/>
    </w:rPr>
  </w:style>
  <w:style w:type="character" w:styleId="FootnoteReference">
    <w:name w:val="footnote reference"/>
    <w:semiHidden/>
    <w:unhideWhenUsed/>
    <w:rsid w:val="00CB4DF7"/>
    <w:rPr>
      <w:vertAlign w:val="superscript"/>
    </w:rPr>
  </w:style>
  <w:style w:type="paragraph" w:styleId="Revision">
    <w:name w:val="Revision"/>
    <w:hidden/>
    <w:uiPriority w:val="99"/>
    <w:semiHidden/>
    <w:rsid w:val="007E703C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2535</Words>
  <Characters>17126</Characters>
  <Application>Microsoft Office Word</Application>
  <DocSecurity>4</DocSecurity>
  <Lines>142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PCT/WG/18/13</vt:lpstr>
      <vt:lpstr>PCT/WG/18/13</vt:lpstr>
    </vt:vector>
  </TitlesOfParts>
  <Company>WIPO</Company>
  <LinksUpToDate>false</LinksUpToDate>
  <CharactersWithSpaces>19622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PCT/WG/18/13</dc:title>
  <dc:subject/>
  <dc:creator>RICHARDSON Michael</dc:creator>
  <cp:keywords/>
  <cp:lastModifiedBy>MARLOW Thomas</cp:lastModifiedBy>
  <cp:revision>2</cp:revision>
  <cp:lastPrinted>2025-01-17T14:02:00Z</cp:lastPrinted>
  <dcterms:created xsi:type="dcterms:W3CDTF">2025-01-24T15:37:00Z</dcterms:created>
  <dcterms:modified xsi:type="dcterms:W3CDTF">2025-01-24T15:37:00Z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2023-12-13T09:48:21Z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0bf27739-8b3d-4d7e-ba90-ef8e3b8e5134</vt:lpwstr>
  </property>
  <property fmtid="{D5CDD505-2E9C-101B-9397-08002B2CF9AE}" pid="14" name="MSIP_Label_20773ee6-353b-4fb9-a59d-0b94c8c67bea_ContentBits">
    <vt:lpwstr>0</vt:lpwstr>
  </property>
</Properties>
</file>