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46E94" w14:textId="56985D1D" w:rsidR="008B2CC1" w:rsidRPr="004156DC" w:rsidRDefault="00D467B8" w:rsidP="00F11D94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7E2DA71F" wp14:editId="2E390351">
            <wp:extent cx="3246120" cy="1630680"/>
            <wp:effectExtent l="0" t="0" r="0" b="7620"/>
            <wp:docPr id="2134073400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5BB8574" wp14:editId="35FBAA5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>
            <w:pict>
              <v:line w14:anchorId="786A2577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4C30121" w14:textId="7CFC32FB" w:rsidR="008B2CC1" w:rsidRPr="004156DC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PCT/WG/18/</w:t>
      </w:r>
      <w:bookmarkStart w:id="0" w:name="Code"/>
      <w:bookmarkEnd w:id="0"/>
      <w:r>
        <w:rPr>
          <w:rFonts w:ascii="Arial Black" w:hAnsi="Arial Black"/>
          <w:caps/>
          <w:sz w:val="15"/>
        </w:rPr>
        <w:t>11</w:t>
      </w:r>
    </w:p>
    <w:p w14:paraId="480F0EE7" w14:textId="723CBD1E" w:rsidR="00CE65D4" w:rsidRPr="004156DC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04BB8B70" w14:textId="218E0146" w:rsidR="008B2CC1" w:rsidRPr="004156DC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15 января 2025 года</w:t>
      </w:r>
    </w:p>
    <w:bookmarkEnd w:id="2"/>
    <w:p w14:paraId="29E10129" w14:textId="77777777" w:rsidR="008B2CC1" w:rsidRPr="004156DC" w:rsidRDefault="00E90B8B" w:rsidP="00FB3E5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Рабочая группа по Договору о патентной кооперации (PCT)</w:t>
      </w:r>
    </w:p>
    <w:p w14:paraId="37F64196" w14:textId="77777777" w:rsidR="008B2CC1" w:rsidRPr="004156DC" w:rsidRDefault="00946221" w:rsidP="008B2CC1">
      <w:pPr>
        <w:rPr>
          <w:b/>
          <w:sz w:val="24"/>
          <w:szCs w:val="24"/>
        </w:rPr>
      </w:pPr>
      <w:r>
        <w:rPr>
          <w:b/>
          <w:sz w:val="24"/>
        </w:rPr>
        <w:t>Восемнадцатая сессия</w:t>
      </w:r>
    </w:p>
    <w:p w14:paraId="7D3EDA1A" w14:textId="77777777" w:rsidR="008B2CC1" w:rsidRPr="004156DC" w:rsidRDefault="00E90B8B" w:rsidP="00CE65D4">
      <w:pPr>
        <w:spacing w:after="720"/>
      </w:pPr>
      <w:r>
        <w:rPr>
          <w:b/>
          <w:sz w:val="24"/>
        </w:rPr>
        <w:t>Женева, 18–20 февраля 2025 года</w:t>
      </w:r>
    </w:p>
    <w:p w14:paraId="6F4203A4" w14:textId="401847D6" w:rsidR="008B2CC1" w:rsidRPr="004156DC" w:rsidRDefault="00782534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Координация деятельности в области обучения патентных экспертов</w:t>
      </w:r>
    </w:p>
    <w:p w14:paraId="52928F81" w14:textId="20744069" w:rsidR="008B2CC1" w:rsidRPr="004156DC" w:rsidRDefault="00782534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Международным бюро</w:t>
      </w:r>
    </w:p>
    <w:bookmarkEnd w:id="4"/>
    <w:p w14:paraId="392E4038" w14:textId="77777777" w:rsidR="00782534" w:rsidRPr="004156DC" w:rsidRDefault="00782534" w:rsidP="00782534">
      <w:pPr>
        <w:pStyle w:val="Heading1"/>
      </w:pPr>
      <w:r>
        <w:t>Резюме</w:t>
      </w:r>
    </w:p>
    <w:p w14:paraId="3E6279D6" w14:textId="6ECF68DF" w:rsidR="00782534" w:rsidRPr="004156DC" w:rsidRDefault="00782534" w:rsidP="00782534">
      <w:pPr>
        <w:pStyle w:val="ONUME"/>
        <w:rPr>
          <w:szCs w:val="22"/>
        </w:rPr>
      </w:pPr>
      <w:r>
        <w:t>В настоящем документе рассматривается предложение о разработке онлайнового курса совместно с Академией ВОИС для обеспечения базовой подготовки в области патентной экспертизы, в первую очередь для новых или неопытных патентных экспертов в небольших ведомствах.</w:t>
      </w:r>
      <w:r w:rsidR="00356222" w:rsidRPr="00356222">
        <w:t xml:space="preserve"> </w:t>
      </w:r>
      <w:r>
        <w:t xml:space="preserve">В документе также излагается инициатива запуска небольшого пилотного проекта по созданию платформы для общения патентных экспертов.  </w:t>
      </w:r>
    </w:p>
    <w:p w14:paraId="62E8EA3F" w14:textId="77777777" w:rsidR="00782534" w:rsidRPr="004156DC" w:rsidRDefault="00782534" w:rsidP="00782534">
      <w:pPr>
        <w:pStyle w:val="Heading1"/>
      </w:pPr>
      <w:r>
        <w:t>Введение</w:t>
      </w:r>
    </w:p>
    <w:p w14:paraId="1C6F551F" w14:textId="20AA8D2E" w:rsidR="00782534" w:rsidRPr="004156DC" w:rsidRDefault="00782534" w:rsidP="00782534">
      <w:pPr>
        <w:pStyle w:val="ONUME"/>
      </w:pPr>
      <w:r>
        <w:t xml:space="preserve">В 2024 году, на своей семнадцатой сессии, Рабочая группа по РСТ провела обсуждения на основе результатов обследования, проведенного Международным бюро с целью координации деятельности в области обучения патентных экспертов для небольших и средних ведомств. Международное бюро также выступило с предложением о разработке вводных материалов по патентной экспертизе для размещения на разрабатываемой в настоящее время платформе для дистанционного обучения и интеграции в структуру платформы электронной площадки для делового общения (см. документ PCT/WG/17/11). </w:t>
      </w:r>
    </w:p>
    <w:p w14:paraId="76213EC1" w14:textId="77777777" w:rsidR="00782534" w:rsidRPr="004156DC" w:rsidRDefault="00782534" w:rsidP="00782534">
      <w:pPr>
        <w:pStyle w:val="ONUME"/>
      </w:pPr>
      <w:r>
        <w:t xml:space="preserve">Рабочая группа предложила Международному бюро продолжить работу по разработке учебных материалов с заинтересованными ведомствами, принимая во внимание замечания, сформулированные в рамках обследования и в ходе сессии (см. пункты 11 и 12 резюме Председателя, документ PCT/WG/17/21).  Ряд делегаций </w:t>
      </w:r>
      <w:r>
        <w:lastRenderedPageBreak/>
        <w:t xml:space="preserve">обратился к Международному бюро с просьбой подготовить более подробные планы реализации предложений.  </w:t>
      </w:r>
    </w:p>
    <w:p w14:paraId="3EFC2205" w14:textId="07E7D08F" w:rsidR="00782534" w:rsidRPr="004156DC" w:rsidRDefault="00782534" w:rsidP="006604E6">
      <w:pPr>
        <w:pStyle w:val="Heading1"/>
        <w:rPr>
          <w:rFonts w:eastAsiaTheme="minorEastAsia"/>
        </w:rPr>
      </w:pPr>
      <w:r>
        <w:t>Базовый курс Академии ВОИС по патентной экспертизе для новых или неопытных патентных экспертов небольших ведомств</w:t>
      </w:r>
    </w:p>
    <w:p w14:paraId="69B1E1D2" w14:textId="3B01997F" w:rsidR="00782534" w:rsidRPr="004156DC" w:rsidRDefault="00782534" w:rsidP="00782534">
      <w:pPr>
        <w:pStyle w:val="ONUME"/>
        <w:rPr>
          <w:rFonts w:eastAsiaTheme="minorEastAsia"/>
          <w:szCs w:val="22"/>
        </w:rPr>
      </w:pPr>
      <w:bookmarkStart w:id="5" w:name="_Ref184901538"/>
      <w:r>
        <w:t>Как было отмечено на предыдущей сессии Рабочей группы, предоставляемые донорами материалы для дистанционного обучения нередко посвящены специализированным темам и не дают общего предоставления о процедуре патентной экспертизы. Ответы, полученные в ходе упомянутого обследования, и обсуждения в Рабочей группе также подтвердили необходимость обеспечения общей подготовки новых или неопытных экспертов в области основных процедур патентного делопроизводства, например поиска по известному уровню техники и оценки соответствия требованиям патентоспособности, что позволит им подготовиться к прохождению более узконаправленного и углубленного обучения.</w:t>
      </w:r>
      <w:bookmarkEnd w:id="5"/>
      <w:r>
        <w:t xml:space="preserve"> </w:t>
      </w:r>
    </w:p>
    <w:p w14:paraId="6831247B" w14:textId="77777777" w:rsidR="00782534" w:rsidRPr="004156DC" w:rsidRDefault="00782534" w:rsidP="00782534">
      <w:pPr>
        <w:pStyle w:val="ONUME"/>
        <w:rPr>
          <w:rFonts w:eastAsiaTheme="minorEastAsia"/>
          <w:szCs w:val="22"/>
        </w:rPr>
      </w:pPr>
      <w:r>
        <w:t xml:space="preserve">На основании результатов обследования и индивидуальных бесед с ведомствами Международное бюро установило, что небольшие ведомства часто ищут помощи в том, где и как им следует начинать обучение своих экспертов, особенно когда они внедряют патентную экспертизу по существу в соответствующих юрисдикциях. </w:t>
      </w:r>
    </w:p>
    <w:p w14:paraId="405171CD" w14:textId="1F21C59A" w:rsidR="00782534" w:rsidRPr="004156DC" w:rsidRDefault="00782534" w:rsidP="00782534">
      <w:pPr>
        <w:pStyle w:val="ONUME"/>
        <w:rPr>
          <w:rFonts w:eastAsiaTheme="minorEastAsia"/>
          <w:szCs w:val="22"/>
        </w:rPr>
      </w:pPr>
      <w:r>
        <w:t xml:space="preserve">Другие ведомства предлагают долгосрочные программы по укреплению потенциала в области патентной экспертизы (см. примеры в пункте 11 документа PCT/MIA/21/4 и пункте 16 документа PCT/WG/14/13), однако, такие программы часто ограничены по числу участников в силу их интенсивного характера и могут быть недоступны в тот момент, когда возникает потребность в обучении.  Для того чтобы принять взвешенное решение о том, какие курсы повышения квалификации и обучения в конкретной юрисдикции соответствуют их потребностям, новым или неопытным экспертам также необходимы базовые знания о каждом этапе патентной экспертизы. </w:t>
      </w:r>
    </w:p>
    <w:p w14:paraId="0F87ADA0" w14:textId="77777777" w:rsidR="00782534" w:rsidRPr="004156DC" w:rsidRDefault="00782534" w:rsidP="00782534">
      <w:pPr>
        <w:pStyle w:val="ONUME"/>
        <w:rPr>
          <w:szCs w:val="28"/>
        </w:rPr>
      </w:pPr>
      <w:r>
        <w:t xml:space="preserve">В этой связи Международное бюро предлагает онлайновый базовый курс Академии ВОИС по патентной экспертизе, который позволит новым и неопытным экспертам получить ключевые технические и процедурные навыки, необходимые для проведения эффективной патентной экспертизы.  </w:t>
      </w:r>
    </w:p>
    <w:p w14:paraId="631C9908" w14:textId="277B26BD" w:rsidR="00782534" w:rsidRPr="004156DC" w:rsidRDefault="00782534" w:rsidP="00782534">
      <w:pPr>
        <w:pStyle w:val="Heading2"/>
      </w:pPr>
      <w:r>
        <w:t>Цели</w:t>
      </w:r>
    </w:p>
    <w:p w14:paraId="5B27B3CD" w14:textId="77777777" w:rsidR="00782534" w:rsidRPr="004156DC" w:rsidRDefault="00782534" w:rsidP="00782534">
      <w:pPr>
        <w:pStyle w:val="ONUME"/>
        <w:rPr>
          <w:szCs w:val="28"/>
        </w:rPr>
      </w:pPr>
      <w:r>
        <w:t>Цель курса состоит в том, чтобы сформировать у экспертов концептуальное понимание международной патентной системы, а также технические и процедурные знания об общемировых аспектах патентной экспертизы.  Кроме того, курс будет направлен на отработку практических навыков, таких как использование баз данных для поиска по уровню техники, взаимодействие с заявителями, оценка соответствия требованиям патентоспособности. Основополагающие компетенции, полученные в рамках этого курса, позволят учащимся эффективно участвовать в экспертизе по существу и послужат базой для дальнейшей специализированной подготовки.</w:t>
      </w:r>
    </w:p>
    <w:p w14:paraId="1D29AEE5" w14:textId="77777777" w:rsidR="00782534" w:rsidRPr="004156DC" w:rsidRDefault="00782534" w:rsidP="00782534">
      <w:pPr>
        <w:pStyle w:val="ONUME"/>
        <w:rPr>
          <w:szCs w:val="28"/>
        </w:rPr>
      </w:pPr>
      <w:r>
        <w:t xml:space="preserve">Ожидается, что </w:t>
      </w:r>
      <w:bookmarkStart w:id="6" w:name="_Hlk187319217"/>
      <w:r>
        <w:t>базовый курс Академии ВОИС по патентной экспертизе</w:t>
      </w:r>
      <w:bookmarkEnd w:id="6"/>
      <w:r>
        <w:t xml:space="preserve"> будет способствовать достижению следующих задач:</w:t>
      </w:r>
    </w:p>
    <w:p w14:paraId="63273E7D" w14:textId="77777777" w:rsidR="00782534" w:rsidRPr="004156DC" w:rsidRDefault="00782534" w:rsidP="00782534">
      <w:pPr>
        <w:pStyle w:val="ONUME"/>
        <w:numPr>
          <w:ilvl w:val="0"/>
          <w:numId w:val="7"/>
        </w:numPr>
        <w:rPr>
          <w:szCs w:val="28"/>
        </w:rPr>
      </w:pPr>
      <w:r>
        <w:t>Укрепление потенциала небольших ведомств по всему миру путем предоставления базового инструмента для обучения и повышения квалификации экспертов.</w:t>
      </w:r>
    </w:p>
    <w:p w14:paraId="73951D32" w14:textId="4A9FFC16" w:rsidR="00782534" w:rsidRPr="004156DC" w:rsidRDefault="00782534" w:rsidP="00782534">
      <w:pPr>
        <w:pStyle w:val="ONUME"/>
        <w:numPr>
          <w:ilvl w:val="0"/>
          <w:numId w:val="7"/>
        </w:numPr>
        <w:rPr>
          <w:szCs w:val="28"/>
        </w:rPr>
      </w:pPr>
      <w:r>
        <w:t xml:space="preserve">Предоставление государствам-членам гибкого, экономически эффективного и масштабируемого образовательного решения с использованием онлайновых средств обучения. Учет плотного рабочего графика экспертов при большом числе </w:t>
      </w:r>
      <w:r>
        <w:lastRenderedPageBreak/>
        <w:t>обучающихся благодаря онлайн-модулям, разработанным для изучения в индивидуальном темпе.</w:t>
      </w:r>
    </w:p>
    <w:p w14:paraId="3A8DF48F" w14:textId="77777777" w:rsidR="00782534" w:rsidRPr="004156DC" w:rsidRDefault="00782534" w:rsidP="00782534">
      <w:pPr>
        <w:pStyle w:val="ONUME"/>
        <w:numPr>
          <w:ilvl w:val="0"/>
          <w:numId w:val="7"/>
        </w:numPr>
        <w:rPr>
          <w:szCs w:val="28"/>
        </w:rPr>
      </w:pPr>
      <w:r>
        <w:t>Передача знаний о существующих процедурах и практике проведения экспертизы на ознакомительном уровне для лучшего понимания результатов работы других ведомств.</w:t>
      </w:r>
    </w:p>
    <w:p w14:paraId="72EBF347" w14:textId="77777777" w:rsidR="00782534" w:rsidRPr="004156DC" w:rsidRDefault="00782534" w:rsidP="00782534">
      <w:pPr>
        <w:pStyle w:val="ONUME"/>
        <w:numPr>
          <w:ilvl w:val="0"/>
          <w:numId w:val="7"/>
        </w:numPr>
        <w:rPr>
          <w:szCs w:val="28"/>
        </w:rPr>
      </w:pPr>
      <w:r>
        <w:t>Повышение качества экспертизы и, соответственно, качества патентов, выдаваемых ведомствами.</w:t>
      </w:r>
    </w:p>
    <w:p w14:paraId="60E0E91F" w14:textId="7909CEDC" w:rsidR="00782534" w:rsidRPr="004156DC" w:rsidRDefault="00782534" w:rsidP="00782534">
      <w:pPr>
        <w:pStyle w:val="Heading2"/>
      </w:pPr>
      <w:r>
        <w:t>Целевая аудитория</w:t>
      </w:r>
    </w:p>
    <w:p w14:paraId="2F5C2DB1" w14:textId="77777777" w:rsidR="00782534" w:rsidRPr="004156DC" w:rsidRDefault="00782534" w:rsidP="00782534">
      <w:pPr>
        <w:pStyle w:val="ONUME"/>
        <w:rPr>
          <w:rFonts w:eastAsiaTheme="minorEastAsia"/>
          <w:szCs w:val="22"/>
        </w:rPr>
      </w:pPr>
      <w:r>
        <w:t>Основными слушателями базового курса будут новые или неопытные специалисты по проведению патентной экспертизы по существу в небольших ведомствах.</w:t>
      </w:r>
    </w:p>
    <w:p w14:paraId="7E51BA8F" w14:textId="0298E8F2" w:rsidR="00782534" w:rsidRPr="004156DC" w:rsidRDefault="00782534" w:rsidP="00782534">
      <w:pPr>
        <w:pStyle w:val="ONUME"/>
        <w:rPr>
          <w:rFonts w:eastAsiaTheme="minorEastAsia"/>
          <w:szCs w:val="22"/>
        </w:rPr>
      </w:pPr>
      <w:r>
        <w:t xml:space="preserve">Курс будет бесплатным для всех экспертов патентных ведомств, а также для всех сотрудников ведомств интеллектуальной собственности государств — членов ВОИС.  Представляется возможным рассмотреть предоставление доступа к данному курсу, потенциально за умеренную плату, студентам, патентным поверенным и всем, кто интересуется настоящей темой. </w:t>
      </w:r>
    </w:p>
    <w:p w14:paraId="5EC45A23" w14:textId="6F20E24F" w:rsidR="00782534" w:rsidRPr="006604E6" w:rsidRDefault="00782534" w:rsidP="006604E6">
      <w:pPr>
        <w:pStyle w:val="Heading2"/>
        <w:rPr>
          <w:rFonts w:eastAsiaTheme="minorEastAsia"/>
        </w:rPr>
      </w:pPr>
      <w:r>
        <w:t>Содержание и формат</w:t>
      </w:r>
    </w:p>
    <w:p w14:paraId="2DC2CD07" w14:textId="77777777" w:rsidR="00782534" w:rsidRPr="004156DC" w:rsidRDefault="00782534" w:rsidP="00782534">
      <w:pPr>
        <w:pStyle w:val="ONUME"/>
      </w:pPr>
      <w:r>
        <w:t>Базовый курс Академии ВОИС по патентной экспертизе будет состоять из онлайн-модулей с индивидуальным темпом изучения.  Возможно рассмотреть такие дополнительные опции, как лекции в прямом эфире и виртуальные дискуссионные форумы с преподавателями/специалистами в соответствующих областях.  После завершения курса и сдачи итогового экзамена участники получат сертификат Академии ВОИС.</w:t>
      </w:r>
    </w:p>
    <w:p w14:paraId="254056FE" w14:textId="324EB156" w:rsidR="00782534" w:rsidRPr="004156DC" w:rsidRDefault="00782534" w:rsidP="00782534">
      <w:pPr>
        <w:pStyle w:val="ONUME"/>
        <w:rPr>
          <w:rFonts w:eastAsiaTheme="minorEastAsia"/>
          <w:szCs w:val="22"/>
        </w:rPr>
      </w:pPr>
      <w:r>
        <w:t xml:space="preserve">Основное внимание будет уделено концептуальному пониманию патентной системы, а также техническим и процедурным знаниям в области патентной экспертизы.  Данный курс заложит основу для изучения более сложных материалов, которые будут доступны на платформе для дистанционного обучения и/или в учебных программах для конкретных юрисдикций, разработанных другими ведомствами или ВОИС. Предлагаемые элементы курса приведены в приложении к настоящему документу. </w:t>
      </w:r>
    </w:p>
    <w:p w14:paraId="305612C2" w14:textId="77777777" w:rsidR="00782534" w:rsidRPr="004156DC" w:rsidRDefault="00782534" w:rsidP="00782534">
      <w:pPr>
        <w:pStyle w:val="ONUME"/>
        <w:rPr>
          <w:rFonts w:eastAsiaTheme="minorEastAsia"/>
          <w:szCs w:val="22"/>
        </w:rPr>
      </w:pPr>
      <w:r>
        <w:t xml:space="preserve">Онлайновая платформа для размещения курса, выполнения административных и управленческих задач будет предоставлена Академией ВОИС на базе Центра электронного обучения ВОИС.  </w:t>
      </w:r>
    </w:p>
    <w:p w14:paraId="711A7710" w14:textId="6E2A2C3C" w:rsidR="00782534" w:rsidRPr="004156DC" w:rsidRDefault="00782534" w:rsidP="00782534">
      <w:pPr>
        <w:pStyle w:val="ONUME"/>
        <w:rPr>
          <w:rFonts w:eastAsiaTheme="minorEastAsia"/>
          <w:szCs w:val="22"/>
        </w:rPr>
      </w:pPr>
      <w:r>
        <w:t xml:space="preserve">Первоначально курс будет разработан и запущен на английском языке. </w:t>
      </w:r>
      <w:r w:rsidR="00801DD7">
        <w:t>Позднее,</w:t>
      </w:r>
      <w:r>
        <w:t xml:space="preserve"> </w:t>
      </w:r>
      <w:r w:rsidR="00801DD7">
        <w:t>п</w:t>
      </w:r>
      <w:r>
        <w:t>о запросу государств-членов</w:t>
      </w:r>
      <w:r w:rsidR="00801DD7">
        <w:t>,</w:t>
      </w:r>
      <w:r>
        <w:t xml:space="preserve"> Международное бюро рассмотрит разработку версий на других языках. </w:t>
      </w:r>
    </w:p>
    <w:p w14:paraId="57246261" w14:textId="5B96E55C" w:rsidR="00782534" w:rsidRPr="006604E6" w:rsidRDefault="00782534" w:rsidP="006604E6">
      <w:pPr>
        <w:pStyle w:val="Heading2"/>
        <w:rPr>
          <w:rFonts w:eastAsiaTheme="minorEastAsia"/>
        </w:rPr>
      </w:pPr>
      <w:r>
        <w:t>Разработка курса</w:t>
      </w:r>
    </w:p>
    <w:p w14:paraId="29DEF536" w14:textId="77777777" w:rsidR="00782534" w:rsidRPr="004156DC" w:rsidRDefault="00782534" w:rsidP="00782534">
      <w:pPr>
        <w:pStyle w:val="ONUME"/>
      </w:pPr>
      <w:r>
        <w:t>Базовый курс Академии ВОИС по патентной экспертизе будет разработан и предоставлен Отделом международного сотрудничества РСТ совместно с Секцией дистанционного обучения ИС Академии ВОИС.</w:t>
      </w:r>
    </w:p>
    <w:p w14:paraId="6971E784" w14:textId="6066ADAA" w:rsidR="00782534" w:rsidRPr="004156DC" w:rsidRDefault="00782534" w:rsidP="00782534">
      <w:pPr>
        <w:pStyle w:val="ONUME"/>
      </w:pPr>
      <w:r>
        <w:t xml:space="preserve">Участие ведомств в работе над курсом необходимо для минимизации ошибок, обеспечения нейтральности, учета различных практик, а также для сокращения дублирования существующих материалов и программам, предоставляемых другими ведомствами.  Международное бюро предлагает создать целевую группу, включающую заинтересованные ведомства, с тем чтобы они могли внести свой вклад в составление и разработку курса, например путем обмена и проверки информации о сложившейся практике в своих юрисдикциях.  Международное бюро также рассмотрит возможность </w:t>
      </w:r>
      <w:r>
        <w:lastRenderedPageBreak/>
        <w:t xml:space="preserve">привлечения внешних консультантов для написания и разработки материалов курса в разумные сроки.  </w:t>
      </w:r>
    </w:p>
    <w:p w14:paraId="51CB970E" w14:textId="538EBF74" w:rsidR="00782534" w:rsidRPr="004156DC" w:rsidRDefault="00782534" w:rsidP="00782534">
      <w:pPr>
        <w:pStyle w:val="Heading2"/>
        <w:rPr>
          <w:rFonts w:eastAsiaTheme="minorEastAsia"/>
        </w:rPr>
      </w:pPr>
      <w:r>
        <w:t>Польза курса</w:t>
      </w:r>
    </w:p>
    <w:p w14:paraId="0A6EE7B4" w14:textId="62EFEB76" w:rsidR="00782534" w:rsidRPr="004156DC" w:rsidRDefault="00782534" w:rsidP="00782534">
      <w:pPr>
        <w:pStyle w:val="ONUME"/>
        <w:rPr>
          <w:rFonts w:eastAsiaTheme="minorEastAsia"/>
        </w:rPr>
      </w:pPr>
      <w:bookmarkStart w:id="7" w:name="_Ref184901556"/>
      <w:r>
        <w:t>Онлайновый базовый курс поможет в решении первоочередных, основных образовательных задач небольших ведомств.  Данный курс может служить предварительной ступенью для прохождения более сложных и/или разработанных для конкретной юрисдикции учебных программ, предлагаемых Международным бюро или другими ведомствами</w:t>
      </w:r>
      <w:r w:rsidR="00801DD7">
        <w:t>,</w:t>
      </w:r>
      <w:r>
        <w:t xml:space="preserve"> для достижения максимальной эффективности и результативности. </w:t>
      </w:r>
    </w:p>
    <w:p w14:paraId="5BBBA248" w14:textId="77777777" w:rsidR="00782534" w:rsidRPr="004156DC" w:rsidRDefault="00782534" w:rsidP="00782534">
      <w:pPr>
        <w:pStyle w:val="ONUME"/>
        <w:rPr>
          <w:rFonts w:eastAsiaTheme="minorEastAsia"/>
        </w:rPr>
      </w:pPr>
      <w:bookmarkStart w:id="8" w:name="_Ref187828197"/>
      <w:r>
        <w:t>После запуска базового курса Международное бюро продолжит проводить обучение на местах, чтобы удовлетворить различные потребности ведомств в обучении.</w:t>
      </w:r>
      <w:bookmarkEnd w:id="7"/>
      <w:bookmarkEnd w:id="8"/>
      <w:r>
        <w:t xml:space="preserve"> </w:t>
      </w:r>
    </w:p>
    <w:p w14:paraId="601B2EFB" w14:textId="183269F5" w:rsidR="00782534" w:rsidRPr="006604E6" w:rsidRDefault="00782534" w:rsidP="006604E6">
      <w:pPr>
        <w:pStyle w:val="Heading1"/>
        <w:rPr>
          <w:rFonts w:eastAsiaTheme="minorEastAsia"/>
        </w:rPr>
      </w:pPr>
      <w:r>
        <w:t xml:space="preserve">Платформа для общения патентных экспертов </w:t>
      </w:r>
    </w:p>
    <w:p w14:paraId="0DE62F20" w14:textId="77777777" w:rsidR="00782534" w:rsidRPr="004156DC" w:rsidRDefault="00782534" w:rsidP="00782534">
      <w:pPr>
        <w:pStyle w:val="ONUME"/>
        <w:rPr>
          <w:rFonts w:eastAsiaTheme="minorEastAsia"/>
        </w:rPr>
      </w:pPr>
      <w:bookmarkStart w:id="9" w:name="_Ref187828207"/>
      <w:bookmarkStart w:id="10" w:name="_Ref184901606"/>
      <w:r>
        <w:t>Настоящий проект направлен на создание виртуальной платформы для общения патентных экспертов с целью содействия сотрудничеству, обмену знаниями и постоянному профессиональному развитию патентных экспертов.</w:t>
      </w:r>
      <w:bookmarkEnd w:id="9"/>
      <w:r>
        <w:t xml:space="preserve"> </w:t>
      </w:r>
      <w:bookmarkEnd w:id="10"/>
    </w:p>
    <w:p w14:paraId="52AA8D3B" w14:textId="77777777" w:rsidR="00782534" w:rsidRPr="004156DC" w:rsidRDefault="00782534" w:rsidP="00782534">
      <w:pPr>
        <w:pStyle w:val="ONUME"/>
        <w:rPr>
          <w:rFonts w:eastAsiaTheme="minorEastAsia"/>
        </w:rPr>
      </w:pPr>
      <w:r>
        <w:t xml:space="preserve">Инициатива будет реализована в виде небольшого пилотного проекта, ориентированного на конкретный регион и объединяющего группу экспертов, говорящих на одном языке и специализирующихся на одной области техники. </w:t>
      </w:r>
    </w:p>
    <w:p w14:paraId="73F8E985" w14:textId="274DFFBA" w:rsidR="00782534" w:rsidRPr="004156DC" w:rsidRDefault="00782534" w:rsidP="00782534">
      <w:pPr>
        <w:pStyle w:val="Heading2"/>
        <w:rPr>
          <w:rFonts w:eastAsiaTheme="minorEastAsia"/>
        </w:rPr>
      </w:pPr>
      <w:r>
        <w:t>Цели</w:t>
      </w:r>
    </w:p>
    <w:p w14:paraId="2F239265" w14:textId="378EAB7D" w:rsidR="00782534" w:rsidRPr="004156DC" w:rsidRDefault="00782534" w:rsidP="00782534">
      <w:pPr>
        <w:pStyle w:val="ONUME"/>
        <w:rPr>
          <w:rFonts w:eastAsiaTheme="minorEastAsia"/>
        </w:rPr>
      </w:pPr>
      <w:r>
        <w:t>Цели настоящего проекта: (i) совершенствование процесса экспертизы: обмен передовой практикой, советами и опытом для повышения единообразия и качества патентной экспертизы; (ii) содействие обмену знаниями: предоставление доступа к образовательным и научным статьям, тематическим исследованиям и важным патентным решениям; (iii) укрепление сотрудничества: предоставление экспертам возможности обсуждать проблемы, задавать вопросы и коллективно обсуждать сложные случаи; и (iv) поощрение непрерывного обучения: информирование экспертов о последних изменениях в патентном праве, технологических тенденциях, практике и инструментах экспертизы.</w:t>
      </w:r>
    </w:p>
    <w:p w14:paraId="02B408EF" w14:textId="2B54DDE0" w:rsidR="00782534" w:rsidRPr="004156DC" w:rsidRDefault="00782534" w:rsidP="00782534">
      <w:pPr>
        <w:pStyle w:val="Heading2"/>
        <w:rPr>
          <w:rFonts w:eastAsiaTheme="minorEastAsia"/>
        </w:rPr>
      </w:pPr>
      <w:r>
        <w:t>Характеристики пилотного проекта</w:t>
      </w:r>
    </w:p>
    <w:p w14:paraId="4FC75CF0" w14:textId="61E6C811" w:rsidR="00782534" w:rsidRPr="004156DC" w:rsidRDefault="00782534" w:rsidP="00782534">
      <w:pPr>
        <w:pStyle w:val="ONUME"/>
        <w:rPr>
          <w:rFonts w:eastAsiaTheme="minorEastAsia"/>
        </w:rPr>
      </w:pPr>
      <w:r>
        <w:t>Пилотный проект будет обладать следующими элементами: (i) региональный характер: начало работы в конкретном регионе, что позволит использовать языковую и культурную общность; (ii) технологическая специфика: первоначальный фокус на конкретном технологическом секторе для удовлетворения целевых потребностей; (iii) интерактивная платформа; и (iv) вовлечение сообщества: форумы, виртуальные встречи и дискуссионные площадки, подразумевающие активное участие.</w:t>
      </w:r>
    </w:p>
    <w:p w14:paraId="2E455229" w14:textId="2634EF9E" w:rsidR="00782534" w:rsidRPr="004156DC" w:rsidRDefault="00782534" w:rsidP="00782534">
      <w:pPr>
        <w:pStyle w:val="Heading2"/>
        <w:rPr>
          <w:rFonts w:eastAsiaTheme="minorEastAsia"/>
        </w:rPr>
      </w:pPr>
      <w:r>
        <w:t>Ожидаемые итоги</w:t>
      </w:r>
    </w:p>
    <w:p w14:paraId="346DB9C0" w14:textId="35EE6437" w:rsidR="00782534" w:rsidRPr="004156DC" w:rsidRDefault="00782534" w:rsidP="00782534">
      <w:pPr>
        <w:pStyle w:val="ONUME"/>
        <w:rPr>
          <w:rFonts w:eastAsiaTheme="minorEastAsia"/>
        </w:rPr>
      </w:pPr>
      <w:r>
        <w:t>Ожидаются следующие итоги: (i) создание активного сообщества патентных экспертов с общими профильными знаниями; (ii) совершенствование практики проведения экспертизы и принятия решений; и (iii) выявление масштабируемых инструментов для будущего регионального и технологического расширения платформы для взаимодействия экспертов.</w:t>
      </w:r>
    </w:p>
    <w:p w14:paraId="707BBFD5" w14:textId="77777777" w:rsidR="00782534" w:rsidRPr="004156DC" w:rsidRDefault="00782534" w:rsidP="00782534">
      <w:pPr>
        <w:pStyle w:val="ONUME"/>
        <w:rPr>
          <w:rFonts w:eastAsiaTheme="minorEastAsia"/>
        </w:rPr>
      </w:pPr>
      <w:bookmarkStart w:id="11" w:name="_Ref184901613"/>
      <w:r>
        <w:t>Проведение пилотного этапа проекта позволит протестировать и усовершенствовать его формат, что откроет возможности для его более широкого внедрения и, следовательно, оказания поддержки патентным экспертам во всем мире.</w:t>
      </w:r>
      <w:bookmarkEnd w:id="11"/>
    </w:p>
    <w:p w14:paraId="567B3A59" w14:textId="77777777" w:rsidR="00782534" w:rsidRPr="004156DC" w:rsidRDefault="00782534" w:rsidP="00782534">
      <w:pPr>
        <w:rPr>
          <w:rFonts w:eastAsiaTheme="minorEastAsia"/>
          <w:lang w:eastAsia="ko-KR"/>
        </w:rPr>
      </w:pPr>
    </w:p>
    <w:p w14:paraId="507A5ECB" w14:textId="77777777" w:rsidR="00782534" w:rsidRPr="004156DC" w:rsidRDefault="00782534" w:rsidP="00782534">
      <w:pPr>
        <w:pStyle w:val="ONUME"/>
        <w:ind w:left="5533"/>
        <w:rPr>
          <w:rFonts w:eastAsiaTheme="minorEastAsia"/>
          <w:i/>
        </w:rPr>
      </w:pPr>
      <w:r>
        <w:rPr>
          <w:i/>
        </w:rPr>
        <w:t>Рабочей группе предлагается представить замечания касательно:</w:t>
      </w:r>
    </w:p>
    <w:p w14:paraId="01937242" w14:textId="2144CB29" w:rsidR="00782534" w:rsidRPr="004156DC" w:rsidRDefault="00782534" w:rsidP="00782534">
      <w:pPr>
        <w:pStyle w:val="ONUME"/>
        <w:numPr>
          <w:ilvl w:val="2"/>
          <w:numId w:val="5"/>
        </w:numPr>
        <w:ind w:left="5533"/>
        <w:rPr>
          <w:rFonts w:eastAsiaTheme="minorEastAsia"/>
          <w:i/>
        </w:rPr>
      </w:pPr>
      <w:r>
        <w:rPr>
          <w:i/>
        </w:rPr>
        <w:t>предложения о разработке базового курса Академии ВОИС по патентной экспертизе для новых или неопытных патентных экспертов небольших ведомств, изложенного выше в пунктах </w:t>
      </w:r>
      <w:r w:rsidRPr="004156DC">
        <w:rPr>
          <w:rFonts w:eastAsiaTheme="minorEastAsia"/>
          <w:i/>
        </w:rPr>
        <w:fldChar w:fldCharType="begin"/>
      </w:r>
      <w:r w:rsidRPr="004156DC">
        <w:rPr>
          <w:rFonts w:eastAsiaTheme="minorEastAsia"/>
          <w:i/>
        </w:rPr>
        <w:instrText xml:space="preserve"> REF _Ref184901538 \r \h </w:instrText>
      </w:r>
      <w:r w:rsidRPr="004156DC">
        <w:rPr>
          <w:rFonts w:eastAsiaTheme="minorEastAsia"/>
          <w:i/>
        </w:rPr>
      </w:r>
      <w:r w:rsidRPr="004156DC">
        <w:rPr>
          <w:rFonts w:eastAsiaTheme="minorEastAsia"/>
          <w:i/>
        </w:rPr>
        <w:fldChar w:fldCharType="separate"/>
      </w:r>
      <w:r w:rsidR="000E398D">
        <w:rPr>
          <w:rFonts w:eastAsiaTheme="minorEastAsia"/>
          <w:i/>
        </w:rPr>
        <w:t>4</w:t>
      </w:r>
      <w:r w:rsidRPr="004156DC">
        <w:rPr>
          <w:rFonts w:eastAsiaTheme="minorEastAsia"/>
          <w:i/>
        </w:rPr>
        <w:fldChar w:fldCharType="end"/>
      </w:r>
      <w:r>
        <w:rPr>
          <w:i/>
        </w:rPr>
        <w:t>–</w:t>
      </w:r>
      <w:r w:rsidR="00BA3854">
        <w:rPr>
          <w:rFonts w:eastAsiaTheme="minorEastAsia"/>
          <w:i/>
        </w:rPr>
        <w:fldChar w:fldCharType="begin"/>
      </w:r>
      <w:r w:rsidR="00BA3854">
        <w:rPr>
          <w:rFonts w:eastAsiaTheme="minorEastAsia"/>
          <w:i/>
        </w:rPr>
        <w:instrText xml:space="preserve"> REF _Ref187828197 \r \h </w:instrText>
      </w:r>
      <w:r w:rsidR="00BA3854">
        <w:rPr>
          <w:rFonts w:eastAsiaTheme="minorEastAsia"/>
          <w:i/>
        </w:rPr>
      </w:r>
      <w:r w:rsidR="00BA3854">
        <w:rPr>
          <w:rFonts w:eastAsiaTheme="minorEastAsia"/>
          <w:i/>
        </w:rPr>
        <w:fldChar w:fldCharType="separate"/>
      </w:r>
      <w:r w:rsidR="000E398D">
        <w:rPr>
          <w:rFonts w:eastAsiaTheme="minorEastAsia"/>
          <w:i/>
        </w:rPr>
        <w:t>19</w:t>
      </w:r>
      <w:r w:rsidR="00BA3854">
        <w:rPr>
          <w:rFonts w:eastAsiaTheme="minorEastAsia"/>
          <w:i/>
        </w:rPr>
        <w:fldChar w:fldCharType="end"/>
      </w:r>
      <w:r>
        <w:rPr>
          <w:i/>
        </w:rPr>
        <w:t xml:space="preserve">; и </w:t>
      </w:r>
    </w:p>
    <w:p w14:paraId="1092FFA8" w14:textId="5FA81502" w:rsidR="00782534" w:rsidRPr="004156DC" w:rsidRDefault="00782534" w:rsidP="00782534">
      <w:pPr>
        <w:pStyle w:val="ONUME"/>
        <w:numPr>
          <w:ilvl w:val="2"/>
          <w:numId w:val="5"/>
        </w:numPr>
        <w:ind w:left="5533"/>
        <w:rPr>
          <w:rFonts w:eastAsiaTheme="minorEastAsia"/>
          <w:i/>
        </w:rPr>
      </w:pPr>
      <w:r>
        <w:rPr>
          <w:i/>
        </w:rPr>
        <w:t xml:space="preserve">предложения о реализации пилотного проекта по созданию платформы для общения патентных экспертов, описанного выше в пунктах </w:t>
      </w:r>
      <w:r w:rsidR="00BA3854">
        <w:rPr>
          <w:rFonts w:eastAsiaTheme="minorEastAsia"/>
          <w:i/>
        </w:rPr>
        <w:fldChar w:fldCharType="begin"/>
      </w:r>
      <w:r w:rsidR="00BA3854">
        <w:rPr>
          <w:rFonts w:eastAsiaTheme="minorEastAsia"/>
          <w:i/>
        </w:rPr>
        <w:instrText xml:space="preserve"> </w:instrText>
      </w:r>
      <w:r w:rsidR="00BA3854">
        <w:rPr>
          <w:rFonts w:eastAsiaTheme="minorEastAsia" w:hint="eastAsia"/>
          <w:i/>
        </w:rPr>
        <w:instrText>REF _Ref187828207 \r \h</w:instrText>
      </w:r>
      <w:r w:rsidR="00BA3854">
        <w:rPr>
          <w:rFonts w:eastAsiaTheme="minorEastAsia"/>
          <w:i/>
        </w:rPr>
        <w:instrText xml:space="preserve"> </w:instrText>
      </w:r>
      <w:r w:rsidR="00BA3854">
        <w:rPr>
          <w:rFonts w:eastAsiaTheme="minorEastAsia"/>
          <w:i/>
        </w:rPr>
      </w:r>
      <w:r w:rsidR="00BA3854">
        <w:rPr>
          <w:rFonts w:eastAsiaTheme="minorEastAsia"/>
          <w:i/>
        </w:rPr>
        <w:fldChar w:fldCharType="separate"/>
      </w:r>
      <w:r w:rsidR="000E398D">
        <w:rPr>
          <w:rFonts w:eastAsiaTheme="minorEastAsia"/>
          <w:i/>
        </w:rPr>
        <w:t>20</w:t>
      </w:r>
      <w:r w:rsidR="00BA3854">
        <w:rPr>
          <w:rFonts w:eastAsiaTheme="minorEastAsia"/>
          <w:i/>
        </w:rPr>
        <w:fldChar w:fldCharType="end"/>
      </w:r>
      <w:r>
        <w:rPr>
          <w:i/>
        </w:rPr>
        <w:t>–</w:t>
      </w:r>
      <w:r w:rsidR="00BA3854">
        <w:rPr>
          <w:rFonts w:eastAsiaTheme="minorEastAsia"/>
          <w:i/>
        </w:rPr>
        <w:fldChar w:fldCharType="begin"/>
      </w:r>
      <w:r w:rsidR="00BA3854">
        <w:rPr>
          <w:rFonts w:eastAsiaTheme="minorEastAsia"/>
          <w:i/>
        </w:rPr>
        <w:instrText xml:space="preserve"> </w:instrText>
      </w:r>
      <w:r w:rsidR="00BA3854">
        <w:rPr>
          <w:rFonts w:eastAsiaTheme="minorEastAsia" w:hint="eastAsia"/>
          <w:i/>
        </w:rPr>
        <w:instrText>REF _Ref184901613 \r \h</w:instrText>
      </w:r>
      <w:r w:rsidR="00BA3854">
        <w:rPr>
          <w:rFonts w:eastAsiaTheme="minorEastAsia"/>
          <w:i/>
        </w:rPr>
        <w:instrText xml:space="preserve"> </w:instrText>
      </w:r>
      <w:r w:rsidR="00BA3854">
        <w:rPr>
          <w:rFonts w:eastAsiaTheme="minorEastAsia"/>
          <w:i/>
        </w:rPr>
      </w:r>
      <w:r w:rsidR="00BA3854">
        <w:rPr>
          <w:rFonts w:eastAsiaTheme="minorEastAsia"/>
          <w:i/>
        </w:rPr>
        <w:fldChar w:fldCharType="separate"/>
      </w:r>
      <w:r w:rsidR="000E398D">
        <w:rPr>
          <w:rFonts w:eastAsiaTheme="minorEastAsia"/>
          <w:i/>
        </w:rPr>
        <w:t>25</w:t>
      </w:r>
      <w:r w:rsidR="00BA3854">
        <w:rPr>
          <w:rFonts w:eastAsiaTheme="minorEastAsia"/>
          <w:i/>
        </w:rPr>
        <w:fldChar w:fldCharType="end"/>
      </w:r>
      <w:r>
        <w:rPr>
          <w:i/>
        </w:rPr>
        <w:t xml:space="preserve">. </w:t>
      </w:r>
    </w:p>
    <w:p w14:paraId="726693EA" w14:textId="77777777" w:rsidR="00782534" w:rsidRPr="004156DC" w:rsidRDefault="00782534" w:rsidP="00782534">
      <w:pPr>
        <w:pStyle w:val="Endofdocument-Annex"/>
      </w:pPr>
    </w:p>
    <w:p w14:paraId="630FC38A" w14:textId="77777777" w:rsidR="0089423E" w:rsidRPr="004156DC" w:rsidRDefault="00782534" w:rsidP="0089423E">
      <w:pPr>
        <w:pStyle w:val="Endofdocument-Annex"/>
        <w:sectPr w:rsidR="0089423E" w:rsidRPr="004156DC" w:rsidSect="0078253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79A4DA62" w14:textId="77777777" w:rsidR="0089423E" w:rsidRPr="004156DC" w:rsidRDefault="0089423E" w:rsidP="0089423E">
      <w:pPr>
        <w:pStyle w:val="ONUME"/>
        <w:numPr>
          <w:ilvl w:val="0"/>
          <w:numId w:val="0"/>
        </w:numPr>
      </w:pPr>
      <w:r>
        <w:t>ПРЕДЛАГАЕМЫЕ МОДУЛИ ВВОДНОГО ДИСТАНЦИОННОГО ОБРАЗОВАТЕЛЬНОГО КУРСА ДЛЯ НОВЫХ ИЛИ НЕОПЫТНЫХ ЭКСПЕРТОВ НЕБОЛЬШИХ ВЕДОМСТВ</w:t>
      </w:r>
    </w:p>
    <w:p w14:paraId="6BF1C076" w14:textId="29A1A4AF" w:rsidR="0089423E" w:rsidRPr="004156DC" w:rsidRDefault="004B3346" w:rsidP="00055340">
      <w:pPr>
        <w:pStyle w:val="Heading1"/>
        <w:rPr>
          <w:rFonts w:eastAsiaTheme="minorEastAsia"/>
        </w:rPr>
      </w:pPr>
      <w:r>
        <w:t xml:space="preserve">Введение  </w:t>
      </w:r>
    </w:p>
    <w:p w14:paraId="34716973" w14:textId="4A7E1508" w:rsidR="0089423E" w:rsidRPr="0042661E" w:rsidRDefault="0089423E" w:rsidP="0042661E">
      <w:pPr>
        <w:pStyle w:val="ONUME"/>
        <w:numPr>
          <w:ilvl w:val="0"/>
          <w:numId w:val="12"/>
        </w:numPr>
        <w:rPr>
          <w:rFonts w:eastAsiaTheme="minorEastAsia"/>
          <w:szCs w:val="22"/>
        </w:rPr>
      </w:pPr>
      <w:r>
        <w:t xml:space="preserve">Настоящее приложение содержит общее описание предлагаемого курса для обсуждения на восемнадцатой сессии Рабочей группы по РСТ. На основании обсуждений на сессии и в рамках предложенной целевой группы, а также по требованию потенциальных ведомств-бенефициаров, в модули могут вноситься изменения. </w:t>
      </w:r>
    </w:p>
    <w:p w14:paraId="7DE740E8" w14:textId="6344D17D" w:rsidR="0089423E" w:rsidRPr="004156DC" w:rsidRDefault="0089423E" w:rsidP="0089423E">
      <w:pPr>
        <w:pStyle w:val="ONUME"/>
        <w:rPr>
          <w:rFonts w:eastAsiaTheme="minorEastAsia"/>
        </w:rPr>
      </w:pPr>
      <w:r>
        <w:t xml:space="preserve">Следующие модули основаны на известных общих чертах патентного поиска и экспертизы. </w:t>
      </w:r>
      <w:r w:rsidR="00405C9A" w:rsidRPr="00405C9A">
        <w:t xml:space="preserve"> </w:t>
      </w:r>
      <w:r>
        <w:t xml:space="preserve">В случае различия </w:t>
      </w:r>
      <w:r w:rsidR="006177F7">
        <w:t xml:space="preserve">сложившихся </w:t>
      </w:r>
      <w:r>
        <w:t xml:space="preserve">практик или разночтений Международное бюро будет по возможности учитывать их </w:t>
      </w:r>
      <w:r w:rsidR="006177F7">
        <w:t xml:space="preserve">в равной степени </w:t>
      </w:r>
      <w:r>
        <w:t>при содействии предл</w:t>
      </w:r>
      <w:r w:rsidR="006177F7">
        <w:t>оженной</w:t>
      </w:r>
      <w:r>
        <w:t xml:space="preserve"> целевой группы. </w:t>
      </w:r>
    </w:p>
    <w:p w14:paraId="2BB20635" w14:textId="2E7C28AD" w:rsidR="0089423E" w:rsidRPr="004156DC" w:rsidRDefault="0089423E" w:rsidP="00BA3854">
      <w:pPr>
        <w:pStyle w:val="Heading1"/>
      </w:pPr>
      <w:r>
        <w:t xml:space="preserve">Предлагаемые модули </w:t>
      </w:r>
    </w:p>
    <w:p w14:paraId="67A4F7E4" w14:textId="41D0CD66" w:rsidR="0089423E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Основы патентной системы и патентные заявки</w:t>
      </w:r>
    </w:p>
    <w:p w14:paraId="3EC6E176" w14:textId="390E67D8" w:rsidR="0089423E" w:rsidRDefault="0089423E" w:rsidP="0042661E">
      <w:pPr>
        <w:pStyle w:val="ONUME"/>
      </w:pPr>
      <w:r>
        <w:t xml:space="preserve">В данном модуле будут рассматриваться концепция исключительных прав, сроки охраны, право приоритета, а также элементы типичной патентной заявки, такие как описание и формула(ы). Особое внимание будет уделено территориальному характеру патентного права и критериям патентоспособности. </w:t>
      </w:r>
    </w:p>
    <w:p w14:paraId="570E2C27" w14:textId="7E4D9217" w:rsidR="00BA3854" w:rsidRPr="00BA3854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Общие этапы патентного делопроизводства</w:t>
      </w:r>
    </w:p>
    <w:p w14:paraId="7903D5D2" w14:textId="77777777" w:rsidR="0089423E" w:rsidRPr="004156DC" w:rsidRDefault="0089423E" w:rsidP="0042661E">
      <w:pPr>
        <w:pStyle w:val="ONUME"/>
      </w:pPr>
      <w:r>
        <w:t xml:space="preserve">Наиболее часто встречающиеся этапы патентного делопроизводства, такие как формальная проверка, классификация и поиск по известному уровню техники, будут приведены в том порядке, в котором их обычно выполняют патентные эксперты.  </w:t>
      </w:r>
    </w:p>
    <w:p w14:paraId="232EDD64" w14:textId="0DC7989D" w:rsidR="0089423E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Формальная экспертиза</w:t>
      </w:r>
    </w:p>
    <w:p w14:paraId="57F001CB" w14:textId="77777777" w:rsidR="0089423E" w:rsidRPr="004156DC" w:rsidRDefault="0089423E" w:rsidP="0042661E">
      <w:pPr>
        <w:pStyle w:val="ONUME"/>
      </w:pPr>
      <w:r>
        <w:t xml:space="preserve">Курс будет посвящен экспертизе по существу, так как охватить все различные национальные/региональные формальные требования не представляется возможным.  Однако некоторые схожие черты формальной экспертизы будут кратко рассмотрены в данном модуле, чтобы помочь пользователям понять процедуры патентного делопроизводства в общем.  </w:t>
      </w:r>
    </w:p>
    <w:p w14:paraId="2D81B8FD" w14:textId="0AA5B8FE" w:rsidR="0089423E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Классификация</w:t>
      </w:r>
    </w:p>
    <w:p w14:paraId="64A29F7E" w14:textId="6C1D7FBE" w:rsidR="0089423E" w:rsidRPr="004156DC" w:rsidRDefault="0089423E" w:rsidP="0042661E">
      <w:pPr>
        <w:pStyle w:val="ONUME"/>
      </w:pPr>
      <w:r>
        <w:t xml:space="preserve">Будет представлена концепция патентной классификации, в основе которой лежит Международная патентная классификация (МПК). Другие схемы классификации также будут рассмотрены, что поможет пользователям понять, с чем они могут столкнуться в результатах работы других ведомств.  </w:t>
      </w:r>
    </w:p>
    <w:p w14:paraId="4DCD9FF4" w14:textId="34B15BC2" w:rsidR="0089423E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Достаточность раскрытия, обоснование формулы в описании и ясность</w:t>
      </w:r>
    </w:p>
    <w:p w14:paraId="647E4528" w14:textId="234D6B63" w:rsidR="0089423E" w:rsidRPr="004156DC" w:rsidRDefault="0089423E" w:rsidP="0042661E">
      <w:pPr>
        <w:pStyle w:val="ONUME"/>
      </w:pPr>
      <w:r>
        <w:t>Будут представлены критерии, которые часто рассматриваются перед поиском по известному уровню техники.</w:t>
      </w:r>
      <w:r w:rsidR="009F604C">
        <w:t xml:space="preserve"> </w:t>
      </w:r>
      <w:r>
        <w:t xml:space="preserve">Также будут разъяснены основные понятия, относящиеся к формулам, такие как независимые и зависимые пункты формулы изобретения, при этом будет указано, что определения терминов и требования к формулам могут различаться в зависимости от юрисдикции.  </w:t>
      </w:r>
    </w:p>
    <w:p w14:paraId="5B2FF07D" w14:textId="2EEE4645" w:rsidR="0089423E" w:rsidRPr="004156DC" w:rsidRDefault="0089423E" w:rsidP="00BA3854">
      <w:pPr>
        <w:pStyle w:val="Heading2"/>
        <w:numPr>
          <w:ilvl w:val="0"/>
          <w:numId w:val="11"/>
        </w:numPr>
        <w:ind w:left="0" w:firstLine="0"/>
      </w:pPr>
      <w:r>
        <w:t>Патентоспособность объекта и промышленная применимость</w:t>
      </w:r>
    </w:p>
    <w:p w14:paraId="5929C6E5" w14:textId="42BA8081" w:rsidR="0089423E" w:rsidRPr="004156DC" w:rsidRDefault="0089423E" w:rsidP="0042661E">
      <w:pPr>
        <w:pStyle w:val="ONUME"/>
      </w:pPr>
      <w:r>
        <w:t xml:space="preserve">Учитывая взаимосвязь между этими двумя критериями в некоторых национальных практиках, в данном модуле они будут рассматриваться вместе. Будут перечислены объекты, которые обычно не считаются патентоспособными, но с напоминанием о том, что существуют различные законы и практики.  </w:t>
      </w:r>
    </w:p>
    <w:p w14:paraId="32C03714" w14:textId="4A6678CE" w:rsidR="0089423E" w:rsidRPr="004156DC" w:rsidRDefault="0089423E" w:rsidP="00BA3854">
      <w:pPr>
        <w:pStyle w:val="Heading2"/>
        <w:numPr>
          <w:ilvl w:val="0"/>
          <w:numId w:val="11"/>
        </w:numPr>
        <w:ind w:left="0" w:firstLine="0"/>
      </w:pPr>
      <w:r>
        <w:t>Поиск по известному уровню техники</w:t>
      </w:r>
    </w:p>
    <w:p w14:paraId="130DC5B9" w14:textId="77777777" w:rsidR="0089423E" w:rsidRDefault="0089423E" w:rsidP="002F0297">
      <w:pPr>
        <w:pStyle w:val="ONUME"/>
        <w:spacing w:after="240"/>
      </w:pPr>
      <w:r>
        <w:t>В данном модуле будут рассмотрены концепция поиска по известному уровню техники, перечень наиболее часто используемых инструментов поиска, плюсы и минусы поиска с использованием классификаций и поиска по ключевым словам, а также будет разъясняться, где искать непатентную литературу.</w:t>
      </w:r>
    </w:p>
    <w:p w14:paraId="55A44F96" w14:textId="024A0429" w:rsidR="00BA3854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Новизна и изобретательский уровень</w:t>
      </w:r>
    </w:p>
    <w:p w14:paraId="139D9A12" w14:textId="5CD1346A" w:rsidR="0089423E" w:rsidRPr="004156DC" w:rsidRDefault="0089423E" w:rsidP="002F0297">
      <w:pPr>
        <w:pStyle w:val="ONUME"/>
        <w:spacing w:after="240"/>
      </w:pPr>
      <w:r>
        <w:t>Будет приведена концепция «специалиста в соответствующей области техники»</w:t>
      </w:r>
      <w:r w:rsidR="0000527C" w:rsidRPr="0000527C">
        <w:t xml:space="preserve">, </w:t>
      </w:r>
      <w:r w:rsidR="0000527C">
        <w:t>а также</w:t>
      </w:r>
      <w:r>
        <w:t xml:space="preserve"> основы сравнения известного уровня техники с рассматриваемым изобретением.  Будут изложены основные понятия, связанные с изобретательским уровнем.  Более подробная информация, относящаяся к конкретным юрисдикциям, не будет изучаться в настоящем вводном курсе, она будет приведена в более углубленных курсах. </w:t>
      </w:r>
    </w:p>
    <w:p w14:paraId="202C5133" w14:textId="693BE9A8" w:rsidR="0089423E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 xml:space="preserve">Единство изобретения </w:t>
      </w:r>
    </w:p>
    <w:p w14:paraId="5F33CEE4" w14:textId="35993710" w:rsidR="0089423E" w:rsidRDefault="0089423E" w:rsidP="002F0297">
      <w:pPr>
        <w:pStyle w:val="ONUME"/>
        <w:spacing w:after="240"/>
      </w:pPr>
      <w:r>
        <w:t xml:space="preserve">Изложение основной концепции единства изобретения и методов регулирования ее отсутствия в различных юрисдикциях, например, в случае выделенных заявок, отказа или поиска по отдельным пунктам формулы.  Будет использована информация из Руководства по международному поиску и предварительной экспертизе PCT. </w:t>
      </w:r>
    </w:p>
    <w:p w14:paraId="6B78B24D" w14:textId="583C73C1" w:rsidR="00BA3854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Совместное использование результатов работы</w:t>
      </w:r>
    </w:p>
    <w:p w14:paraId="2AF9913A" w14:textId="2D49A6A8" w:rsidR="0089423E" w:rsidRDefault="0089423E" w:rsidP="002F0297">
      <w:pPr>
        <w:pStyle w:val="ONUME"/>
        <w:spacing w:after="240"/>
      </w:pPr>
      <w:r>
        <w:t xml:space="preserve">В данном модуле будет разъяснено, как находить и использовать патентные семейства, а также результаты работы других ведомств. Также будет рассказано о том, как в каждой юрисдикции по-разному называются некоторые общие процедуры делопроизводства. </w:t>
      </w:r>
    </w:p>
    <w:p w14:paraId="11A21D34" w14:textId="0375BA56" w:rsidR="00BA3854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PCT и патентная экспертиза</w:t>
      </w:r>
    </w:p>
    <w:p w14:paraId="516A9839" w14:textId="77777777" w:rsidR="0089423E" w:rsidRDefault="0089423E" w:rsidP="002F0297">
      <w:pPr>
        <w:pStyle w:val="ONUME"/>
        <w:spacing w:after="240"/>
      </w:pPr>
      <w:r>
        <w:t xml:space="preserve">Вновь будет рассмотрена основная концепция системы РСТ и рассказано о том, как читать и использовать отчеты о международном поиске РСТ и международные предварительные заключения о патентоспособности. </w:t>
      </w:r>
    </w:p>
    <w:p w14:paraId="1A501734" w14:textId="7A34716F" w:rsidR="00BA3854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>Первое постановление ведомства</w:t>
      </w:r>
    </w:p>
    <w:p w14:paraId="0304F0A5" w14:textId="2D2A7B3E" w:rsidR="00BA3854" w:rsidRDefault="0089423E" w:rsidP="002F0297">
      <w:pPr>
        <w:pStyle w:val="ONUME"/>
        <w:spacing w:after="240"/>
      </w:pPr>
      <w:r>
        <w:t xml:space="preserve">В данном модуле </w:t>
      </w:r>
      <w:r w:rsidR="00780C21">
        <w:t>будет проанализировано</w:t>
      </w:r>
      <w:r>
        <w:t>, что обычно включается в письма о первом постановлении ведомства</w:t>
      </w:r>
      <w:r w:rsidR="00780C21">
        <w:t>, а также</w:t>
      </w:r>
      <w:r>
        <w:t xml:space="preserve"> на что следует обратить внимание экспертам, чтобы составлять точные и понятные уведомления для заявителей.</w:t>
      </w:r>
    </w:p>
    <w:p w14:paraId="242A29BC" w14:textId="7A2A70D1" w:rsidR="0089423E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 xml:space="preserve">Порядок действий после выдачи первого постановления и требования к внесению поправок </w:t>
      </w:r>
    </w:p>
    <w:p w14:paraId="3EF192BE" w14:textId="77777777" w:rsidR="00BA3854" w:rsidRDefault="0089423E" w:rsidP="002F0297">
      <w:pPr>
        <w:pStyle w:val="ONUME"/>
        <w:spacing w:after="240"/>
      </w:pPr>
      <w:r>
        <w:t>В данном модуле будет рассказано о том, что патентный эксперт может ожидать от заявителя после уведомления о первом постановлении, какие последующие действия следует предпринять, а также о том, какие требования к внесению поправок существуют в разных юрисдикциях.</w:t>
      </w:r>
    </w:p>
    <w:p w14:paraId="28120ADF" w14:textId="0E51E6C5" w:rsidR="0089423E" w:rsidRPr="004156DC" w:rsidRDefault="00BA3854" w:rsidP="00BA3854">
      <w:pPr>
        <w:pStyle w:val="Heading2"/>
        <w:numPr>
          <w:ilvl w:val="0"/>
          <w:numId w:val="11"/>
        </w:numPr>
        <w:ind w:left="0" w:firstLine="0"/>
      </w:pPr>
      <w:r>
        <w:t xml:space="preserve">Прочие вопросы </w:t>
      </w:r>
    </w:p>
    <w:p w14:paraId="122979C7" w14:textId="77777777" w:rsidR="0089423E" w:rsidRPr="004156DC" w:rsidRDefault="0089423E" w:rsidP="002F0297">
      <w:pPr>
        <w:pStyle w:val="ONUME"/>
        <w:spacing w:after="240"/>
      </w:pPr>
      <w:r>
        <w:t xml:space="preserve">Краткие сведения о порядке действий после одобрения заявки или отказа, других видах охраны, таких как полезные модели, уникальных особенностях формул в некоторых областях техники и т.д. Данный модуль не будет содержать техническую информацию, его задача — помочь пользователям при необходимости найти более детальную информацию по теме.  </w:t>
      </w:r>
    </w:p>
    <w:p w14:paraId="5C3190A5" w14:textId="7777DAE6" w:rsidR="0089423E" w:rsidRPr="004156DC" w:rsidRDefault="00BA3854" w:rsidP="002F0297">
      <w:pPr>
        <w:pStyle w:val="Heading2"/>
        <w:pageBreakBefore/>
        <w:numPr>
          <w:ilvl w:val="0"/>
          <w:numId w:val="11"/>
        </w:numPr>
        <w:ind w:left="0" w:firstLine="0"/>
      </w:pPr>
      <w:r>
        <w:t>Заключение</w:t>
      </w:r>
    </w:p>
    <w:p w14:paraId="74870379" w14:textId="07E09EAC" w:rsidR="0089423E" w:rsidRPr="004156DC" w:rsidRDefault="0089423E" w:rsidP="002F0297">
      <w:pPr>
        <w:pStyle w:val="ONUME"/>
        <w:spacing w:after="240"/>
      </w:pPr>
      <w:r>
        <w:t xml:space="preserve">В последнем модуле участники вспомнят основные тезисы предыдущих модулей и подведут итоги. В нем также будет приведен список дополнительных учебных программ, организуемых ведомствами и ВОИС. </w:t>
      </w:r>
    </w:p>
    <w:p w14:paraId="50890EE5" w14:textId="4C15A184" w:rsidR="004156DC" w:rsidRPr="004156DC" w:rsidRDefault="00BA3854" w:rsidP="006156B0">
      <w:pPr>
        <w:pStyle w:val="Endofdocument-Annex"/>
        <w:rPr>
          <w:rFonts w:eastAsiaTheme="minorEastAsia"/>
        </w:rPr>
      </w:pPr>
      <w:r>
        <w:br/>
        <w:t>[Конец приложения и документа]</w:t>
      </w:r>
    </w:p>
    <w:sectPr w:rsidR="004156DC" w:rsidRPr="004156DC" w:rsidSect="0089423E">
      <w:headerReference w:type="even" r:id="rId10"/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7A30" w14:textId="77777777" w:rsidR="00DD2663" w:rsidRDefault="00DD2663">
      <w:r>
        <w:separator/>
      </w:r>
    </w:p>
  </w:endnote>
  <w:endnote w:type="continuationSeparator" w:id="0">
    <w:p w14:paraId="46B56D06" w14:textId="77777777" w:rsidR="00DD2663" w:rsidRDefault="00DD2663" w:rsidP="003B38C1">
      <w:r>
        <w:separator/>
      </w:r>
    </w:p>
    <w:p w14:paraId="39244BFB" w14:textId="77777777" w:rsidR="00DD2663" w:rsidRPr="00D467B8" w:rsidRDefault="00DD2663" w:rsidP="003B38C1">
      <w:pPr>
        <w:spacing w:after="60"/>
        <w:rPr>
          <w:sz w:val="17"/>
          <w:lang w:val="en-US"/>
        </w:rPr>
      </w:pPr>
      <w:r w:rsidRPr="00D467B8">
        <w:rPr>
          <w:sz w:val="17"/>
          <w:lang w:val="en-US"/>
        </w:rPr>
        <w:t>[Endnote continued from previous page]</w:t>
      </w:r>
    </w:p>
  </w:endnote>
  <w:endnote w:type="continuationNotice" w:id="1">
    <w:p w14:paraId="18F629D4" w14:textId="77777777" w:rsidR="00DD2663" w:rsidRPr="00D467B8" w:rsidRDefault="00DD2663" w:rsidP="003B38C1">
      <w:pPr>
        <w:spacing w:before="60"/>
        <w:jc w:val="right"/>
        <w:rPr>
          <w:sz w:val="17"/>
          <w:szCs w:val="17"/>
          <w:lang w:val="en-US"/>
        </w:rPr>
      </w:pPr>
      <w:r w:rsidRPr="00D467B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E0AC3" w14:textId="77777777" w:rsidR="00DD2663" w:rsidRDefault="00DD2663">
      <w:r>
        <w:separator/>
      </w:r>
    </w:p>
  </w:footnote>
  <w:footnote w:type="continuationSeparator" w:id="0">
    <w:p w14:paraId="1A17C340" w14:textId="77777777" w:rsidR="00DD2663" w:rsidRDefault="00DD2663" w:rsidP="008B60B2">
      <w:r>
        <w:separator/>
      </w:r>
    </w:p>
    <w:p w14:paraId="1CAA3DAD" w14:textId="77777777" w:rsidR="00DD2663" w:rsidRPr="00D467B8" w:rsidRDefault="00DD2663" w:rsidP="008B60B2">
      <w:pPr>
        <w:spacing w:after="60"/>
        <w:rPr>
          <w:sz w:val="17"/>
          <w:szCs w:val="17"/>
          <w:lang w:val="en-US"/>
        </w:rPr>
      </w:pPr>
      <w:r w:rsidRPr="00D467B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AADA321" w14:textId="77777777" w:rsidR="00DD2663" w:rsidRPr="00D467B8" w:rsidRDefault="00DD2663" w:rsidP="008B60B2">
      <w:pPr>
        <w:spacing w:before="60"/>
        <w:jc w:val="right"/>
        <w:rPr>
          <w:sz w:val="17"/>
          <w:szCs w:val="17"/>
          <w:lang w:val="en-US"/>
        </w:rPr>
      </w:pPr>
      <w:r w:rsidRPr="00D467B8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5D2D7" w14:textId="77777777" w:rsidR="0089423E" w:rsidRDefault="00782534" w:rsidP="0089423E">
    <w:pPr>
      <w:jc w:val="right"/>
    </w:pPr>
    <w:bookmarkStart w:id="12" w:name="Code2"/>
    <w:bookmarkEnd w:id="12"/>
    <w:r>
      <w:t>PCT/WG/18/11</w:t>
    </w:r>
  </w:p>
  <w:p w14:paraId="0E068A22" w14:textId="3A54E0EE" w:rsidR="00EC4E49" w:rsidRDefault="0089423E" w:rsidP="0089423E">
    <w:pPr>
      <w:jc w:val="right"/>
    </w:pPr>
    <w: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BEE037C" w14:textId="77777777" w:rsidR="00EC4E49" w:rsidRDefault="00EC4E49" w:rsidP="00477D6B">
    <w:pPr>
      <w:jc w:val="right"/>
    </w:pPr>
  </w:p>
  <w:p w14:paraId="65086A4F" w14:textId="77777777" w:rsidR="00B50B99" w:rsidRDefault="00B50B99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04BA" w14:textId="77777777" w:rsidR="00F40004" w:rsidRPr="002326AB" w:rsidRDefault="00F40004" w:rsidP="004A1AE0">
    <w:pPr>
      <w:jc w:val="right"/>
      <w:rPr>
        <w:caps/>
      </w:rPr>
    </w:pPr>
    <w:r>
      <w:rPr>
        <w:caps/>
      </w:rPr>
      <w:t>PCT/WG/18/?</w:t>
    </w:r>
  </w:p>
  <w:p w14:paraId="0FB7543A" w14:textId="77777777" w:rsidR="00F40004" w:rsidRDefault="00F40004" w:rsidP="004A1AE0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14:paraId="0726E3E7" w14:textId="77777777" w:rsidR="00F40004" w:rsidRDefault="00F40004" w:rsidP="004A1AE0">
    <w:pPr>
      <w:jc w:val="right"/>
    </w:pPr>
  </w:p>
  <w:p w14:paraId="7A01DC8C" w14:textId="77777777" w:rsidR="00F40004" w:rsidRDefault="00F40004" w:rsidP="004A1AE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9AF85" w14:textId="77777777" w:rsidR="004B3346" w:rsidRDefault="004B3346" w:rsidP="0089423E">
    <w:pPr>
      <w:jc w:val="right"/>
    </w:pPr>
    <w:r>
      <w:t>PCT/WG/18/11</w:t>
    </w:r>
  </w:p>
  <w:p w14:paraId="216F317F" w14:textId="5D3BE8C5" w:rsidR="004B3346" w:rsidRDefault="004B3346" w:rsidP="0089423E">
    <w:pPr>
      <w:jc w:val="right"/>
    </w:pPr>
    <w:r>
      <w:t xml:space="preserve">Приложение, стр.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41CAA71C" w14:textId="77777777" w:rsidR="004B3346" w:rsidRDefault="004B3346" w:rsidP="00477D6B">
    <w:pPr>
      <w:jc w:val="right"/>
    </w:pPr>
  </w:p>
  <w:p w14:paraId="1679AC13" w14:textId="77777777" w:rsidR="004B3346" w:rsidRDefault="004B3346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5B9D6" w14:textId="04A42EBC" w:rsidR="00F40004" w:rsidRDefault="00F40004" w:rsidP="004126F1">
    <w:pPr>
      <w:pStyle w:val="Header"/>
      <w:jc w:val="right"/>
    </w:pPr>
    <w:r>
      <w:t>PCT/WG/18/11</w:t>
    </w:r>
    <w:r>
      <w:br/>
      <w:t>ПРИЛОЖЕНИЕ</w:t>
    </w:r>
  </w:p>
  <w:p w14:paraId="148D23ED" w14:textId="77777777" w:rsidR="0089423E" w:rsidRDefault="0089423E" w:rsidP="004126F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950A2E"/>
    <w:multiLevelType w:val="hybridMultilevel"/>
    <w:tmpl w:val="6B1CA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7D2594"/>
    <w:multiLevelType w:val="multilevel"/>
    <w:tmpl w:val="18BE88D2"/>
    <w:styleLink w:val="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231B4B"/>
    <w:multiLevelType w:val="multilevel"/>
    <w:tmpl w:val="18BE88D2"/>
    <w:styleLink w:val="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20229D5"/>
    <w:multiLevelType w:val="hybridMultilevel"/>
    <w:tmpl w:val="E2C09A82"/>
    <w:lvl w:ilvl="0" w:tplc="22E282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E64E3E"/>
    <w:multiLevelType w:val="multilevel"/>
    <w:tmpl w:val="18BE88D2"/>
    <w:styleLink w:val="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58AE5341"/>
    <w:multiLevelType w:val="hybridMultilevel"/>
    <w:tmpl w:val="A710BAF0"/>
    <w:lvl w:ilvl="0" w:tplc="56240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02DED"/>
    <w:multiLevelType w:val="hybridMultilevel"/>
    <w:tmpl w:val="1966CE86"/>
    <w:lvl w:ilvl="0" w:tplc="382C50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8653">
    <w:abstractNumId w:val="3"/>
  </w:num>
  <w:num w:numId="2" w16cid:durableId="1159539219">
    <w:abstractNumId w:val="8"/>
  </w:num>
  <w:num w:numId="3" w16cid:durableId="76558780">
    <w:abstractNumId w:val="0"/>
  </w:num>
  <w:num w:numId="4" w16cid:durableId="1331255219">
    <w:abstractNumId w:val="9"/>
  </w:num>
  <w:num w:numId="5" w16cid:durableId="1001860684">
    <w:abstractNumId w:val="1"/>
  </w:num>
  <w:num w:numId="6" w16cid:durableId="970937653">
    <w:abstractNumId w:val="5"/>
  </w:num>
  <w:num w:numId="7" w16cid:durableId="1331257377">
    <w:abstractNumId w:val="2"/>
  </w:num>
  <w:num w:numId="8" w16cid:durableId="1877349557">
    <w:abstractNumId w:val="1"/>
  </w:num>
  <w:num w:numId="9" w16cid:durableId="1527719114">
    <w:abstractNumId w:val="12"/>
  </w:num>
  <w:num w:numId="10" w16cid:durableId="1907715313">
    <w:abstractNumId w:val="11"/>
  </w:num>
  <w:num w:numId="11" w16cid:durableId="622535882">
    <w:abstractNumId w:val="7"/>
  </w:num>
  <w:num w:numId="12" w16cid:durableId="376125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8106109">
    <w:abstractNumId w:val="6"/>
  </w:num>
  <w:num w:numId="14" w16cid:durableId="1941835924">
    <w:abstractNumId w:val="10"/>
  </w:num>
  <w:num w:numId="15" w16cid:durableId="1695377678">
    <w:abstractNumId w:val="4"/>
  </w:num>
  <w:num w:numId="16" w16cid:durableId="307788990">
    <w:abstractNumId w:val="1"/>
  </w:num>
  <w:num w:numId="17" w16cid:durableId="576327151">
    <w:abstractNumId w:val="1"/>
  </w:num>
  <w:num w:numId="18" w16cid:durableId="577978163">
    <w:abstractNumId w:val="1"/>
  </w:num>
  <w:num w:numId="19" w16cid:durableId="1298611408">
    <w:abstractNumId w:val="1"/>
  </w:num>
  <w:num w:numId="20" w16cid:durableId="436632594">
    <w:abstractNumId w:val="1"/>
  </w:num>
  <w:num w:numId="21" w16cid:durableId="1549492787">
    <w:abstractNumId w:val="1"/>
  </w:num>
  <w:num w:numId="22" w16cid:durableId="1102261682">
    <w:abstractNumId w:val="1"/>
  </w:num>
  <w:num w:numId="23" w16cid:durableId="80847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34"/>
    <w:rsid w:val="0000527C"/>
    <w:rsid w:val="0001647B"/>
    <w:rsid w:val="00026B5B"/>
    <w:rsid w:val="00043CAA"/>
    <w:rsid w:val="00055340"/>
    <w:rsid w:val="00075432"/>
    <w:rsid w:val="000968ED"/>
    <w:rsid w:val="000E398D"/>
    <w:rsid w:val="000F5E56"/>
    <w:rsid w:val="001024FE"/>
    <w:rsid w:val="001240D4"/>
    <w:rsid w:val="001362EE"/>
    <w:rsid w:val="00142868"/>
    <w:rsid w:val="00164CA9"/>
    <w:rsid w:val="001832A6"/>
    <w:rsid w:val="001C6808"/>
    <w:rsid w:val="00203827"/>
    <w:rsid w:val="002121FA"/>
    <w:rsid w:val="0022798C"/>
    <w:rsid w:val="0024765A"/>
    <w:rsid w:val="002634C4"/>
    <w:rsid w:val="002671F7"/>
    <w:rsid w:val="00273430"/>
    <w:rsid w:val="002928D3"/>
    <w:rsid w:val="0029703C"/>
    <w:rsid w:val="002F0297"/>
    <w:rsid w:val="002F1FE6"/>
    <w:rsid w:val="002F4E68"/>
    <w:rsid w:val="00312F7F"/>
    <w:rsid w:val="003228B7"/>
    <w:rsid w:val="003508A3"/>
    <w:rsid w:val="00356222"/>
    <w:rsid w:val="003673CF"/>
    <w:rsid w:val="003845C1"/>
    <w:rsid w:val="003A6F89"/>
    <w:rsid w:val="003B38C1"/>
    <w:rsid w:val="003D352A"/>
    <w:rsid w:val="003F4C9E"/>
    <w:rsid w:val="00405C9A"/>
    <w:rsid w:val="004156DC"/>
    <w:rsid w:val="00423E3E"/>
    <w:rsid w:val="0042661E"/>
    <w:rsid w:val="00427AF4"/>
    <w:rsid w:val="004400E2"/>
    <w:rsid w:val="00452804"/>
    <w:rsid w:val="00461632"/>
    <w:rsid w:val="004647DA"/>
    <w:rsid w:val="00474062"/>
    <w:rsid w:val="00477D6B"/>
    <w:rsid w:val="00485969"/>
    <w:rsid w:val="00486C02"/>
    <w:rsid w:val="00497C1B"/>
    <w:rsid w:val="004B3346"/>
    <w:rsid w:val="004D39C4"/>
    <w:rsid w:val="0053057A"/>
    <w:rsid w:val="00543927"/>
    <w:rsid w:val="00560A29"/>
    <w:rsid w:val="0058149F"/>
    <w:rsid w:val="00594D27"/>
    <w:rsid w:val="00601760"/>
    <w:rsid w:val="00605827"/>
    <w:rsid w:val="006156B0"/>
    <w:rsid w:val="006177F7"/>
    <w:rsid w:val="00646050"/>
    <w:rsid w:val="006604E6"/>
    <w:rsid w:val="006713CA"/>
    <w:rsid w:val="00676C5C"/>
    <w:rsid w:val="00677FFD"/>
    <w:rsid w:val="00695558"/>
    <w:rsid w:val="006D5E0F"/>
    <w:rsid w:val="006E2ECA"/>
    <w:rsid w:val="007058FB"/>
    <w:rsid w:val="00744C06"/>
    <w:rsid w:val="00746723"/>
    <w:rsid w:val="00776926"/>
    <w:rsid w:val="00780C21"/>
    <w:rsid w:val="00782534"/>
    <w:rsid w:val="007B6A58"/>
    <w:rsid w:val="007D1613"/>
    <w:rsid w:val="007D2331"/>
    <w:rsid w:val="00801DD7"/>
    <w:rsid w:val="00827755"/>
    <w:rsid w:val="00873EE5"/>
    <w:rsid w:val="0089423E"/>
    <w:rsid w:val="008B2CC1"/>
    <w:rsid w:val="008B4B5E"/>
    <w:rsid w:val="008B60B2"/>
    <w:rsid w:val="0090731E"/>
    <w:rsid w:val="00916EE2"/>
    <w:rsid w:val="00946221"/>
    <w:rsid w:val="00966A22"/>
    <w:rsid w:val="0096722F"/>
    <w:rsid w:val="00980843"/>
    <w:rsid w:val="009B2FD6"/>
    <w:rsid w:val="009E2791"/>
    <w:rsid w:val="009E3F6F"/>
    <w:rsid w:val="009F3BF9"/>
    <w:rsid w:val="009F499F"/>
    <w:rsid w:val="009F604C"/>
    <w:rsid w:val="00A074E5"/>
    <w:rsid w:val="00A26A28"/>
    <w:rsid w:val="00A42DAF"/>
    <w:rsid w:val="00A45BD8"/>
    <w:rsid w:val="00A778BF"/>
    <w:rsid w:val="00A85B8E"/>
    <w:rsid w:val="00AA3B46"/>
    <w:rsid w:val="00AC205C"/>
    <w:rsid w:val="00AF5C73"/>
    <w:rsid w:val="00B05A69"/>
    <w:rsid w:val="00B40598"/>
    <w:rsid w:val="00B50B99"/>
    <w:rsid w:val="00B62CD9"/>
    <w:rsid w:val="00B93309"/>
    <w:rsid w:val="00B9734B"/>
    <w:rsid w:val="00BA3854"/>
    <w:rsid w:val="00BF2415"/>
    <w:rsid w:val="00BF3508"/>
    <w:rsid w:val="00BF48DE"/>
    <w:rsid w:val="00C11BFE"/>
    <w:rsid w:val="00C91AB4"/>
    <w:rsid w:val="00C94629"/>
    <w:rsid w:val="00CE65D4"/>
    <w:rsid w:val="00D45252"/>
    <w:rsid w:val="00D467B8"/>
    <w:rsid w:val="00D71B4D"/>
    <w:rsid w:val="00D93D55"/>
    <w:rsid w:val="00DB7128"/>
    <w:rsid w:val="00DD2663"/>
    <w:rsid w:val="00E070BF"/>
    <w:rsid w:val="00E161A2"/>
    <w:rsid w:val="00E335FE"/>
    <w:rsid w:val="00E401E3"/>
    <w:rsid w:val="00E5021F"/>
    <w:rsid w:val="00E56C70"/>
    <w:rsid w:val="00E671A6"/>
    <w:rsid w:val="00E90B8B"/>
    <w:rsid w:val="00EB6D59"/>
    <w:rsid w:val="00EC4E49"/>
    <w:rsid w:val="00ED77FB"/>
    <w:rsid w:val="00F021A6"/>
    <w:rsid w:val="00F11D94"/>
    <w:rsid w:val="00F40004"/>
    <w:rsid w:val="00F66152"/>
    <w:rsid w:val="00F866B9"/>
    <w:rsid w:val="00F908D5"/>
    <w:rsid w:val="00F9200A"/>
    <w:rsid w:val="00F922E9"/>
    <w:rsid w:val="00FB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511A96"/>
  <w15:docId w15:val="{4B35F1DF-326E-479E-A91B-B7BA7347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8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82534"/>
    <w:rPr>
      <w:rFonts w:ascii="Arial" w:eastAsia="SimSun" w:hAnsi="Arial" w:cs="Arial"/>
      <w:b/>
      <w:bCs/>
      <w:caps/>
      <w:kern w:val="32"/>
      <w:sz w:val="22"/>
      <w:szCs w:val="32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9423E"/>
    <w:rPr>
      <w:rFonts w:ascii="Arial" w:eastAsia="SimSun" w:hAnsi="Arial" w:cs="Arial"/>
      <w:sz w:val="22"/>
      <w:lang w:val="ru-RU" w:eastAsia="zh-CN"/>
    </w:rPr>
  </w:style>
  <w:style w:type="paragraph" w:styleId="Revision">
    <w:name w:val="Revision"/>
    <w:hidden/>
    <w:uiPriority w:val="99"/>
    <w:semiHidden/>
    <w:rsid w:val="006604E6"/>
    <w:rPr>
      <w:rFonts w:ascii="Arial" w:eastAsia="SimSun" w:hAnsi="Arial" w:cs="Arial"/>
      <w:sz w:val="22"/>
      <w:lang w:eastAsia="zh-CN"/>
    </w:rPr>
  </w:style>
  <w:style w:type="numbering" w:customStyle="1" w:styleId="1">
    <w:name w:val="Текущий список1"/>
    <w:uiPriority w:val="99"/>
    <w:rsid w:val="0042661E"/>
    <w:pPr>
      <w:numPr>
        <w:numId w:val="13"/>
      </w:numPr>
    </w:pPr>
  </w:style>
  <w:style w:type="numbering" w:customStyle="1" w:styleId="2">
    <w:name w:val="Текущий список2"/>
    <w:uiPriority w:val="99"/>
    <w:rsid w:val="0042661E"/>
    <w:pPr>
      <w:numPr>
        <w:numId w:val="14"/>
      </w:numPr>
    </w:pPr>
  </w:style>
  <w:style w:type="numbering" w:customStyle="1" w:styleId="3">
    <w:name w:val="Текущий список3"/>
    <w:uiPriority w:val="99"/>
    <w:rsid w:val="0042661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WG_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PCT_WG_18 (E)</Template>
  <TotalTime>1</TotalTime>
  <Pages>8</Pages>
  <Words>2024</Words>
  <Characters>14251</Characters>
  <Application>Microsoft Office Word</Application>
  <DocSecurity>0</DocSecurity>
  <Lines>118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PCT/WG/18/11</vt:lpstr>
      <vt:lpstr>PCT/WG/18/11</vt:lpstr>
    </vt:vector>
  </TitlesOfParts>
  <Company>WIPO</Company>
  <LinksUpToDate>false</LinksUpToDate>
  <CharactersWithSpaces>16243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PCT/WG/18/11</dc:title>
  <dc:creator>BONNET Jérôme</dc:creator>
  <cp:keywords>FOR OFFICIAL USE ONLY</cp:keywords>
  <cp:lastModifiedBy>MARLOW Thomas</cp:lastModifiedBy>
  <cp:revision>2</cp:revision>
  <cp:lastPrinted>2025-01-15T17:15:00Z</cp:lastPrinted>
  <dcterms:created xsi:type="dcterms:W3CDTF">2025-01-24T15:41:00Z</dcterms:created>
  <dcterms:modified xsi:type="dcterms:W3CDTF">2025-01-24T15:41:00Z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