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BEF7" w14:textId="2B6BBA81" w:rsidR="008B2CC1" w:rsidRPr="004C5E85" w:rsidRDefault="00EE58D9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4C5E85">
        <w:rPr>
          <w:noProof/>
          <w:lang w:val="en-GB" w:eastAsia="en-GB"/>
        </w:rPr>
        <w:drawing>
          <wp:inline distT="0" distB="0" distL="0" distR="0" wp14:anchorId="05B898AF" wp14:editId="15C63384">
            <wp:extent cx="3078480" cy="1396365"/>
            <wp:effectExtent l="0" t="0" r="7620" b="0"/>
            <wp:docPr id="1" name="Рисунок 1" descr="Русский язык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усский язык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, Всемирной организации интеллектуальной собственности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D4DC01" w14:textId="77777777" w:rsidR="008B2CC1" w:rsidRPr="004C5E85" w:rsidRDefault="00FD2CC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C5E85">
        <w:rPr>
          <w:rFonts w:ascii="Arial Black" w:hAnsi="Arial Black"/>
          <w:caps/>
          <w:sz w:val="15"/>
          <w:szCs w:val="15"/>
          <w:lang w:val="ru-RU"/>
        </w:rPr>
        <w:t>PCT/WG/15/</w:t>
      </w:r>
      <w:bookmarkStart w:id="1" w:name="Code"/>
      <w:bookmarkEnd w:id="1"/>
      <w:r w:rsidR="004F76CF" w:rsidRPr="004C5E85">
        <w:rPr>
          <w:rFonts w:ascii="Arial Black" w:hAnsi="Arial Black"/>
          <w:caps/>
          <w:sz w:val="15"/>
          <w:szCs w:val="15"/>
          <w:lang w:val="ru-RU"/>
        </w:rPr>
        <w:t>7</w:t>
      </w:r>
    </w:p>
    <w:p w14:paraId="4D08D6C6" w14:textId="582204B8" w:rsidR="008B2CC1" w:rsidRPr="004C5E85" w:rsidRDefault="00737AE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C5E85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4C5E8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 w:rsidRPr="004C5E85">
        <w:rPr>
          <w:rFonts w:ascii="Arial Black" w:hAnsi="Arial Black"/>
          <w:caps/>
          <w:sz w:val="15"/>
          <w:szCs w:val="15"/>
          <w:lang w:val="ru-RU"/>
        </w:rPr>
        <w:t>анлгийский</w:t>
      </w:r>
    </w:p>
    <w:bookmarkEnd w:id="2"/>
    <w:p w14:paraId="67243D8C" w14:textId="211EFC79" w:rsidR="008B2CC1" w:rsidRPr="004C5E85" w:rsidRDefault="00737AE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4C5E85"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4C5E85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Pr="004C5E85">
        <w:rPr>
          <w:rFonts w:ascii="Arial Black" w:hAnsi="Arial Black"/>
          <w:caps/>
          <w:sz w:val="15"/>
          <w:szCs w:val="15"/>
          <w:lang w:val="ru-RU"/>
        </w:rPr>
        <w:t>31 августа</w:t>
      </w:r>
      <w:r w:rsidR="004F76CF" w:rsidRPr="004C5E85">
        <w:rPr>
          <w:rFonts w:ascii="Arial Black" w:hAnsi="Arial Black"/>
          <w:caps/>
          <w:sz w:val="15"/>
          <w:szCs w:val="15"/>
          <w:lang w:val="ru-RU"/>
        </w:rPr>
        <w:t xml:space="preserve"> 2022</w:t>
      </w:r>
      <w:r w:rsidRPr="004C5E85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45A18F8" w14:textId="7FFD5DDE" w:rsidR="008B2CC1" w:rsidRPr="004C5E85" w:rsidRDefault="00737AEA" w:rsidP="00737AEA">
      <w:pPr>
        <w:pStyle w:val="Heading1"/>
        <w:spacing w:after="480"/>
        <w:rPr>
          <w:caps w:val="0"/>
          <w:sz w:val="28"/>
          <w:szCs w:val="28"/>
          <w:lang w:val="ru-RU"/>
        </w:rPr>
      </w:pPr>
      <w:r w:rsidRPr="004C5E85">
        <w:rPr>
          <w:caps w:val="0"/>
          <w:sz w:val="28"/>
          <w:szCs w:val="28"/>
          <w:lang w:val="ru-RU"/>
        </w:rPr>
        <w:t>Рабочая группа по Договору о патентной кооперации (PCT)</w:t>
      </w:r>
    </w:p>
    <w:p w14:paraId="3F7CDEA0" w14:textId="673C104B" w:rsidR="00A90F0A" w:rsidRPr="004C5E85" w:rsidRDefault="00737AEA" w:rsidP="00A90F0A">
      <w:pPr>
        <w:outlineLvl w:val="1"/>
        <w:rPr>
          <w:b/>
          <w:sz w:val="24"/>
          <w:szCs w:val="24"/>
          <w:lang w:val="ru-RU"/>
        </w:rPr>
      </w:pPr>
      <w:r w:rsidRPr="004C5E85">
        <w:rPr>
          <w:b/>
          <w:sz w:val="24"/>
          <w:szCs w:val="24"/>
          <w:lang w:val="ru-RU"/>
        </w:rPr>
        <w:t>Пятнадцатая сессия</w:t>
      </w:r>
    </w:p>
    <w:p w14:paraId="347575C5" w14:textId="24008602" w:rsidR="008B2CC1" w:rsidRPr="004C5E85" w:rsidRDefault="00737AEA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4C5E85">
        <w:rPr>
          <w:b/>
          <w:sz w:val="24"/>
          <w:szCs w:val="24"/>
          <w:lang w:val="ru-RU"/>
        </w:rPr>
        <w:t>Женева</w:t>
      </w:r>
      <w:r w:rsidR="00FD2CCA" w:rsidRPr="004C5E85">
        <w:rPr>
          <w:b/>
          <w:sz w:val="24"/>
          <w:szCs w:val="24"/>
          <w:lang w:val="ru-RU"/>
        </w:rPr>
        <w:t xml:space="preserve">, </w:t>
      </w:r>
      <w:r w:rsidRPr="004C5E85">
        <w:rPr>
          <w:b/>
          <w:sz w:val="24"/>
          <w:szCs w:val="24"/>
          <w:lang w:val="ru-RU"/>
        </w:rPr>
        <w:t>3 – 7 октября</w:t>
      </w:r>
      <w:r w:rsidR="00FD2CCA" w:rsidRPr="004C5E85">
        <w:rPr>
          <w:b/>
          <w:sz w:val="24"/>
          <w:szCs w:val="24"/>
          <w:lang w:val="ru-RU"/>
        </w:rPr>
        <w:t xml:space="preserve"> 2022</w:t>
      </w:r>
      <w:r w:rsidRPr="004C5E85">
        <w:rPr>
          <w:b/>
          <w:sz w:val="24"/>
          <w:szCs w:val="24"/>
          <w:lang w:val="ru-RU"/>
        </w:rPr>
        <w:t xml:space="preserve"> г.</w:t>
      </w:r>
    </w:p>
    <w:p w14:paraId="1933D1A6" w14:textId="46C0E0B8" w:rsidR="008B2CC1" w:rsidRPr="004C5E85" w:rsidRDefault="00737AEA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4C5E85">
        <w:rPr>
          <w:caps/>
          <w:sz w:val="24"/>
          <w:lang w:val="ru-RU"/>
        </w:rPr>
        <w:t>координация деятельности в области обучения патентных экспертов</w:t>
      </w:r>
    </w:p>
    <w:p w14:paraId="73FE80ED" w14:textId="2B206D33" w:rsidR="002928D3" w:rsidRPr="004C5E85" w:rsidRDefault="00737AEA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 w:rsidRPr="004C5E85">
        <w:rPr>
          <w:i/>
          <w:lang w:val="ru-RU"/>
        </w:rPr>
        <w:t>Документ подготовлен Международным бюро</w:t>
      </w:r>
    </w:p>
    <w:p w14:paraId="05A50A13" w14:textId="5F3CED50" w:rsidR="00DF35F9" w:rsidRPr="004C5E85" w:rsidRDefault="00737AEA" w:rsidP="00DF35F9">
      <w:pPr>
        <w:pStyle w:val="Heading1"/>
        <w:rPr>
          <w:lang w:val="ru-RU"/>
        </w:rPr>
      </w:pPr>
      <w:r w:rsidRPr="004C5E85">
        <w:rPr>
          <w:lang w:val="ru-RU"/>
        </w:rPr>
        <w:t>аннотация</w:t>
      </w:r>
    </w:p>
    <w:p w14:paraId="489A7080" w14:textId="141B0FDD" w:rsidR="00737AEA" w:rsidRPr="004C5E85" w:rsidRDefault="00737AEA" w:rsidP="00737AEA">
      <w:pPr>
        <w:pStyle w:val="ONUME"/>
        <w:rPr>
          <w:lang w:val="ru-RU"/>
        </w:rPr>
      </w:pPr>
      <w:r w:rsidRPr="004C5E85">
        <w:rPr>
          <w:lang w:val="ru-RU"/>
        </w:rPr>
        <w:t xml:space="preserve">В настоящем документе содержится отчет о ходе работы по улучшению координации деятельности в </w:t>
      </w:r>
      <w:r w:rsidR="00DB6664" w:rsidRPr="004C5E85">
        <w:rPr>
          <w:lang w:val="ru-RU"/>
        </w:rPr>
        <w:t>сфере</w:t>
      </w:r>
      <w:r w:rsidRPr="004C5E85">
        <w:rPr>
          <w:lang w:val="ru-RU"/>
        </w:rPr>
        <w:t xml:space="preserve"> обучения специалистов в области патентной экспертизы по существу, а также по разработке инструментов управления обучением таких специалистов.  В документе также рассматриваются вопросы технической помощи в области обучени</w:t>
      </w:r>
      <w:r w:rsidR="00DB6664" w:rsidRPr="004C5E85">
        <w:rPr>
          <w:lang w:val="ru-RU"/>
        </w:rPr>
        <w:t>я экспертов, которые были доведены до сведения Международного бюро со времени проведения четырнадцатой сессии Рабочей группы</w:t>
      </w:r>
      <w:r w:rsidR="00EE67BC" w:rsidRPr="004C5E85">
        <w:rPr>
          <w:lang w:val="ru-RU"/>
        </w:rPr>
        <w:t xml:space="preserve"> по</w:t>
      </w:r>
      <w:r w:rsidR="00DB6664" w:rsidRPr="004C5E85">
        <w:rPr>
          <w:lang w:val="ru-RU"/>
        </w:rPr>
        <w:t xml:space="preserve"> PCT и которые предлагаются для включения в </w:t>
      </w:r>
      <w:r w:rsidR="00EE58D9" w:rsidRPr="004C5E85">
        <w:rPr>
          <w:lang w:val="ru-RU"/>
        </w:rPr>
        <w:t>предстоящий</w:t>
      </w:r>
      <w:r w:rsidR="00DB6664" w:rsidRPr="004C5E85">
        <w:rPr>
          <w:lang w:val="ru-RU"/>
        </w:rPr>
        <w:t xml:space="preserve"> </w:t>
      </w:r>
      <w:r w:rsidR="00EE58D9" w:rsidRPr="004C5E85">
        <w:rPr>
          <w:lang w:val="ru-RU"/>
        </w:rPr>
        <w:t>опрос для</w:t>
      </w:r>
      <w:r w:rsidR="00DB6664" w:rsidRPr="004C5E85">
        <w:rPr>
          <w:lang w:val="ru-RU"/>
        </w:rPr>
        <w:t xml:space="preserve"> </w:t>
      </w:r>
      <w:r w:rsidR="0003617A" w:rsidRPr="004C5E85">
        <w:rPr>
          <w:lang w:val="ru-RU"/>
        </w:rPr>
        <w:t>небольших</w:t>
      </w:r>
      <w:r w:rsidR="00DB6664" w:rsidRPr="004C5E85">
        <w:rPr>
          <w:lang w:val="ru-RU"/>
        </w:rPr>
        <w:t xml:space="preserve"> и средних ведомств, который будет посвящен политике в области обучения, потребностям в технической помощи, а также организации предоставления такой помощи.</w:t>
      </w:r>
    </w:p>
    <w:p w14:paraId="7A329FE9" w14:textId="388EA8DE" w:rsidR="00DF35F9" w:rsidRPr="004C5E85" w:rsidRDefault="00737AEA" w:rsidP="00DF35F9">
      <w:pPr>
        <w:pStyle w:val="Heading1"/>
        <w:rPr>
          <w:lang w:val="ru-RU"/>
        </w:rPr>
      </w:pPr>
      <w:r w:rsidRPr="004C5E85">
        <w:rPr>
          <w:lang w:val="ru-RU"/>
        </w:rPr>
        <w:t>введение</w:t>
      </w:r>
    </w:p>
    <w:p w14:paraId="42C243C8" w14:textId="0071F4B4" w:rsidR="00DB6664" w:rsidRPr="004C5E85" w:rsidRDefault="00DB6664" w:rsidP="00DB6664">
      <w:pPr>
        <w:pStyle w:val="ONUME"/>
        <w:rPr>
          <w:lang w:val="ru-RU"/>
        </w:rPr>
      </w:pPr>
      <w:r w:rsidRPr="004C5E85">
        <w:rPr>
          <w:lang w:val="ru-RU"/>
        </w:rPr>
        <w:t>Предложение о развитии координации деятельности в области обучения патентных экспертов было рассмотрено на десятой сессии Рабочей группы по РСТ, состоявшейся 8–12 мая 2017 </w:t>
      </w:r>
      <w:r w:rsidR="00C26FE0" w:rsidRPr="004C5E85">
        <w:rPr>
          <w:lang w:val="ru-RU"/>
        </w:rPr>
        <w:t>года</w:t>
      </w:r>
      <w:r w:rsidRPr="004C5E85">
        <w:rPr>
          <w:lang w:val="ru-RU"/>
        </w:rPr>
        <w:t xml:space="preserve"> в Женеве (см. документ PCT/WG/10/9).  В пункте 10 указанного документа приводится краткое описание недостатков текущей работы ведомств-поставщиков по оказанию поддержки в обучении патентных экспертов в развивающихся странах. Эти недостатки высветили необходимость повышения координации, призванной создать условия для того, чтобы отдельные патентные эксперты могли приобретать компетенции, необходимые для выполнения их должностных обязанностей, предложения ведомств-поставщиков соответствовали запросам конкретных экспертов или ведомств, осуществлялся контроль за участием в учебных мероприятиях и оценивались успехи в освоении новых знаний, учебные ресурсы использовались рационально, </w:t>
      </w:r>
      <w:r w:rsidRPr="004C5E85">
        <w:rPr>
          <w:lang w:val="ru-RU"/>
        </w:rPr>
        <w:lastRenderedPageBreak/>
        <w:t>а сотрудничество бенефициаров и поставщиков в области обучения допускало возможность контроля и оценки.</w:t>
      </w:r>
    </w:p>
    <w:p w14:paraId="35431778" w14:textId="77777777" w:rsidR="00DB6664" w:rsidRPr="004C5E85" w:rsidRDefault="00DB6664" w:rsidP="00DB6664">
      <w:pPr>
        <w:pStyle w:val="ONUME"/>
        <w:rPr>
          <w:lang w:val="ru-RU"/>
        </w:rPr>
      </w:pPr>
      <w:r w:rsidRPr="004C5E85">
        <w:rPr>
          <w:lang w:val="ru-RU"/>
        </w:rPr>
        <w:t xml:space="preserve">Для достижения этих целей в пункте 12 указанного документа было предложено использовать общие модели компетенций (МК), которые должны быть достаточно комплексными и подробными, с тем, чтобы позволять ведомствам определить индивидуальные учебные планы (модели необходимых профессиональных качеств) с учетом должностных инструкций отдельных экспертов и политики того или иного ведомства в области проведения экспертизы путем выбора соответствующих компетенций из общей модели. </w:t>
      </w:r>
    </w:p>
    <w:p w14:paraId="3EFDF809" w14:textId="29BBAFA2" w:rsidR="00DB6664" w:rsidRPr="004C5E85" w:rsidRDefault="00DB6664" w:rsidP="00DB6664">
      <w:pPr>
        <w:pStyle w:val="ONUME"/>
        <w:rPr>
          <w:lang w:val="ru-RU"/>
        </w:rPr>
      </w:pPr>
      <w:r w:rsidRPr="004C5E85">
        <w:rPr>
          <w:lang w:val="ru-RU"/>
        </w:rPr>
        <w:t>В интересах координации деятельности по обучению патентных экспертов в документе PCT/WG/10/9 предлагается создать систему управления обучением (СУО), обеспечивающую поддержку в управлении обучением, в частности в том, что касается составления учебных планов, отслеживания прогресса и проведения оценки, а также подготовки отчетности для руководителей, как указано в пунктах 15 и 16 вышеупомянутого документа.</w:t>
      </w:r>
    </w:p>
    <w:p w14:paraId="5792152B" w14:textId="56195BB4" w:rsidR="00DB6664" w:rsidRPr="004C5E85" w:rsidRDefault="00DB6664" w:rsidP="00DB6664">
      <w:pPr>
        <w:pStyle w:val="ONUME"/>
        <w:rPr>
          <w:lang w:val="ru-RU"/>
        </w:rPr>
      </w:pPr>
      <w:r w:rsidRPr="004C5E85">
        <w:rPr>
          <w:lang w:val="ru-RU"/>
        </w:rPr>
        <w:t>На тринадцатой и четырнадцатой сессиях Рабочей группы по PCT</w:t>
      </w:r>
      <w:r w:rsidR="00EE67BC" w:rsidRPr="004C5E85">
        <w:rPr>
          <w:lang w:val="ru-RU"/>
        </w:rPr>
        <w:t>, состоявших</w:t>
      </w:r>
      <w:r w:rsidRPr="004C5E85">
        <w:rPr>
          <w:lang w:val="ru-RU"/>
        </w:rPr>
        <w:t xml:space="preserve">ся </w:t>
      </w:r>
      <w:r w:rsidR="00EE67BC" w:rsidRPr="004C5E85">
        <w:rPr>
          <w:lang w:val="ru-RU"/>
        </w:rPr>
        <w:t xml:space="preserve">соответственно </w:t>
      </w:r>
      <w:r w:rsidRPr="004C5E85">
        <w:rPr>
          <w:lang w:val="ru-RU"/>
        </w:rPr>
        <w:t xml:space="preserve">в </w:t>
      </w:r>
      <w:r w:rsidR="00C26FE0" w:rsidRPr="004C5E85">
        <w:rPr>
          <w:lang w:val="ru-RU"/>
        </w:rPr>
        <w:t xml:space="preserve">2021 и 2022 годах, </w:t>
      </w:r>
      <w:r w:rsidRPr="004C5E85">
        <w:rPr>
          <w:lang w:val="ru-RU"/>
        </w:rPr>
        <w:t>Международное бюро представило отчет о ходе разработки МК и СУО (документ</w:t>
      </w:r>
      <w:r w:rsidR="00EE67BC" w:rsidRPr="004C5E85">
        <w:rPr>
          <w:lang w:val="ru-RU"/>
        </w:rPr>
        <w:t>ы</w:t>
      </w:r>
      <w:r w:rsidRPr="004C5E85">
        <w:rPr>
          <w:lang w:val="ru-RU"/>
        </w:rPr>
        <w:t xml:space="preserve"> PCT/WG/13/6 REV</w:t>
      </w:r>
      <w:r w:rsidR="00EE67BC" w:rsidRPr="004C5E85">
        <w:rPr>
          <w:lang w:val="ru-RU"/>
        </w:rPr>
        <w:t xml:space="preserve"> и PCT/WG/14/13</w:t>
      </w:r>
      <w:r w:rsidRPr="004C5E85">
        <w:rPr>
          <w:lang w:val="ru-RU"/>
        </w:rPr>
        <w:t xml:space="preserve">). </w:t>
      </w:r>
      <w:r w:rsidR="00EE67BC" w:rsidRPr="004C5E85">
        <w:rPr>
          <w:lang w:val="ru-RU"/>
        </w:rPr>
        <w:t xml:space="preserve"> С дополнительной информацией можно ознакомиться, просмотрев запись </w:t>
      </w:r>
      <w:r w:rsidR="00BF4505" w:rsidRPr="004C5E85">
        <w:rPr>
          <w:lang w:val="ru-RU"/>
        </w:rPr>
        <w:t xml:space="preserve">параллельного </w:t>
      </w:r>
      <w:r w:rsidR="00EE67BC" w:rsidRPr="004C5E85">
        <w:rPr>
          <w:lang w:val="ru-RU"/>
        </w:rPr>
        <w:t xml:space="preserve">мероприятия на полях четырнадцатой сессии (см. </w:t>
      </w:r>
      <w:hyperlink r:id="rId9" w:history="1">
        <w:r w:rsidR="00EE67BC" w:rsidRPr="004C5E85">
          <w:rPr>
            <w:rStyle w:val="Hyperlink"/>
            <w:color w:val="auto"/>
            <w:u w:val="none"/>
            <w:lang w:val="ru-RU"/>
          </w:rPr>
          <w:t>https://www.wipo.int/meetings/en/details.jsp?meeting_id=64588</w:t>
        </w:r>
      </w:hyperlink>
      <w:r w:rsidR="00EE67BC" w:rsidRPr="004C5E85">
        <w:rPr>
          <w:lang w:val="ru-RU"/>
        </w:rPr>
        <w:t>).</w:t>
      </w:r>
      <w:r w:rsidRPr="004C5E85">
        <w:rPr>
          <w:lang w:val="ru-RU"/>
        </w:rPr>
        <w:t xml:space="preserve"> </w:t>
      </w:r>
      <w:r w:rsidR="00EE67BC" w:rsidRPr="004C5E85">
        <w:rPr>
          <w:lang w:val="ru-RU"/>
        </w:rPr>
        <w:t xml:space="preserve"> </w:t>
      </w:r>
      <w:r w:rsidRPr="004C5E85">
        <w:rPr>
          <w:lang w:val="ru-RU"/>
        </w:rPr>
        <w:t>Международное бюро сообщило, что представит отчет о</w:t>
      </w:r>
      <w:r w:rsidR="00EE67BC" w:rsidRPr="004C5E85">
        <w:rPr>
          <w:lang w:val="ru-RU"/>
        </w:rPr>
        <w:t xml:space="preserve"> </w:t>
      </w:r>
      <w:r w:rsidRPr="004C5E85">
        <w:rPr>
          <w:lang w:val="ru-RU"/>
        </w:rPr>
        <w:t xml:space="preserve">ходе </w:t>
      </w:r>
      <w:r w:rsidR="00EE58D9" w:rsidRPr="004C5E85">
        <w:rPr>
          <w:lang w:val="ru-RU"/>
        </w:rPr>
        <w:t xml:space="preserve">дальнейшей </w:t>
      </w:r>
      <w:r w:rsidRPr="004C5E85">
        <w:rPr>
          <w:lang w:val="ru-RU"/>
        </w:rPr>
        <w:t>ра</w:t>
      </w:r>
      <w:r w:rsidR="00EE67BC" w:rsidRPr="004C5E85">
        <w:rPr>
          <w:lang w:val="ru-RU"/>
        </w:rPr>
        <w:t>боты</w:t>
      </w:r>
      <w:r w:rsidRPr="004C5E85">
        <w:rPr>
          <w:lang w:val="ru-RU"/>
        </w:rPr>
        <w:t xml:space="preserve"> на</w:t>
      </w:r>
      <w:r w:rsidR="00EE67BC" w:rsidRPr="004C5E85">
        <w:rPr>
          <w:lang w:val="ru-RU"/>
        </w:rPr>
        <w:t xml:space="preserve"> сессии Рабочей группы в 2022</w:t>
      </w:r>
      <w:r w:rsidRPr="004C5E85">
        <w:rPr>
          <w:lang w:val="ru-RU"/>
        </w:rPr>
        <w:t> г</w:t>
      </w:r>
      <w:r w:rsidR="00C26FE0" w:rsidRPr="004C5E85">
        <w:rPr>
          <w:lang w:val="ru-RU"/>
        </w:rPr>
        <w:t>оду</w:t>
      </w:r>
      <w:r w:rsidRPr="004C5E85">
        <w:rPr>
          <w:lang w:val="ru-RU"/>
        </w:rPr>
        <w:t>.</w:t>
      </w:r>
    </w:p>
    <w:p w14:paraId="52C2BA51" w14:textId="4E8526A5" w:rsidR="00DF35F9" w:rsidRPr="004C5E85" w:rsidRDefault="00EE67BC" w:rsidP="00DF35F9">
      <w:pPr>
        <w:pStyle w:val="Heading1"/>
        <w:rPr>
          <w:lang w:val="ru-RU"/>
        </w:rPr>
      </w:pPr>
      <w:r w:rsidRPr="004C5E85">
        <w:rPr>
          <w:lang w:val="ru-RU"/>
        </w:rPr>
        <w:t>отчет о ходе работы</w:t>
      </w:r>
    </w:p>
    <w:p w14:paraId="42F59404" w14:textId="653EFFD8" w:rsidR="00BF4505" w:rsidRPr="004C5E85" w:rsidRDefault="00EE67BC" w:rsidP="00BF4505">
      <w:pPr>
        <w:pStyle w:val="ONUME"/>
        <w:rPr>
          <w:lang w:val="ru-RU"/>
        </w:rPr>
      </w:pPr>
      <w:r w:rsidRPr="004C5E85">
        <w:rPr>
          <w:lang w:val="ru-RU"/>
        </w:rPr>
        <w:t xml:space="preserve">В ходе четырнадцатой сессии Рабочей группы сообщалось, что Филиппинское ведомство интеллектуальной собственности </w:t>
      </w:r>
      <w:r w:rsidR="00DF35F9" w:rsidRPr="004C5E85">
        <w:rPr>
          <w:lang w:val="ru-RU"/>
        </w:rPr>
        <w:t xml:space="preserve">(IPOPHL) </w:t>
      </w:r>
      <w:r w:rsidRPr="004C5E85">
        <w:rPr>
          <w:lang w:val="ru-RU"/>
        </w:rPr>
        <w:t xml:space="preserve">в сотрудничестве с Международным бюро приступило к </w:t>
      </w:r>
      <w:r w:rsidR="00BF4505" w:rsidRPr="004C5E85">
        <w:rPr>
          <w:lang w:val="ru-RU"/>
        </w:rPr>
        <w:t>разработке местного веб-сайта СУО на основе программного обеспечения с открытым исходным кодом Moodle в качестве системы «клиент-сервер», доступной для внутренних пользователей через интранет ведомства.  Проект получил дальнейшее развитие, и IPOPHL представит обновленную информацию на параллельном мероприятии на полях этой сессии Рабочей группы (см. пункт 10, ниже).</w:t>
      </w:r>
    </w:p>
    <w:p w14:paraId="39E6C4B8" w14:textId="54611FEA" w:rsidR="00BF4505" w:rsidRPr="004C5E85" w:rsidRDefault="00BF4505" w:rsidP="00FB5190">
      <w:pPr>
        <w:pStyle w:val="ONUME"/>
        <w:rPr>
          <w:lang w:val="ru-RU"/>
        </w:rPr>
      </w:pPr>
      <w:r w:rsidRPr="004C5E85">
        <w:rPr>
          <w:lang w:val="ru-RU"/>
        </w:rPr>
        <w:t xml:space="preserve">Международное бюро также продолжило разработку тестового веб-сайта (https://icblm.moodlecloud.com) СУО в целях демонстрации использования СУО и некоторых ее функциональных возможностей для управления обучением на основе компетенций (см. комплекс курсов «Использование СУО для обучения экспертов и управления их служебной деятельностью», доступный для всех желающих на сайте https://icblm.moodlecloud.com/course/index.php?categoryid=7 в режиме гостевого доступа). В частности, в целях содействия обсуждению Рабочей группой предложения о создании хранилища электронных учебных ресурсов (см. документ PCT/WG/15/4) был разработан простой макет для демонстрации использования СУО в качестве платформы для доступа к электронным учебным ресурсам, предоставленным различными </w:t>
      </w:r>
      <w:r w:rsidR="00C26FE0" w:rsidRPr="004C5E85">
        <w:rPr>
          <w:lang w:val="ru-RU"/>
        </w:rPr>
        <w:t>учреждениями-поставщиками</w:t>
      </w:r>
      <w:r w:rsidRPr="004C5E85">
        <w:rPr>
          <w:lang w:val="ru-RU"/>
        </w:rPr>
        <w:t xml:space="preserve">.  </w:t>
      </w:r>
      <w:r w:rsidR="00FB5190" w:rsidRPr="004C5E85">
        <w:rPr>
          <w:lang w:val="ru-RU"/>
        </w:rPr>
        <w:t>Подробная информация о СУО будет представлена на параллельном мероприятии на полях этой сессии Рабочей группы (см. пункт 10, ниже).</w:t>
      </w:r>
    </w:p>
    <w:p w14:paraId="79B6CAC7" w14:textId="6E9B4C0B" w:rsidR="00FB5190" w:rsidRPr="004C5E85" w:rsidRDefault="00FB5190" w:rsidP="00FB5190">
      <w:pPr>
        <w:pStyle w:val="ONUME"/>
        <w:rPr>
          <w:lang w:val="ru-RU"/>
        </w:rPr>
      </w:pPr>
      <w:r w:rsidRPr="004C5E85">
        <w:rPr>
          <w:lang w:val="ru-RU"/>
        </w:rPr>
        <w:t xml:space="preserve">Тестовый </w:t>
      </w:r>
      <w:r w:rsidR="00C26FE0" w:rsidRPr="004C5E85">
        <w:rPr>
          <w:lang w:val="ru-RU"/>
        </w:rPr>
        <w:t>веб-</w:t>
      </w:r>
      <w:r w:rsidRPr="004C5E85">
        <w:rPr>
          <w:lang w:val="ru-RU"/>
        </w:rPr>
        <w:t xml:space="preserve">сайт включает дополнительные компоненты, такие как курс «Кооперация ведомств на национальной фазе PCT», цель которого заключается в получении навыков и знаний, необходимых для правильного использования результатов экспертиз, проведенных другими ведомствами в ходе национальной фазы. В настоящее время добавляются дополнительные примеры, иллюстрирующие различные вопросы, с которыми могут столкнуться эксперты при рассмотрении конкретных дел. Доступ к этому </w:t>
      </w:r>
      <w:r w:rsidRPr="004C5E85">
        <w:rPr>
          <w:lang w:val="ru-RU"/>
        </w:rPr>
        <w:lastRenderedPageBreak/>
        <w:t>курсу и другим компонентам, требующим ответов от пользователей, возможен только после входа в систему; тестовые учетные записи с ограниченными правами могут быть предоставлены через Международное бюро.</w:t>
      </w:r>
    </w:p>
    <w:p w14:paraId="1E9EB9C6" w14:textId="413D4E10" w:rsidR="00DF35F9" w:rsidRPr="004C5E85" w:rsidRDefault="00FB5190" w:rsidP="00DF35F9">
      <w:pPr>
        <w:pStyle w:val="ONUME"/>
        <w:rPr>
          <w:lang w:val="ru-RU"/>
        </w:rPr>
      </w:pPr>
      <w:r w:rsidRPr="004C5E85">
        <w:rPr>
          <w:lang w:val="ru-RU"/>
        </w:rPr>
        <w:t>В настоящее в</w:t>
      </w:r>
      <w:r w:rsidR="00C26FE0" w:rsidRPr="004C5E85">
        <w:rPr>
          <w:lang w:val="ru-RU"/>
        </w:rPr>
        <w:t>ремя продолжается разработка МК</w:t>
      </w:r>
      <w:r w:rsidRPr="004C5E85">
        <w:rPr>
          <w:lang w:val="ru-RU"/>
        </w:rPr>
        <w:t xml:space="preserve"> и в сотрудничестве с Комитетом экспертов Союза МПК проводится обзор его части, касающейся патентной классификации</w:t>
      </w:r>
      <w:r w:rsidR="00965BCE" w:rsidRPr="004C5E85">
        <w:rPr>
          <w:lang w:val="ru-RU"/>
        </w:rPr>
        <w:t xml:space="preserve"> </w:t>
      </w:r>
      <w:r w:rsidR="00DF35F9" w:rsidRPr="004C5E85">
        <w:rPr>
          <w:lang w:val="ru-RU"/>
        </w:rPr>
        <w:t>(</w:t>
      </w:r>
      <w:hyperlink r:id="rId10" w:history="1">
        <w:r w:rsidRPr="004C5E85">
          <w:rPr>
            <w:rStyle w:val="Hyperlink"/>
            <w:color w:val="auto"/>
            <w:lang w:val="ru-RU"/>
          </w:rPr>
          <w:t>проект</w:t>
        </w:r>
        <w:r w:rsidR="00F9210B" w:rsidRPr="004C5E85">
          <w:rPr>
            <w:rStyle w:val="Hyperlink"/>
            <w:color w:val="auto"/>
            <w:lang w:val="ru-RU"/>
          </w:rPr>
          <w:t> </w:t>
        </w:r>
        <w:r w:rsidR="00DF35F9" w:rsidRPr="004C5E85">
          <w:rPr>
            <w:rStyle w:val="Hyperlink"/>
            <w:color w:val="auto"/>
            <w:lang w:val="ru-RU"/>
          </w:rPr>
          <w:t>CE</w:t>
        </w:r>
        <w:r w:rsidR="00965BCE" w:rsidRPr="004C5E85">
          <w:rPr>
            <w:rStyle w:val="Hyperlink"/>
            <w:color w:val="auto"/>
            <w:lang w:val="ru-RU"/>
          </w:rPr>
          <w:t> </w:t>
        </w:r>
        <w:r w:rsidR="00DF35F9" w:rsidRPr="004C5E85">
          <w:rPr>
            <w:rStyle w:val="Hyperlink"/>
            <w:color w:val="auto"/>
            <w:lang w:val="ru-RU"/>
          </w:rPr>
          <w:t>523</w:t>
        </w:r>
      </w:hyperlink>
      <w:r w:rsidR="00DF35F9" w:rsidRPr="004C5E85">
        <w:rPr>
          <w:lang w:val="ru-RU"/>
        </w:rPr>
        <w:t>).</w:t>
      </w:r>
    </w:p>
    <w:p w14:paraId="0B53ED4A" w14:textId="0F9AFCC6" w:rsidR="00FB5190" w:rsidRPr="004C5E85" w:rsidRDefault="00FB5190" w:rsidP="00FB5190">
      <w:pPr>
        <w:pStyle w:val="ONUME"/>
        <w:rPr>
          <w:lang w:val="ru-RU"/>
        </w:rPr>
      </w:pPr>
      <w:r w:rsidRPr="004C5E85">
        <w:rPr>
          <w:lang w:val="ru-RU"/>
        </w:rPr>
        <w:t xml:space="preserve">Международное бюро и IPOPHL представят более подробную информацию о результатах работы на параллельном мероприятии, </w:t>
      </w:r>
      <w:r w:rsidR="00C26FE0" w:rsidRPr="004C5E85">
        <w:rPr>
          <w:lang w:val="ru-RU"/>
        </w:rPr>
        <w:t>которое состоится во вторник, 4 </w:t>
      </w:r>
      <w:r w:rsidRPr="004C5E85">
        <w:rPr>
          <w:lang w:val="ru-RU"/>
        </w:rPr>
        <w:t>октября 2022 года, в 13:00 по центрально-европейскому летнему времени (UTC+2).</w:t>
      </w:r>
    </w:p>
    <w:p w14:paraId="6B9EE23B" w14:textId="5B63EF37" w:rsidR="009C7E1E" w:rsidRPr="004C5E85" w:rsidRDefault="009C7E1E" w:rsidP="009C7E1E">
      <w:pPr>
        <w:pStyle w:val="Heading1"/>
        <w:rPr>
          <w:lang w:val="ru-RU"/>
        </w:rPr>
      </w:pPr>
      <w:r w:rsidRPr="004C5E85">
        <w:rPr>
          <w:lang w:val="ru-RU"/>
        </w:rPr>
        <w:t>ОКАЗАНИЕ помощИ в разработке рамочных программ обучения экспертов и в управлении обучение</w:t>
      </w:r>
    </w:p>
    <w:p w14:paraId="58997579" w14:textId="77777777" w:rsidR="009C7E1E" w:rsidRPr="004C5E85" w:rsidRDefault="009C7E1E" w:rsidP="009C7E1E">
      <w:pPr>
        <w:rPr>
          <w:lang w:val="ru-RU"/>
        </w:rPr>
      </w:pPr>
    </w:p>
    <w:p w14:paraId="4C7B979E" w14:textId="74C1EC26" w:rsidR="009C7E1E" w:rsidRPr="004C5E85" w:rsidRDefault="009C7E1E" w:rsidP="009C7E1E">
      <w:pPr>
        <w:pStyle w:val="ONUME"/>
        <w:rPr>
          <w:lang w:val="ru-RU"/>
        </w:rPr>
      </w:pPr>
      <w:r w:rsidRPr="004C5E85">
        <w:rPr>
          <w:lang w:val="ru-RU"/>
        </w:rPr>
        <w:t xml:space="preserve">На своей четырнадцатой сессии Рабочая группа обсудила различные аспекты оказания помощи в разработке рамочных программ обучения для сотрудников </w:t>
      </w:r>
      <w:r w:rsidR="0003617A" w:rsidRPr="004C5E85">
        <w:rPr>
          <w:lang w:val="ru-RU"/>
        </w:rPr>
        <w:t>небольших</w:t>
      </w:r>
      <w:r w:rsidRPr="004C5E85">
        <w:rPr>
          <w:lang w:val="ru-RU"/>
        </w:rPr>
        <w:t xml:space="preserve"> и средних ведомств (см. пункты 16-20 документа PCT/WG/14/13).  Рабочая группа предложила Международному бюро провести среди этих ведомств опрос с учетом замечаний, высказанных в ходе сессии (см. пункт 56 резюме Председателя, документ PCT/WG/14/18, и пункты 177 – 186 отчета о сессии, документ PCT/WG/14/19).</w:t>
      </w:r>
    </w:p>
    <w:p w14:paraId="546397E4" w14:textId="4FD73164" w:rsidR="005F5672" w:rsidRPr="004C5E85" w:rsidRDefault="005F5672" w:rsidP="005F5672">
      <w:pPr>
        <w:pStyle w:val="ONUME"/>
        <w:rPr>
          <w:lang w:val="ru-RU"/>
        </w:rPr>
      </w:pPr>
      <w:r w:rsidRPr="004C5E85">
        <w:rPr>
          <w:lang w:val="ru-RU"/>
        </w:rPr>
        <w:t>Термины «</w:t>
      </w:r>
      <w:r w:rsidR="0003617A" w:rsidRPr="004C5E85">
        <w:rPr>
          <w:lang w:val="ru-RU"/>
        </w:rPr>
        <w:t>небольшое</w:t>
      </w:r>
      <w:r w:rsidRPr="004C5E85">
        <w:rPr>
          <w:lang w:val="ru-RU"/>
        </w:rPr>
        <w:t xml:space="preserve"> ведомство» и «среднее ведомство» можно рассматривать в контексте размера ведомства с точки зрения числа патентных экспертов.  В контексте управления обучением этих экспертов в документе PCT/WG/14/18 поясняется, что </w:t>
      </w:r>
      <w:r w:rsidR="0003617A" w:rsidRPr="004C5E85">
        <w:rPr>
          <w:lang w:val="ru-RU"/>
        </w:rPr>
        <w:t>небольшие</w:t>
      </w:r>
      <w:r w:rsidRPr="004C5E85">
        <w:rPr>
          <w:lang w:val="ru-RU"/>
        </w:rPr>
        <w:t xml:space="preserve"> ведомства обычно не имеют ресурсов для поддержания собственной инфраструктуры обучения, и они обычно не нуждаются в столь регулярном обучении новых сотрудников, как средние ведомства.  Кроме того, могут наблюдаться определенные различия в потребностях </w:t>
      </w:r>
      <w:r w:rsidR="0003617A" w:rsidRPr="004C5E85">
        <w:rPr>
          <w:lang w:val="ru-RU"/>
        </w:rPr>
        <w:t>небольших</w:t>
      </w:r>
      <w:r w:rsidRPr="004C5E85">
        <w:rPr>
          <w:lang w:val="ru-RU"/>
        </w:rPr>
        <w:t xml:space="preserve"> ведомств в обучении, например, большее внимание может уделяться разделению труда.  Такие ведомства будут по-прежнему зависеть от внешней поддержки в области обучения со стороны различных поставщиков.</w:t>
      </w:r>
    </w:p>
    <w:p w14:paraId="367242C1" w14:textId="76EA6BD7" w:rsidR="002A0422" w:rsidRPr="004C5E85" w:rsidRDefault="005F5672" w:rsidP="002A0422">
      <w:pPr>
        <w:pStyle w:val="ONUME"/>
        <w:rPr>
          <w:lang w:val="ru-RU"/>
        </w:rPr>
      </w:pPr>
      <w:r w:rsidRPr="004C5E85">
        <w:rPr>
          <w:lang w:val="ru-RU"/>
        </w:rPr>
        <w:t xml:space="preserve">В качестве примера средних ведомств в документе PCT/WG/14/18 упоминаются ведомства пяти стран АСЕАН </w:t>
      </w:r>
      <w:r w:rsidR="006A59DA" w:rsidRPr="004C5E85">
        <w:rPr>
          <w:lang w:val="ru-RU"/>
        </w:rPr>
        <w:t>–</w:t>
      </w:r>
      <w:r w:rsidRPr="004C5E85">
        <w:rPr>
          <w:lang w:val="ru-RU"/>
        </w:rPr>
        <w:t xml:space="preserve"> Индонезии, Малайзии, Филиппин, Таиланда и Вьетнама, которые приступили к разработке устойчивых инфраструктур обучения для своих патентных экспертов начального уровня при содействии, в частности, Ведомства ИС Австралии и Европейского патентного ведомства.  Однако средним ведомствам все еще может требоваться внешняя поддержка для обучения сотрудников более высокого уровня, например, для обучения </w:t>
      </w:r>
      <w:r w:rsidR="00C26FE0" w:rsidRPr="004C5E85">
        <w:rPr>
          <w:lang w:val="ru-RU"/>
        </w:rPr>
        <w:t>в</w:t>
      </w:r>
      <w:r w:rsidRPr="004C5E85">
        <w:rPr>
          <w:lang w:val="ru-RU"/>
        </w:rPr>
        <w:t xml:space="preserve"> конкретной технологической области.</w:t>
      </w:r>
      <w:r w:rsidR="006A59DA" w:rsidRPr="004C5E85">
        <w:rPr>
          <w:lang w:val="ru-RU"/>
        </w:rPr>
        <w:t xml:space="preserve"> </w:t>
      </w:r>
    </w:p>
    <w:p w14:paraId="63018527" w14:textId="0E4E1065" w:rsidR="006A59DA" w:rsidRPr="004C5E85" w:rsidRDefault="002A0422" w:rsidP="002A0422">
      <w:pPr>
        <w:pStyle w:val="ONUME"/>
        <w:rPr>
          <w:lang w:val="ru-RU"/>
        </w:rPr>
      </w:pPr>
      <w:r w:rsidRPr="004C5E85">
        <w:rPr>
          <w:lang w:val="ru-RU"/>
        </w:rPr>
        <w:t xml:space="preserve">За прошедший год в Международное бюро поступила информация о потребностях в дальнейшем обучении, в частности, в обучении, выходящем за рамки начальной подготовки экспертов.  Один из запросов касался обучения в области искусственного интеллекта (ИИ) и получения экспертами не только знаний о патентоспособности ИИ, но и понимания научных концепций в технологической области, важность которой существенно возросла с </w:t>
      </w:r>
      <w:r w:rsidR="00C26FE0" w:rsidRPr="004C5E85">
        <w:rPr>
          <w:lang w:val="ru-RU"/>
        </w:rPr>
        <w:t xml:space="preserve">тех пор, как многие эксперты завершили свое </w:t>
      </w:r>
      <w:r w:rsidRPr="004C5E85">
        <w:rPr>
          <w:lang w:val="ru-RU"/>
        </w:rPr>
        <w:t>академическо</w:t>
      </w:r>
      <w:r w:rsidR="00C26FE0" w:rsidRPr="004C5E85">
        <w:rPr>
          <w:lang w:val="ru-RU"/>
        </w:rPr>
        <w:t>е</w:t>
      </w:r>
      <w:r w:rsidRPr="004C5E85">
        <w:rPr>
          <w:lang w:val="ru-RU"/>
        </w:rPr>
        <w:t xml:space="preserve"> образовани</w:t>
      </w:r>
      <w:r w:rsidR="00C26FE0" w:rsidRPr="004C5E85">
        <w:rPr>
          <w:lang w:val="ru-RU"/>
        </w:rPr>
        <w:t xml:space="preserve">е. </w:t>
      </w:r>
      <w:r w:rsidRPr="004C5E85">
        <w:rPr>
          <w:lang w:val="ru-RU"/>
        </w:rPr>
        <w:t>В других ведомствах также могут возникнуть потребности в подобном обучении для ознакомления экспертов с научными принципами развивающихся технологий.</w:t>
      </w:r>
    </w:p>
    <w:p w14:paraId="28EBF8DE" w14:textId="52A56E68" w:rsidR="002A0422" w:rsidRPr="004C5E85" w:rsidRDefault="002A0422" w:rsidP="002A0422">
      <w:pPr>
        <w:pStyle w:val="ONUME"/>
        <w:rPr>
          <w:lang w:val="ru-RU"/>
        </w:rPr>
      </w:pPr>
      <w:bookmarkStart w:id="6" w:name="_Ref112164848"/>
      <w:r w:rsidRPr="004C5E85">
        <w:rPr>
          <w:lang w:val="ru-RU"/>
        </w:rPr>
        <w:t xml:space="preserve">Другие потребности в обучении, о которых стало известно Международному бюро, касаются средних ведомств, выполняющих функции международных поисковых органов и органов международной предварительной экспертизы (МПО/ОМПЭ) или готовящихся к выполнению таких функций.  Централизация такого обучения позволила бы более </w:t>
      </w:r>
      <w:r w:rsidRPr="004C5E85">
        <w:rPr>
          <w:lang w:val="ru-RU"/>
        </w:rPr>
        <w:lastRenderedPageBreak/>
        <w:t>эффективно удовлетворять потребности в периодическом обучении, например, специалистов менее обеспеченных ресурсами МПО специалистами более крупных МПО, а также обеспечила бы единство стандартов за счет обмена передовым опытом.</w:t>
      </w:r>
    </w:p>
    <w:p w14:paraId="48294819" w14:textId="74C5EAEA" w:rsidR="00DF35F9" w:rsidRPr="004C5E85" w:rsidRDefault="002A0422" w:rsidP="002A0422">
      <w:pPr>
        <w:pStyle w:val="ONUME"/>
        <w:rPr>
          <w:lang w:val="ru-RU"/>
        </w:rPr>
      </w:pPr>
      <w:r w:rsidRPr="004C5E85">
        <w:rPr>
          <w:lang w:val="ru-RU"/>
        </w:rPr>
        <w:t xml:space="preserve">В этой связи предлагается расширить круг предложенного ранее опроса и </w:t>
      </w:r>
      <w:r w:rsidR="0003617A" w:rsidRPr="004C5E85">
        <w:rPr>
          <w:lang w:val="ru-RU"/>
        </w:rPr>
        <w:t>провести модифицированный опрос на предмет</w:t>
      </w:r>
      <w:r w:rsidR="00DF35F9" w:rsidRPr="004C5E85">
        <w:rPr>
          <w:lang w:val="ru-RU"/>
        </w:rPr>
        <w:t>:</w:t>
      </w:r>
      <w:bookmarkEnd w:id="6"/>
    </w:p>
    <w:p w14:paraId="12D04FD5" w14:textId="0F3445AC" w:rsidR="0003617A" w:rsidRPr="004C5E85" w:rsidRDefault="0003617A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>наличия у ведомств политики в области обучения, методологии управления обучением и соответствующей инфраструктуры;</w:t>
      </w:r>
    </w:p>
    <w:p w14:paraId="630212EB" w14:textId="42C2638F" w:rsidR="00E37595" w:rsidRPr="004C5E85" w:rsidRDefault="00E37595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>потребности ведомств в технической помощи для разработки таких политики, методологии и инфраструктуры, особенно что касается небольших и средних ведомств;</w:t>
      </w:r>
    </w:p>
    <w:p w14:paraId="7A45A984" w14:textId="72FE02D9" w:rsidR="00E37595" w:rsidRPr="004C5E85" w:rsidRDefault="00E37595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>мнения этих ведомств о том, как можно организовать оказание такой технической помощи в целях разработки соответствующей политики в области обучения, методологии управления обучением и соответствующей инфраструктуры;</w:t>
      </w:r>
    </w:p>
    <w:p w14:paraId="3EFD743A" w14:textId="24B7FDB4" w:rsidR="00DF35F9" w:rsidRPr="004C5E85" w:rsidRDefault="00E37595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>специфических потребностей ведомств в помощи в области обучения со стороны внешних поставщиков;</w:t>
      </w:r>
    </w:p>
    <w:p w14:paraId="40BF036D" w14:textId="0A4C509A" w:rsidR="00E37595" w:rsidRPr="004C5E85" w:rsidRDefault="00E37595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>мнения ведомств о том, как можно своевременно и эффективно организовать оказание такой технической помощи в обуч</w:t>
      </w:r>
      <w:r w:rsidR="003C08DC" w:rsidRPr="004C5E85">
        <w:rPr>
          <w:lang w:val="ru-RU"/>
        </w:rPr>
        <w:t>ении экспертов начального уровня</w:t>
      </w:r>
      <w:r w:rsidRPr="004C5E85">
        <w:rPr>
          <w:lang w:val="ru-RU"/>
        </w:rPr>
        <w:t xml:space="preserve"> или в дальнейшем обучении в духе сотрудничества, и, в частности, какую роль должно играть Международное бюро;</w:t>
      </w:r>
    </w:p>
    <w:p w14:paraId="59286A74" w14:textId="1C2F5D1A" w:rsidR="00E37595" w:rsidRPr="004C5E85" w:rsidRDefault="00E37595" w:rsidP="00DF35F9">
      <w:pPr>
        <w:pStyle w:val="ONUME"/>
        <w:numPr>
          <w:ilvl w:val="1"/>
          <w:numId w:val="5"/>
        </w:numPr>
        <w:rPr>
          <w:lang w:val="ru-RU"/>
        </w:rPr>
      </w:pPr>
      <w:r w:rsidRPr="004C5E85">
        <w:rPr>
          <w:lang w:val="ru-RU"/>
        </w:rPr>
        <w:t xml:space="preserve">мнения потенциальных ведомств-поставщиков относительно оказания помощи прочим ведомствам в разработке устойчивой инфраструктуры обучения или относительно содействия удовлетворению выявленных потребностей в области обучения. </w:t>
      </w:r>
    </w:p>
    <w:p w14:paraId="26A04CCA" w14:textId="77777777" w:rsidR="00E37595" w:rsidRPr="004C5E85" w:rsidRDefault="00E37595" w:rsidP="00E37595">
      <w:pPr>
        <w:pStyle w:val="Heading1"/>
        <w:rPr>
          <w:lang w:val="ru-RU"/>
        </w:rPr>
      </w:pPr>
      <w:r w:rsidRPr="004C5E85">
        <w:rPr>
          <w:lang w:val="ru-RU"/>
        </w:rPr>
        <w:t>Отчет О ПРОВЕДЕНИИ ОПРОСА И О ДАЛЬНЕЙШЕЙ РАБОТЕ</w:t>
      </w:r>
    </w:p>
    <w:p w14:paraId="0964D975" w14:textId="32BF6703" w:rsidR="00E37595" w:rsidRPr="004C5E85" w:rsidRDefault="00E37595" w:rsidP="00E37595">
      <w:pPr>
        <w:pStyle w:val="ONUME"/>
        <w:rPr>
          <w:lang w:val="ru-RU"/>
        </w:rPr>
      </w:pPr>
      <w:r w:rsidRPr="004C5E85">
        <w:rPr>
          <w:lang w:val="ru-RU"/>
        </w:rPr>
        <w:t xml:space="preserve">Международное бюро представит оценку в отношении предлагаемого опроса и доложит о ходе дальнейшей работы по </w:t>
      </w:r>
      <w:r w:rsidR="00442830" w:rsidRPr="004C5E85">
        <w:rPr>
          <w:lang w:val="ru-RU"/>
        </w:rPr>
        <w:t xml:space="preserve">координации </w:t>
      </w:r>
      <w:r w:rsidR="00EE58D9" w:rsidRPr="004C5E85">
        <w:rPr>
          <w:lang w:val="ru-RU"/>
        </w:rPr>
        <w:t xml:space="preserve">деятельности в области </w:t>
      </w:r>
      <w:r w:rsidR="00442830" w:rsidRPr="004C5E85">
        <w:rPr>
          <w:lang w:val="ru-RU"/>
        </w:rPr>
        <w:t xml:space="preserve">обучения экспертов на будущих сессиях </w:t>
      </w:r>
      <w:r w:rsidRPr="004C5E85">
        <w:rPr>
          <w:lang w:val="ru-RU"/>
        </w:rPr>
        <w:t>Рабочей группы.</w:t>
      </w:r>
    </w:p>
    <w:p w14:paraId="03E97CF1" w14:textId="53C2E2E4" w:rsidR="00DF35F9" w:rsidRPr="004C5E85" w:rsidRDefault="00442830" w:rsidP="00442830">
      <w:pPr>
        <w:pStyle w:val="ONUME"/>
        <w:ind w:left="5310"/>
        <w:rPr>
          <w:i/>
          <w:lang w:val="ru-RU"/>
        </w:rPr>
      </w:pPr>
      <w:r w:rsidRPr="004C5E85">
        <w:rPr>
          <w:i/>
          <w:lang w:val="ru-RU"/>
        </w:rPr>
        <w:t>Рабочей группе предлагается</w:t>
      </w:r>
      <w:r w:rsidR="00DF35F9" w:rsidRPr="004C5E85">
        <w:rPr>
          <w:i/>
          <w:lang w:val="ru-RU"/>
        </w:rPr>
        <w:t>:</w:t>
      </w:r>
    </w:p>
    <w:p w14:paraId="2F6AE14C" w14:textId="1B3AD19D" w:rsidR="00DF35F9" w:rsidRPr="004C5E85" w:rsidRDefault="00DF35F9" w:rsidP="00442830">
      <w:pPr>
        <w:spacing w:after="220"/>
        <w:ind w:left="5310"/>
        <w:rPr>
          <w:i/>
          <w:lang w:val="ru-RU"/>
        </w:rPr>
      </w:pPr>
      <w:r w:rsidRPr="004C5E85">
        <w:rPr>
          <w:i/>
          <w:lang w:val="ru-RU"/>
        </w:rPr>
        <w:t xml:space="preserve">(i) </w:t>
      </w:r>
      <w:r w:rsidR="00F9210B" w:rsidRPr="004C5E85">
        <w:rPr>
          <w:i/>
          <w:lang w:val="ru-RU"/>
        </w:rPr>
        <w:tab/>
      </w:r>
      <w:r w:rsidR="00442830" w:rsidRPr="004C5E85">
        <w:rPr>
          <w:i/>
          <w:lang w:val="ru-RU"/>
        </w:rPr>
        <w:t>принять к сведению содержание настоящего документа; и</w:t>
      </w:r>
    </w:p>
    <w:p w14:paraId="3251FFD8" w14:textId="2E8EE74B" w:rsidR="00DF35F9" w:rsidRPr="004C5E85" w:rsidRDefault="00DF35F9" w:rsidP="00442830">
      <w:pPr>
        <w:spacing w:after="220"/>
        <w:ind w:left="5310"/>
        <w:rPr>
          <w:i/>
          <w:lang w:val="ru-RU"/>
        </w:rPr>
      </w:pPr>
      <w:r w:rsidRPr="004C5E85">
        <w:rPr>
          <w:i/>
          <w:lang w:val="ru-RU"/>
        </w:rPr>
        <w:t>(ii)</w:t>
      </w:r>
      <w:r w:rsidR="00F9210B" w:rsidRPr="004C5E85">
        <w:rPr>
          <w:i/>
          <w:lang w:val="ru-RU"/>
        </w:rPr>
        <w:tab/>
      </w:r>
      <w:r w:rsidR="00442830" w:rsidRPr="004C5E85">
        <w:rPr>
          <w:i/>
          <w:lang w:val="ru-RU"/>
        </w:rPr>
        <w:t>прокомментировать предложение о проведении опроса, как указано в пункте</w:t>
      </w:r>
      <w:r w:rsidR="00F9210B" w:rsidRPr="004C5E85">
        <w:rPr>
          <w:i/>
          <w:lang w:val="ru-RU"/>
        </w:rPr>
        <w:t> </w:t>
      </w:r>
      <w:r w:rsidR="00F9210B" w:rsidRPr="004C5E85">
        <w:rPr>
          <w:i/>
          <w:lang w:val="ru-RU"/>
        </w:rPr>
        <w:fldChar w:fldCharType="begin"/>
      </w:r>
      <w:r w:rsidR="00F9210B" w:rsidRPr="004C5E85">
        <w:rPr>
          <w:i/>
          <w:lang w:val="ru-RU"/>
        </w:rPr>
        <w:instrText xml:space="preserve"> REF _Ref112164848 \r \h </w:instrText>
      </w:r>
      <w:r w:rsidR="00F9210B" w:rsidRPr="004C5E85">
        <w:rPr>
          <w:i/>
          <w:lang w:val="ru-RU"/>
        </w:rPr>
      </w:r>
      <w:r w:rsidR="00F9210B" w:rsidRPr="004C5E85">
        <w:rPr>
          <w:i/>
          <w:lang w:val="ru-RU"/>
        </w:rPr>
        <w:fldChar w:fldCharType="separate"/>
      </w:r>
      <w:r w:rsidR="00561F6A" w:rsidRPr="004C5E85">
        <w:rPr>
          <w:i/>
          <w:lang w:val="ru-RU"/>
        </w:rPr>
        <w:t>16</w:t>
      </w:r>
      <w:r w:rsidR="00F9210B" w:rsidRPr="004C5E85">
        <w:rPr>
          <w:i/>
          <w:lang w:val="ru-RU"/>
        </w:rPr>
        <w:fldChar w:fldCharType="end"/>
      </w:r>
      <w:r w:rsidRPr="004C5E85">
        <w:rPr>
          <w:i/>
          <w:lang w:val="ru-RU"/>
        </w:rPr>
        <w:t xml:space="preserve"> </w:t>
      </w:r>
      <w:r w:rsidR="00442830" w:rsidRPr="004C5E85">
        <w:rPr>
          <w:i/>
          <w:lang w:val="ru-RU"/>
        </w:rPr>
        <w:t>выше</w:t>
      </w:r>
      <w:r w:rsidRPr="004C5E85">
        <w:rPr>
          <w:i/>
          <w:lang w:val="ru-RU"/>
        </w:rPr>
        <w:t>.</w:t>
      </w:r>
    </w:p>
    <w:p w14:paraId="0ED0D624" w14:textId="77777777" w:rsidR="00DF35F9" w:rsidRPr="004C5E85" w:rsidRDefault="00DF35F9" w:rsidP="00442830">
      <w:pPr>
        <w:pStyle w:val="Endofdocument-Annex"/>
        <w:ind w:left="5310"/>
        <w:rPr>
          <w:lang w:val="ru-RU"/>
        </w:rPr>
      </w:pPr>
    </w:p>
    <w:p w14:paraId="7CB3E04B" w14:textId="0D6E2139" w:rsidR="002326AB" w:rsidRPr="004C5E85" w:rsidRDefault="00DF35F9" w:rsidP="00442830">
      <w:pPr>
        <w:pStyle w:val="Endofdocument-Annex"/>
        <w:ind w:left="5310"/>
        <w:rPr>
          <w:lang w:val="ru-RU"/>
        </w:rPr>
      </w:pPr>
      <w:r w:rsidRPr="004C5E85">
        <w:rPr>
          <w:lang w:val="ru-RU"/>
        </w:rPr>
        <w:t>[</w:t>
      </w:r>
      <w:r w:rsidR="00442830" w:rsidRPr="004C5E85">
        <w:rPr>
          <w:lang w:val="ru-RU"/>
        </w:rPr>
        <w:t>Конец документа</w:t>
      </w:r>
      <w:r w:rsidRPr="004C5E85">
        <w:rPr>
          <w:lang w:val="ru-RU"/>
        </w:rPr>
        <w:t>]</w:t>
      </w:r>
    </w:p>
    <w:sectPr w:rsidR="002326AB" w:rsidRPr="004C5E85" w:rsidSect="004A1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0F55F" w14:textId="77777777" w:rsidR="004F76CF" w:rsidRDefault="004F76CF">
      <w:r>
        <w:separator/>
      </w:r>
    </w:p>
  </w:endnote>
  <w:endnote w:type="continuationSeparator" w:id="0">
    <w:p w14:paraId="057EB1A6" w14:textId="77777777" w:rsidR="004F76CF" w:rsidRDefault="004F76CF" w:rsidP="003B38C1">
      <w:r>
        <w:separator/>
      </w:r>
    </w:p>
    <w:p w14:paraId="6871DBAF" w14:textId="77777777" w:rsidR="004F76CF" w:rsidRPr="003B38C1" w:rsidRDefault="004F76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CB59157" w14:textId="77777777" w:rsidR="004F76CF" w:rsidRPr="003B38C1" w:rsidRDefault="004F76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362C" w14:textId="77777777" w:rsidR="00CE1D89" w:rsidRDefault="00CE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C237" w14:textId="77777777" w:rsidR="00CE1D89" w:rsidRDefault="00CE1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7764" w14:textId="77777777" w:rsidR="00CE1D89" w:rsidRDefault="00CE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0568B" w14:textId="77777777" w:rsidR="004F76CF" w:rsidRDefault="004F76CF">
      <w:r>
        <w:separator/>
      </w:r>
    </w:p>
  </w:footnote>
  <w:footnote w:type="continuationSeparator" w:id="0">
    <w:p w14:paraId="03067406" w14:textId="77777777" w:rsidR="004F76CF" w:rsidRDefault="004F76CF" w:rsidP="008B60B2">
      <w:r>
        <w:separator/>
      </w:r>
    </w:p>
    <w:p w14:paraId="299DAD06" w14:textId="77777777" w:rsidR="004F76CF" w:rsidRPr="00ED77FB" w:rsidRDefault="004F76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EFBC10F" w14:textId="77777777" w:rsidR="004F76CF" w:rsidRPr="00ED77FB" w:rsidRDefault="004F76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6CD44" w14:textId="24F55350" w:rsidR="004A1AE0" w:rsidRPr="002326AB" w:rsidRDefault="004A1AE0" w:rsidP="004A1AE0">
    <w:pPr>
      <w:jc w:val="right"/>
      <w:rPr>
        <w:caps/>
      </w:rPr>
    </w:pPr>
    <w:r>
      <w:rPr>
        <w:caps/>
      </w:rPr>
      <w:t>PCT/WG/15/7</w:t>
    </w:r>
  </w:p>
  <w:p w14:paraId="519D78AD" w14:textId="03D556D5" w:rsidR="004A1AE0" w:rsidRDefault="00FB5190" w:rsidP="004A1AE0">
    <w:pPr>
      <w:jc w:val="right"/>
    </w:pPr>
    <w:r>
      <w:rPr>
        <w:lang w:val="ru-RU"/>
      </w:rPr>
      <w:t>стр.</w:t>
    </w:r>
    <w:r w:rsidR="004A1AE0">
      <w:t xml:space="preserve"> </w:t>
    </w:r>
    <w:r w:rsidR="004A1AE0">
      <w:fldChar w:fldCharType="begin"/>
    </w:r>
    <w:r w:rsidR="004A1AE0">
      <w:instrText xml:space="preserve"> PAGE  \* MERGEFORMAT </w:instrText>
    </w:r>
    <w:r w:rsidR="004A1AE0">
      <w:fldChar w:fldCharType="separate"/>
    </w:r>
    <w:r w:rsidR="00CE1D89">
      <w:rPr>
        <w:noProof/>
      </w:rPr>
      <w:t>4</w:t>
    </w:r>
    <w:r w:rsidR="004A1AE0">
      <w:fldChar w:fldCharType="end"/>
    </w:r>
  </w:p>
  <w:p w14:paraId="212B6FEC" w14:textId="77777777" w:rsidR="004A1AE0" w:rsidRDefault="004A1AE0" w:rsidP="004A1AE0">
    <w:pPr>
      <w:jc w:val="right"/>
    </w:pPr>
  </w:p>
  <w:p w14:paraId="1A7179DE" w14:textId="77777777" w:rsidR="004A1AE0" w:rsidRDefault="004A1AE0" w:rsidP="004A1A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6F4C2" w14:textId="5A996D2B" w:rsidR="00D07C78" w:rsidRPr="002326AB" w:rsidRDefault="004F76CF" w:rsidP="00477D6B">
    <w:pPr>
      <w:jc w:val="right"/>
      <w:rPr>
        <w:caps/>
      </w:rPr>
    </w:pPr>
    <w:r>
      <w:rPr>
        <w:caps/>
      </w:rPr>
      <w:t>PCT/WG/15/7</w:t>
    </w:r>
  </w:p>
  <w:p w14:paraId="72E89269" w14:textId="07F3290A" w:rsidR="00D07C78" w:rsidRDefault="00FB5190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CE1D89">
      <w:rPr>
        <w:noProof/>
      </w:rPr>
      <w:t>3</w:t>
    </w:r>
    <w:r w:rsidR="00D07C78">
      <w:fldChar w:fldCharType="end"/>
    </w:r>
  </w:p>
  <w:p w14:paraId="5F45C17A" w14:textId="77777777" w:rsidR="00D07C78" w:rsidRDefault="00D07C78" w:rsidP="00477D6B">
    <w:pPr>
      <w:jc w:val="right"/>
    </w:pPr>
  </w:p>
  <w:p w14:paraId="121C3E90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96A2" w14:textId="77777777" w:rsidR="00CE1D89" w:rsidRDefault="00CE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F"/>
    <w:rsid w:val="0003617A"/>
    <w:rsid w:val="00043CAA"/>
    <w:rsid w:val="00053AB7"/>
    <w:rsid w:val="00056816"/>
    <w:rsid w:val="00075432"/>
    <w:rsid w:val="000968ED"/>
    <w:rsid w:val="000A3D97"/>
    <w:rsid w:val="000B58F7"/>
    <w:rsid w:val="000F5E56"/>
    <w:rsid w:val="001362EE"/>
    <w:rsid w:val="00145465"/>
    <w:rsid w:val="001507CB"/>
    <w:rsid w:val="00162EC6"/>
    <w:rsid w:val="001647D5"/>
    <w:rsid w:val="001832A6"/>
    <w:rsid w:val="001D4107"/>
    <w:rsid w:val="00203D24"/>
    <w:rsid w:val="0021217E"/>
    <w:rsid w:val="002326AB"/>
    <w:rsid w:val="00243430"/>
    <w:rsid w:val="002634C4"/>
    <w:rsid w:val="002928D3"/>
    <w:rsid w:val="00296F5F"/>
    <w:rsid w:val="002A0422"/>
    <w:rsid w:val="002F1FE6"/>
    <w:rsid w:val="002F4E68"/>
    <w:rsid w:val="00312F7F"/>
    <w:rsid w:val="003361FC"/>
    <w:rsid w:val="0033777F"/>
    <w:rsid w:val="00361450"/>
    <w:rsid w:val="003673CF"/>
    <w:rsid w:val="003674EA"/>
    <w:rsid w:val="003845C1"/>
    <w:rsid w:val="003A6F89"/>
    <w:rsid w:val="003B38C1"/>
    <w:rsid w:val="003C08DC"/>
    <w:rsid w:val="003C34E9"/>
    <w:rsid w:val="003C551D"/>
    <w:rsid w:val="00423E3E"/>
    <w:rsid w:val="00427AF4"/>
    <w:rsid w:val="00442830"/>
    <w:rsid w:val="004647DA"/>
    <w:rsid w:val="00474062"/>
    <w:rsid w:val="00477D6B"/>
    <w:rsid w:val="004A1AE0"/>
    <w:rsid w:val="004C5E85"/>
    <w:rsid w:val="004E2EBA"/>
    <w:rsid w:val="004F76CF"/>
    <w:rsid w:val="005019FF"/>
    <w:rsid w:val="005170B6"/>
    <w:rsid w:val="0053057A"/>
    <w:rsid w:val="00556076"/>
    <w:rsid w:val="00560A29"/>
    <w:rsid w:val="00561F6A"/>
    <w:rsid w:val="005A473F"/>
    <w:rsid w:val="005C6649"/>
    <w:rsid w:val="005F5672"/>
    <w:rsid w:val="00605827"/>
    <w:rsid w:val="00646050"/>
    <w:rsid w:val="006713CA"/>
    <w:rsid w:val="00676C5C"/>
    <w:rsid w:val="006A59DA"/>
    <w:rsid w:val="006E7DF5"/>
    <w:rsid w:val="00720EFD"/>
    <w:rsid w:val="00737AEA"/>
    <w:rsid w:val="00761EE6"/>
    <w:rsid w:val="0077079D"/>
    <w:rsid w:val="007854AF"/>
    <w:rsid w:val="00793A7C"/>
    <w:rsid w:val="007A398A"/>
    <w:rsid w:val="007D1613"/>
    <w:rsid w:val="007E4C0E"/>
    <w:rsid w:val="0084379A"/>
    <w:rsid w:val="00864FCB"/>
    <w:rsid w:val="008A134B"/>
    <w:rsid w:val="008B2CC1"/>
    <w:rsid w:val="008B60B2"/>
    <w:rsid w:val="008D0D0A"/>
    <w:rsid w:val="008E1EFF"/>
    <w:rsid w:val="0090731E"/>
    <w:rsid w:val="00916EE2"/>
    <w:rsid w:val="00936064"/>
    <w:rsid w:val="00965BCE"/>
    <w:rsid w:val="00966A22"/>
    <w:rsid w:val="0096722F"/>
    <w:rsid w:val="00972675"/>
    <w:rsid w:val="00980843"/>
    <w:rsid w:val="009B45EC"/>
    <w:rsid w:val="009C7E1E"/>
    <w:rsid w:val="009E2791"/>
    <w:rsid w:val="009E3F6F"/>
    <w:rsid w:val="009F33D9"/>
    <w:rsid w:val="009F499F"/>
    <w:rsid w:val="00A37342"/>
    <w:rsid w:val="00A42DAF"/>
    <w:rsid w:val="00A45BD8"/>
    <w:rsid w:val="00A5305C"/>
    <w:rsid w:val="00A869B7"/>
    <w:rsid w:val="00A90F0A"/>
    <w:rsid w:val="00AC205C"/>
    <w:rsid w:val="00AF0A6B"/>
    <w:rsid w:val="00B05A69"/>
    <w:rsid w:val="00B42401"/>
    <w:rsid w:val="00B75281"/>
    <w:rsid w:val="00B92F1F"/>
    <w:rsid w:val="00B9734B"/>
    <w:rsid w:val="00BA30E2"/>
    <w:rsid w:val="00BC5E8E"/>
    <w:rsid w:val="00BF4505"/>
    <w:rsid w:val="00C11BFE"/>
    <w:rsid w:val="00C26FE0"/>
    <w:rsid w:val="00C5068F"/>
    <w:rsid w:val="00C82D15"/>
    <w:rsid w:val="00C86D74"/>
    <w:rsid w:val="00CD04F1"/>
    <w:rsid w:val="00CE1D89"/>
    <w:rsid w:val="00CF681A"/>
    <w:rsid w:val="00D07C78"/>
    <w:rsid w:val="00D23326"/>
    <w:rsid w:val="00D45252"/>
    <w:rsid w:val="00D71B4D"/>
    <w:rsid w:val="00D93D55"/>
    <w:rsid w:val="00DB6664"/>
    <w:rsid w:val="00DD7B7F"/>
    <w:rsid w:val="00DF35F9"/>
    <w:rsid w:val="00E15015"/>
    <w:rsid w:val="00E335FE"/>
    <w:rsid w:val="00E37595"/>
    <w:rsid w:val="00E46075"/>
    <w:rsid w:val="00E56147"/>
    <w:rsid w:val="00EA7D6E"/>
    <w:rsid w:val="00EB2F76"/>
    <w:rsid w:val="00EC4E49"/>
    <w:rsid w:val="00ED77FB"/>
    <w:rsid w:val="00EE45FA"/>
    <w:rsid w:val="00EE58D9"/>
    <w:rsid w:val="00EE67BC"/>
    <w:rsid w:val="00F043DE"/>
    <w:rsid w:val="00F66152"/>
    <w:rsid w:val="00F9165B"/>
    <w:rsid w:val="00F9210B"/>
    <w:rsid w:val="00FB5190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C9A6787"/>
  <w15:docId w15:val="{8CC55EB8-8E3F-44A2-82AA-2E7CCA0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336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6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5BCE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437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379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379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4379A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locked/>
    <w:rsid w:val="00737AEA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B519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C7E1E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6458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B6C0-CCF3-4664-953C-19BCEF31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9240</Characters>
  <Application>Microsoft Office Word</Application>
  <DocSecurity>0</DocSecurity>
  <Lines>164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PCT/WG/15/7</vt:lpstr>
    </vt:vector>
  </TitlesOfParts>
  <Company>WIPO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PCT/WG/15/7</dc:title>
  <dc:subject>Coordination of Patent Examiner Training</dc:subject>
  <dc:creator>MARLOW Thomas</dc:creator>
  <cp:keywords>PUBLIC</cp:keywords>
  <cp:lastModifiedBy>SHOUSHA Sally</cp:lastModifiedBy>
  <cp:revision>2</cp:revision>
  <cp:lastPrinted>2022-08-23T15:46:00Z</cp:lastPrinted>
  <dcterms:created xsi:type="dcterms:W3CDTF">2022-09-13T14:14:00Z</dcterms:created>
  <dcterms:modified xsi:type="dcterms:W3CDTF">2022-09-13T14:14:00Z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