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B7D48" w14:textId="0E400711" w:rsidR="008B2CC1" w:rsidRPr="00F043DE" w:rsidRDefault="00EA162A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5E224CC9" wp14:editId="04A8648F">
            <wp:extent cx="3246120" cy="1506855"/>
            <wp:effectExtent l="0" t="0" r="0" b="0"/>
            <wp:docPr id="1896438542" name="Picture 189643854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31D8B2" w14:textId="0F398747" w:rsidR="008B2CC1" w:rsidRPr="002326AB" w:rsidRDefault="00761CD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PCT/CTC/33/</w:t>
      </w:r>
      <w:bookmarkStart w:id="0" w:name="Code"/>
      <w:bookmarkEnd w:id="0"/>
      <w:r>
        <w:rPr>
          <w:rFonts w:ascii="Arial Black" w:hAnsi="Arial Black"/>
          <w:caps/>
          <w:sz w:val="15"/>
        </w:rPr>
        <w:t>INF/1</w:t>
      </w:r>
    </w:p>
    <w:p w14:paraId="0D52FE95" w14:textId="2D075BAD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43FD6369" w14:textId="0E54CE1F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 </w:t>
      </w:r>
      <w:bookmarkStart w:id="2" w:name="Date"/>
      <w:r>
        <w:rPr>
          <w:rFonts w:ascii="Arial Black" w:hAnsi="Arial Black"/>
          <w:caps/>
          <w:sz w:val="15"/>
        </w:rPr>
        <w:t>19 декабря 2025 года</w:t>
      </w:r>
    </w:p>
    <w:bookmarkEnd w:id="2"/>
    <w:p w14:paraId="6ADB7F58" w14:textId="77777777" w:rsidR="008B2CC1" w:rsidRPr="004B446A" w:rsidRDefault="00761CD8" w:rsidP="004B446A">
      <w:pPr>
        <w:spacing w:after="480"/>
        <w:rPr>
          <w:b/>
          <w:bCs/>
        </w:rPr>
      </w:pPr>
      <w:r>
        <w:rPr>
          <w:b/>
          <w:sz w:val="28"/>
        </w:rPr>
        <w:t>Договор о патентной кооперации (PCT)</w:t>
      </w:r>
      <w:r>
        <w:rPr>
          <w:b/>
          <w:sz w:val="28"/>
        </w:rPr>
        <w:cr/>
      </w:r>
      <w:r>
        <w:rPr>
          <w:b/>
          <w:sz w:val="28"/>
        </w:rPr>
        <w:br/>
        <w:t>Комитет по техническому сотрудничеству</w:t>
      </w:r>
    </w:p>
    <w:p w14:paraId="01B148C3" w14:textId="4B2674E6" w:rsidR="00A90F0A" w:rsidRDefault="00761CD8" w:rsidP="009E1A21">
      <w:pPr>
        <w:tabs>
          <w:tab w:val="left" w:pos="7830"/>
        </w:tabs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третья сессия</w:t>
      </w:r>
      <w:r w:rsidR="009E1A21">
        <w:rPr>
          <w:b/>
          <w:sz w:val="24"/>
        </w:rPr>
        <w:tab/>
      </w:r>
    </w:p>
    <w:p w14:paraId="094102A3" w14:textId="77777777" w:rsidR="008B2CC1" w:rsidRPr="003845C1" w:rsidRDefault="00761CD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2–6 февраля 2026 года</w:t>
      </w:r>
    </w:p>
    <w:p w14:paraId="1E0ED7A0" w14:textId="66743FAB" w:rsidR="008B2CC1" w:rsidRPr="003845C1" w:rsidRDefault="007D67F6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Порядок и условия назначения и продления назначения</w:t>
      </w:r>
    </w:p>
    <w:p w14:paraId="3A72C645" w14:textId="14BB7D1B" w:rsidR="002928D3" w:rsidRPr="00F9165B" w:rsidRDefault="007D67F6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Меморандум Секретариата</w:t>
      </w:r>
    </w:p>
    <w:p w14:paraId="602D15A6" w14:textId="691778BF" w:rsidR="002326AB" w:rsidRDefault="00A80D34" w:rsidP="00A80D34">
      <w:pPr>
        <w:pStyle w:val="Heading1"/>
      </w:pPr>
      <w:r>
        <w:t>резюме</w:t>
      </w:r>
    </w:p>
    <w:p w14:paraId="059C70A3" w14:textId="37570B0B" w:rsidR="00A80D34" w:rsidRDefault="00D213D8" w:rsidP="00D213D8">
      <w:pPr>
        <w:pStyle w:val="ONUME"/>
      </w:pPr>
      <w:r>
        <w:t xml:space="preserve">Комитету РСТ по техническому сотрудничеству (далее – «Комитет» или «КТС») </w:t>
      </w:r>
      <w:r w:rsidR="006B0ACF">
        <w:t>предлагается</w:t>
      </w:r>
      <w:r>
        <w:t xml:space="preserve"> вынести рекомендаци</w:t>
      </w:r>
      <w:r w:rsidR="003F79F7">
        <w:t>и</w:t>
      </w:r>
      <w:r>
        <w:t xml:space="preserve"> для Ассамблеи РСТ в отношении назначения одного нового ведомства в качестве Международного поискового органа и Органа международной предварительной экспертизы по процедуре РСТ, а также в отношении продления назначения всех действующих органов.  В настоящем меморандуме излагается роль Комитета в этом процессе и сроки продления назначения, а также содержится призыв к членам Комитета рассмотреть заявления о продлении назначения, </w:t>
      </w:r>
      <w:r w:rsidR="00D6061C">
        <w:t>направить свои замечания</w:t>
      </w:r>
      <w:r>
        <w:t xml:space="preserve"> и задать вопросы отдельным органам для содействия эффективному осуществлению процедуры во время сессии Комитета.</w:t>
      </w:r>
    </w:p>
    <w:p w14:paraId="29132303" w14:textId="38925087" w:rsidR="00A80D34" w:rsidRDefault="00A80D34" w:rsidP="00A80D34">
      <w:pPr>
        <w:pStyle w:val="Heading1"/>
      </w:pPr>
      <w:r>
        <w:t>роль комитета</w:t>
      </w:r>
    </w:p>
    <w:p w14:paraId="139654D7" w14:textId="4ABEEF28" w:rsidR="00A80D34" w:rsidRDefault="00B40779" w:rsidP="00A80D34">
      <w:pPr>
        <w:pStyle w:val="ONUME"/>
      </w:pPr>
      <w:r>
        <w:t>В соответствии со статье</w:t>
      </w:r>
      <w:r w:rsidR="003F79F7">
        <w:t>й</w:t>
      </w:r>
      <w:r>
        <w:t xml:space="preserve"> 16(e) PCT Комитет призван выносить рекомендации по заявлениям о назначении для сведения Ассамблеи РСТ.</w:t>
      </w:r>
    </w:p>
    <w:p w14:paraId="09416DB6" w14:textId="0917E052" w:rsidR="00A80D34" w:rsidRDefault="00A80D34" w:rsidP="00A80D34">
      <w:pPr>
        <w:pStyle w:val="ONUME"/>
      </w:pPr>
      <w:r>
        <w:t>Согласно статье 56(3)(i) и (ii) РСТ задачи Комитета включают среди прочего «содействие путем подготовки предложений и рекомендаций: (i) постоянному совершенствованию услуг, предусмотренных настоящим Договором, [и] (ii) обеспечению максимального единообразия в документации, методах работы и максимальной степени одинаково высокого качества отчетов и заключений, пока существуют несколько международных поисковых органов и органов международной предварительной экспертизы».</w:t>
      </w:r>
    </w:p>
    <w:p w14:paraId="2E1A9C09" w14:textId="66A15927" w:rsidR="00A80D34" w:rsidRDefault="00A80D34" w:rsidP="00C02B51">
      <w:pPr>
        <w:pStyle w:val="ONUME"/>
        <w:keepLines/>
      </w:pPr>
      <w:r>
        <w:lastRenderedPageBreak/>
        <w:t>Таким образом, рекомендации Комитета для Ассамблеи должны быть основаны на технической оценке того, в состоянии ли ведомство в случае его назначения международным органом или продления такого назначения внести позитивный вклад в предоставление услуг в рамках РСТ, и в частности отвечает ли оно (все еще отвечает) минимальным требованиям назначения, изложенным в правилах 36 и 63 Инструкции к РСТ.</w:t>
      </w:r>
    </w:p>
    <w:p w14:paraId="4DE0D298" w14:textId="3AB6C7A1" w:rsidR="00A80D34" w:rsidRDefault="00A80D34" w:rsidP="00A80D34">
      <w:pPr>
        <w:pStyle w:val="ONUME"/>
      </w:pPr>
      <w:r>
        <w:t>Впоследствии Ассамблея РСТ, учитывая рекомендаци</w:t>
      </w:r>
      <w:r w:rsidR="0007561D">
        <w:t>и</w:t>
      </w:r>
      <w:r>
        <w:t xml:space="preserve"> Комитета, принимает решение о назначении или продлении назначения ведомства.  Ассамблее также будет предложено утвердить соглашения между Международным бюро и каждым международным органом, которые будут разработаны на основе типового соглашения (см. приложение I к документу PCT/CTC/33/28).  Комитету было предложено направить замечания по проекту типового соглашения и поправкам к Инструкции к PCT, которые необходимы для любого изменения формата проекта типового соглашения</w:t>
      </w:r>
      <w:r w:rsidR="0007561D">
        <w:t xml:space="preserve"> и</w:t>
      </w:r>
      <w:r>
        <w:t xml:space="preserve"> представлен</w:t>
      </w:r>
      <w:r w:rsidR="0007561D">
        <w:t>ы</w:t>
      </w:r>
      <w:r>
        <w:t xml:space="preserve"> в приложении II</w:t>
      </w:r>
      <w:r w:rsidR="0007561D">
        <w:t xml:space="preserve"> к</w:t>
      </w:r>
      <w:r>
        <w:t xml:space="preserve"> документ</w:t>
      </w:r>
      <w:r w:rsidR="0007561D">
        <w:t>у</w:t>
      </w:r>
      <w:r>
        <w:t xml:space="preserve"> PCT/CTC/33/28.  Комитету не требуется рассматривать отдельные соглашения для каждого международного органа.</w:t>
      </w:r>
    </w:p>
    <w:p w14:paraId="44FBFC71" w14:textId="77777777" w:rsidR="00A80D34" w:rsidRDefault="00A80D34" w:rsidP="00A80D34">
      <w:pPr>
        <w:pStyle w:val="ONUME"/>
      </w:pPr>
      <w:r>
        <w:t>Для справки в приложении к настоящему меморандуму воспроизведены соответствующие положения Договора и Инструкции, а также текст понимания, касающегося данной процедуры, который был принят Ассамблеей.</w:t>
      </w:r>
    </w:p>
    <w:p w14:paraId="080FD21D" w14:textId="1805CAB7" w:rsidR="00A80D34" w:rsidRDefault="00701686" w:rsidP="00B92B2C">
      <w:pPr>
        <w:pStyle w:val="Heading1"/>
      </w:pPr>
      <w:r>
        <w:t>Процедура и сроки продления назначений</w:t>
      </w:r>
    </w:p>
    <w:p w14:paraId="2FBECA74" w14:textId="3C49D230" w:rsidR="00701686" w:rsidRDefault="00701686" w:rsidP="00A80D34">
      <w:pPr>
        <w:pStyle w:val="ONUME"/>
      </w:pPr>
      <w:r>
        <w:t>Период назначения всех международных поисковых органов и органов международной предварительной экспертизы истечет 31 декабря 2027 года.  Таким образом, Ассамблее необходимо утвердить продление назначения каждого ведомства или организации, которые хотели бы продолжать работу в качестве МПО/ОМПЭ с 1</w:t>
      </w:r>
      <w:r w:rsidR="00323701">
        <w:t> </w:t>
      </w:r>
      <w:r>
        <w:t>января 2028 года.</w:t>
      </w:r>
    </w:p>
    <w:p w14:paraId="5FEE65C7" w14:textId="28E9FB5C" w:rsidR="00AB3CAB" w:rsidRDefault="00B92B2C" w:rsidP="00CC0A54">
      <w:pPr>
        <w:pStyle w:val="ONUME"/>
      </w:pPr>
      <w:bookmarkStart w:id="5" w:name="_Ref216966700"/>
      <w:r>
        <w:t>На своей тридцать первой сессии в октябре 2024 года Заседание международных органов в рамках РСТ обсудило продление назначения (документ PCT/MIA/31/8).  Заседание поддержало предложенные сроки, согласно которым Ассамблее следует принять решение о продлении назначений на своей сессии в июле 2026 года, что позволит предоставить государствам и межправительственным организациям 18 месяцев для внутренних процедур, которые необходимо завершить перед подписанием новых соглашений с Международным бюро (см. пункт 35 Резюме Председателя тридцать первой сессии, документ PCT/MIA/31/11, воспроизведенное в приложении к документу PCT/WG/18/2).  Для того чтобы Ассамблея приняла решение о продлении назначени</w:t>
      </w:r>
      <w:r w:rsidR="002664DA">
        <w:t>я</w:t>
      </w:r>
      <w:r>
        <w:t xml:space="preserve"> в июле 2026 года, Комитету необходимо вынести рекомендации о продлении на текущей сессии.</w:t>
      </w:r>
    </w:p>
    <w:p w14:paraId="05323A76" w14:textId="743725AA" w:rsidR="00706C0B" w:rsidRDefault="00AB3CAB" w:rsidP="00CC0A54">
      <w:pPr>
        <w:pStyle w:val="ONUME"/>
      </w:pPr>
      <w:r>
        <w:t xml:space="preserve">Все международные поисковые органы и органы международной предварительной экспертизы представили заявления о продлении своего назначения в установленный срок до 1 декабря 2025 года, который был указан в циркулярном письме C. PCT 1691, в соответствии с пунктом (e) текста понимания, посвященного процедуре назначения международных органов (см. пункт </w:t>
      </w:r>
      <w:r w:rsidR="00FE525F">
        <w:fldChar w:fldCharType="begin"/>
      </w:r>
      <w:r w:rsidR="00FE525F">
        <w:instrText xml:space="preserve"> REF _Ref216969601 \r \h </w:instrText>
      </w:r>
      <w:r w:rsidR="00FE525F">
        <w:fldChar w:fldCharType="separate"/>
      </w:r>
      <w:r w:rsidR="00A907F6">
        <w:t>5</w:t>
      </w:r>
      <w:r w:rsidR="00FE525F">
        <w:fldChar w:fldCharType="end"/>
      </w:r>
      <w:r>
        <w:t xml:space="preserve"> приложения к настоящему документу), а также ежегодным отчетом ведомства или организации о системе управления качеством, указанным в их заявлениях.  </w:t>
      </w:r>
    </w:p>
    <w:p w14:paraId="53663AE2" w14:textId="2CB390D5" w:rsidR="00FE525F" w:rsidRDefault="00EF1373" w:rsidP="00CC0A54">
      <w:pPr>
        <w:pStyle w:val="ONUME"/>
      </w:pPr>
      <w:r>
        <w:t xml:space="preserve">Циркулярное письмо C. PCT 1691 содержало бланк заявления о продлении назначения на шести языках ООН (английском, арабском, испанском, китайском, русском и французском языках).  Бланк заявления о продлении назначения похож на бланк, </w:t>
      </w:r>
      <w:r w:rsidR="002664DA">
        <w:t>который использовался</w:t>
      </w:r>
      <w:r>
        <w:t xml:space="preserve"> для последних заявлений о назначении международных органов, однако в нем добавлен раздел, посвященный соблюдению положений о предоставлении патентных данных по минимальной документации PCT, которые вступают в силу 1 января 2026 года.  Вместе с тем из бланка исключены разделы, которые менее актуальны для продления назначения, например обоснование заявления о назначении, информация о </w:t>
      </w:r>
      <w:r>
        <w:lastRenderedPageBreak/>
        <w:t xml:space="preserve">государстве-заявителе (государствах-заявителях), характеристика получаемых ведомством-кандидатом патентных заявок и отчеты международных органов, которые выступали ведомствами-партнерами при оценке соблюдения ведомством-кандидатом требований для назначения.  </w:t>
      </w:r>
    </w:p>
    <w:p w14:paraId="5C530A26" w14:textId="21775F47" w:rsidR="00350764" w:rsidRDefault="00B367F1" w:rsidP="00CC0A54">
      <w:pPr>
        <w:pStyle w:val="ONUME"/>
      </w:pPr>
      <w:r>
        <w:t>Заявления о продлении назначения каждого международного органа содержатся в документах PCT/CTC/33/2 – PCT/33/33/26.  В соответствии с пунктом 21(e) документа PCT/MIA/31/8 о процедуре назначения, членам Комитета предлагает рассмотреть заявления о продлении назначения после их публикации.  Членам следует направить замечания и задать вопросы любым отдельным органам по любым разделам заявления, которые могут вызвать обеспокоенность во время сессии Комитета, или в случае</w:t>
      </w:r>
      <w:r w:rsidR="008815F8">
        <w:t>,</w:t>
      </w:r>
      <w:r>
        <w:t xml:space="preserve"> если им требуется дополнительная информация или пояснение.  Это позволит ведомствам устранить эти обеспокоенности либо путем выпуска дополнения к документу («Add»), либо путем предоставления дополнительной информации при представлении своего заявления.  В каждом заявлении о продлении назначения указано должностное лицо, с которым другие члены Комитета могут связаться по этому вопросу.  </w:t>
      </w:r>
    </w:p>
    <w:p w14:paraId="78B5EE86" w14:textId="48BC9568" w:rsidR="00706C0B" w:rsidRDefault="00706C0B" w:rsidP="00CC0A54">
      <w:pPr>
        <w:pStyle w:val="ONUME"/>
      </w:pPr>
      <w:r>
        <w:t>Рекомендации Комитета о продлении назначения будут представлены Ассамблее</w:t>
      </w:r>
      <w:r w:rsidR="008815F8">
        <w:t> </w:t>
      </w:r>
      <w:r>
        <w:t xml:space="preserve">PCT на ее сессии в июле 2026 года; Ассамблее будет предложено утвердить продление назначения международных поисковых органов и органов международной предварительной экспертизы еще на десять лет с 1 января 2028 года, проекты соглашений между Международным бюро и каждым </w:t>
      </w:r>
      <w:r w:rsidR="000E4A70">
        <w:t>М</w:t>
      </w:r>
      <w:r>
        <w:t xml:space="preserve">еждународным поисковым органом и </w:t>
      </w:r>
      <w:r w:rsidR="000E4A70">
        <w:t>О</w:t>
      </w:r>
      <w:r>
        <w:t>рганом международной предварительной экспертизы, а также любые поправки к Инструкции к PCT, которые требуются в связи с проектом типового соглашения.</w:t>
      </w:r>
    </w:p>
    <w:p w14:paraId="18DE27DE" w14:textId="2E3B8AE2" w:rsidR="00F95D5B" w:rsidRDefault="00F95D5B" w:rsidP="00F95D5B">
      <w:pPr>
        <w:pStyle w:val="ONUME"/>
      </w:pPr>
      <w:r>
        <w:t xml:space="preserve">  После принятие решения Ассамблеей PCT о продлении назначения международных органов до декабря 2027 года Международное бюро подпишет соглашения с каждым </w:t>
      </w:r>
      <w:r w:rsidR="000E4A70">
        <w:t>М</w:t>
      </w:r>
      <w:r>
        <w:t xml:space="preserve">еждународным поисковым органом и </w:t>
      </w:r>
      <w:r w:rsidR="000E4A70">
        <w:t>О</w:t>
      </w:r>
      <w:r>
        <w:t>рганом международной предварительной экспертизы после ратификации на национальном уровне, которая требуется для подписания соглашения.  Новые соглашения вступят в силу 1 января 2028</w:t>
      </w:r>
      <w:r w:rsidR="000E4A70">
        <w:t> </w:t>
      </w:r>
      <w:r>
        <w:t xml:space="preserve">года вместе с поправками к Инструкции к PCT, связанными с форматом соглашений. </w:t>
      </w:r>
    </w:p>
    <w:p w14:paraId="2BC46242" w14:textId="31215991" w:rsidR="00F95D5B" w:rsidRDefault="00F95D5B" w:rsidP="00D213D8">
      <w:pPr>
        <w:pStyle w:val="Heading1"/>
      </w:pPr>
      <w:r>
        <w:t xml:space="preserve">Назначение Мексиканского института промышленной собственности в качестве международного поискового органа и органа международной предварительной экспертизы </w:t>
      </w:r>
      <w:bookmarkEnd w:id="5"/>
    </w:p>
    <w:p w14:paraId="5AB82D66" w14:textId="07782975" w:rsidR="00D213D8" w:rsidRDefault="00F95D5B" w:rsidP="00CC0A54">
      <w:pPr>
        <w:pStyle w:val="ONUME"/>
      </w:pPr>
      <w:r>
        <w:t xml:space="preserve">Помимо заявлений о продлении назначения текущих международных органов </w:t>
      </w:r>
      <w:r w:rsidR="00C94A98">
        <w:t>для рассмотрения</w:t>
      </w:r>
      <w:r>
        <w:t xml:space="preserve"> Комитет</w:t>
      </w:r>
      <w:r w:rsidR="00C94A98">
        <w:t>ом</w:t>
      </w:r>
      <w:r>
        <w:t xml:space="preserve"> на текущей сессии также было </w:t>
      </w:r>
      <w:r w:rsidR="00C94A98">
        <w:t>направлено</w:t>
      </w:r>
      <w:r>
        <w:t xml:space="preserve"> заявление о назначении в качестве </w:t>
      </w:r>
      <w:r w:rsidR="00C94A98">
        <w:t>М</w:t>
      </w:r>
      <w:r>
        <w:t xml:space="preserve">еждународного поискового органа и </w:t>
      </w:r>
      <w:r w:rsidR="00C94A98">
        <w:t>О</w:t>
      </w:r>
      <w:r>
        <w:t>ргана международной предварительной экспертизы Мексиканского института промышленной собственности.  Это заявление представлено в документе PCT/CTC/33/27.</w:t>
      </w:r>
    </w:p>
    <w:p w14:paraId="070225AC" w14:textId="77777777" w:rsidR="00D213D8" w:rsidRDefault="00D213D8" w:rsidP="00701686">
      <w:pPr>
        <w:pStyle w:val="ONUME"/>
        <w:numPr>
          <w:ilvl w:val="0"/>
          <w:numId w:val="0"/>
        </w:numPr>
      </w:pPr>
    </w:p>
    <w:p w14:paraId="62C6DF25" w14:textId="61D6C2F5" w:rsidR="00701686" w:rsidRDefault="00701686" w:rsidP="00D213D8">
      <w:pPr>
        <w:pStyle w:val="Endofdocument-Annex"/>
        <w:sectPr w:rsidR="00701686" w:rsidSect="007D67F6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4A76FA8F" w14:textId="31A52E6C" w:rsidR="00701686" w:rsidRDefault="00701686" w:rsidP="00701686"/>
    <w:p w14:paraId="517716A4" w14:textId="77777777" w:rsidR="00701686" w:rsidRPr="00D9733B" w:rsidRDefault="00701686" w:rsidP="00701686">
      <w:pPr>
        <w:jc w:val="center"/>
        <w:rPr>
          <w:caps/>
        </w:rPr>
      </w:pPr>
      <w:r>
        <w:rPr>
          <w:caps/>
        </w:rPr>
        <w:t>соответствующие нормативные положения и решения, касающиеся процедуры</w:t>
      </w:r>
    </w:p>
    <w:p w14:paraId="60AC717C" w14:textId="77777777" w:rsidR="00701686" w:rsidRDefault="00701686" w:rsidP="00701686"/>
    <w:p w14:paraId="528A8F11" w14:textId="77777777" w:rsidR="00701686" w:rsidRDefault="00701686" w:rsidP="00701686">
      <w:pPr>
        <w:pStyle w:val="Heading1"/>
        <w:spacing w:after="180"/>
      </w:pPr>
      <w:r>
        <w:t>нормативные положения, касающиеся назначения</w:t>
      </w:r>
    </w:p>
    <w:p w14:paraId="289F6408" w14:textId="77777777" w:rsidR="00701686" w:rsidRDefault="00701686" w:rsidP="00701686">
      <w:pPr>
        <w:pStyle w:val="ONUME"/>
        <w:numPr>
          <w:ilvl w:val="0"/>
          <w:numId w:val="7"/>
        </w:numPr>
      </w:pPr>
      <w:r>
        <w:t xml:space="preserve">Процедура назначения ведомства Международным поисковым органом регулируется статьей 16(3) РСТ.  Статья 32(3) предусматривает, что те же положения применяются </w:t>
      </w:r>
      <w:r>
        <w:rPr>
          <w:i/>
        </w:rPr>
        <w:t>mutatis mutandis</w:t>
      </w:r>
      <w:r>
        <w:t xml:space="preserve"> к назначению органов международной предварительной экспертизы.</w:t>
      </w:r>
    </w:p>
    <w:p w14:paraId="05CD4D1E" w14:textId="77777777" w:rsidR="00701686" w:rsidRPr="00D9733B" w:rsidRDefault="00701686" w:rsidP="00701686">
      <w:pPr>
        <w:pStyle w:val="ONUME"/>
        <w:numPr>
          <w:ilvl w:val="0"/>
          <w:numId w:val="0"/>
        </w:numPr>
        <w:spacing w:before="360"/>
        <w:ind w:left="567"/>
        <w:jc w:val="center"/>
        <w:rPr>
          <w:b/>
        </w:rPr>
      </w:pPr>
      <w:r>
        <w:rPr>
          <w:b/>
        </w:rPr>
        <w:t>Статья 16</w:t>
      </w:r>
      <w:r>
        <w:rPr>
          <w:b/>
        </w:rPr>
        <w:br/>
        <w:t>Международный поисковый орган</w:t>
      </w:r>
    </w:p>
    <w:p w14:paraId="301432F1" w14:textId="77777777" w:rsidR="00701686" w:rsidRDefault="00701686" w:rsidP="00701686">
      <w:pPr>
        <w:pStyle w:val="ONUME"/>
        <w:numPr>
          <w:ilvl w:val="0"/>
          <w:numId w:val="0"/>
        </w:numPr>
        <w:ind w:left="567"/>
      </w:pPr>
      <w:r>
        <w:t>…</w:t>
      </w:r>
    </w:p>
    <w:p w14:paraId="11F3267D" w14:textId="77777777" w:rsidR="00701686" w:rsidRDefault="00701686" w:rsidP="00701686">
      <w:pPr>
        <w:pStyle w:val="ONUME"/>
        <w:numPr>
          <w:ilvl w:val="0"/>
          <w:numId w:val="0"/>
        </w:numPr>
        <w:ind w:left="567"/>
      </w:pPr>
      <w:r>
        <w:t>(3)(a)  Международные поисковые органы назначаются Ассамблеей.  Международным поисковым органом может быть назначено любое национальное ведомство или любая межправительственная организация, отвечающие требованиям, предусмотренным в подпункте (с).</w:t>
      </w:r>
    </w:p>
    <w:p w14:paraId="38184235" w14:textId="77777777" w:rsidR="00701686" w:rsidRDefault="00701686" w:rsidP="00701686">
      <w:pPr>
        <w:pStyle w:val="ONUME"/>
        <w:numPr>
          <w:ilvl w:val="0"/>
          <w:numId w:val="0"/>
        </w:numPr>
        <w:ind w:left="567"/>
      </w:pPr>
      <w:r>
        <w:tab/>
        <w:t>(b)  Назначение осуществляется с согласия национального ведомства или межправительственной организации, назначаемых в качестве такого Органа, и при условии заключения соглашения, подлежащего утверждению Ассамблеей, между таким ведомством или организацией и Международным бюро.  В Соглашении должны быть определены права и обязанности сторон в частности, формальное обязательство такого ведомства или организации применять и соблюдать все общие правила международного поиска.</w:t>
      </w:r>
    </w:p>
    <w:p w14:paraId="15B0B8F5" w14:textId="77777777" w:rsidR="00701686" w:rsidRDefault="00701686" w:rsidP="00701686">
      <w:pPr>
        <w:pStyle w:val="ONUME"/>
        <w:numPr>
          <w:ilvl w:val="0"/>
          <w:numId w:val="0"/>
        </w:numPr>
        <w:ind w:left="567"/>
      </w:pPr>
      <w:r>
        <w:tab/>
        <w:t>(c)  Инструкция предусматривает минимум требований, в частности, в отношении персонала и документации, которым должно отвечать любое ведомство или организация, прежде чем они могут быть назначены, и которым они должны отвечать в течение всего срока их назначения.</w:t>
      </w:r>
    </w:p>
    <w:p w14:paraId="37B45058" w14:textId="77777777" w:rsidR="00701686" w:rsidRDefault="00701686" w:rsidP="00701686">
      <w:pPr>
        <w:pStyle w:val="ONUME"/>
        <w:numPr>
          <w:ilvl w:val="0"/>
          <w:numId w:val="0"/>
        </w:numPr>
        <w:ind w:left="567"/>
      </w:pPr>
      <w:r>
        <w:tab/>
        <w:t>(d)  Назначение осуществляется на определенный срок, который может быть продлен.</w:t>
      </w:r>
    </w:p>
    <w:p w14:paraId="1B7B026F" w14:textId="77777777" w:rsidR="00701686" w:rsidRDefault="00701686" w:rsidP="00701686">
      <w:pPr>
        <w:pStyle w:val="ONUME"/>
        <w:numPr>
          <w:ilvl w:val="0"/>
          <w:numId w:val="0"/>
        </w:numPr>
        <w:ind w:left="567"/>
      </w:pPr>
      <w:r>
        <w:tab/>
        <w:t>(e)  Прежде чем принять решение о назначении какого-либо национального ведомства или межправительственной организации, а также о продлении или прекращении срока такого назначения, Ассамблея заслушивает заинтересованное ведомство или организацию и запрашивает мнение Комитета по техническому сотрудничеству, упомянутого в статье 56, после того, как этот Комитет будет создан.</w:t>
      </w:r>
    </w:p>
    <w:p w14:paraId="59191438" w14:textId="720A75BF" w:rsidR="00701686" w:rsidRDefault="00701686" w:rsidP="00701686">
      <w:pPr>
        <w:pStyle w:val="ONUME"/>
      </w:pPr>
      <w:r>
        <w:t>Минимальные требования, предъявляемые к назначению международного поискового органа, упомянутые в статье 16(3)(c), изложены в правиле 36.1 Инструкции к</w:t>
      </w:r>
      <w:r w:rsidR="008916BF">
        <w:t> </w:t>
      </w:r>
      <w:r>
        <w:t>РСТ (и в аналогичных формулировках в правиле 63.1 для органов международной предварительной экспертизы), которое действуют с 1 января 2026 года:</w:t>
      </w:r>
    </w:p>
    <w:p w14:paraId="32299584" w14:textId="77777777" w:rsidR="00701686" w:rsidRPr="00D9733B" w:rsidRDefault="00701686" w:rsidP="00701686">
      <w:pPr>
        <w:pStyle w:val="ONUME"/>
        <w:numPr>
          <w:ilvl w:val="0"/>
          <w:numId w:val="0"/>
        </w:numPr>
        <w:spacing w:before="360"/>
        <w:ind w:left="567"/>
        <w:jc w:val="center"/>
        <w:rPr>
          <w:b/>
        </w:rPr>
      </w:pPr>
      <w:r>
        <w:rPr>
          <w:b/>
        </w:rPr>
        <w:t xml:space="preserve">Правило 36 </w:t>
      </w:r>
      <w:r>
        <w:rPr>
          <w:b/>
        </w:rPr>
        <w:br/>
        <w:t>Минимум требований, предъявляемых к Международным поисковым органам</w:t>
      </w:r>
    </w:p>
    <w:p w14:paraId="0059B562" w14:textId="77777777" w:rsidR="00701686" w:rsidRPr="00D9733B" w:rsidRDefault="00701686" w:rsidP="00701686">
      <w:pPr>
        <w:pStyle w:val="ONUME"/>
        <w:numPr>
          <w:ilvl w:val="0"/>
          <w:numId w:val="0"/>
        </w:numPr>
        <w:ind w:left="567"/>
        <w:rPr>
          <w:i/>
        </w:rPr>
      </w:pPr>
      <w:r>
        <w:t xml:space="preserve">36.1   </w:t>
      </w:r>
      <w:r>
        <w:rPr>
          <w:i/>
        </w:rPr>
        <w:t>Определение минимума требований</w:t>
      </w:r>
    </w:p>
    <w:p w14:paraId="0C902E92" w14:textId="77777777" w:rsidR="00701686" w:rsidRDefault="00701686" w:rsidP="00701686">
      <w:pPr>
        <w:pStyle w:val="ONUME"/>
        <w:numPr>
          <w:ilvl w:val="0"/>
          <w:numId w:val="0"/>
        </w:numPr>
        <w:ind w:left="567"/>
      </w:pPr>
      <w:r>
        <w:t>Минимум требований, упомянутый в статье 16(3)(c), состоит в следующем:</w:t>
      </w:r>
    </w:p>
    <w:p w14:paraId="125752D6" w14:textId="6B2DD278" w:rsidR="00701686" w:rsidRDefault="00701686" w:rsidP="00701686">
      <w:pPr>
        <w:pStyle w:val="ONUME"/>
        <w:numPr>
          <w:ilvl w:val="0"/>
          <w:numId w:val="0"/>
        </w:numPr>
        <w:ind w:left="567"/>
      </w:pPr>
      <w:r>
        <w:tab/>
        <w:t>(i) национальное ведомство или межправительственная организация должна иметь, по крайней мере, 100 сотрудников, занятых полную рабочую неделю и обладающих достаточной технической квалификацией для проведения поиска в необходимых областях техники;</w:t>
      </w:r>
    </w:p>
    <w:p w14:paraId="3B119BA6" w14:textId="56F1BE97" w:rsidR="00701686" w:rsidRDefault="00701686" w:rsidP="00E11A7F">
      <w:pPr>
        <w:pStyle w:val="ONUME"/>
        <w:keepLines/>
        <w:numPr>
          <w:ilvl w:val="0"/>
          <w:numId w:val="0"/>
        </w:numPr>
        <w:ind w:left="567"/>
      </w:pPr>
      <w:r>
        <w:tab/>
        <w:t>(ii) это Ведомство или организация должны предоставлять для ознакомления в рамках минимума документации, упомянутого в правиле 34, любой патент и любую патентную заявку, выданные или опубликованные ими и, когда это применимо, их правопредшественником(-ами), в соответствии с требованиями, установленными Административной инструкцией;</w:t>
      </w:r>
    </w:p>
    <w:p w14:paraId="2D8CF793" w14:textId="56B71312" w:rsidR="00701686" w:rsidRDefault="00701686" w:rsidP="00701686">
      <w:pPr>
        <w:pStyle w:val="ONUME"/>
        <w:keepLines/>
        <w:numPr>
          <w:ilvl w:val="0"/>
          <w:numId w:val="0"/>
        </w:numPr>
        <w:ind w:left="567"/>
      </w:pPr>
      <w:r>
        <w:tab/>
        <w:t>(iii) это Ведомство или организация должна иметь в своем распоряжении или постоянно обеспечивать доступ, по крайней мере, к минимуму документации, упомянутому в правиле 34 для целей поиска в соответствии с Административной инструкцией;</w:t>
      </w:r>
    </w:p>
    <w:p w14:paraId="1402907B" w14:textId="59D18BEC" w:rsidR="00701686" w:rsidRDefault="00701686" w:rsidP="00701686">
      <w:pPr>
        <w:pStyle w:val="ONUME"/>
        <w:numPr>
          <w:ilvl w:val="0"/>
          <w:numId w:val="0"/>
        </w:numPr>
        <w:ind w:left="567"/>
      </w:pPr>
      <w:r>
        <w:tab/>
        <w:t>(iv) это Ведомство или организация должна иметь систему управления качеством и механизмы внутреннего контроля в соответствии с общими правилами международного поиска;</w:t>
      </w:r>
    </w:p>
    <w:p w14:paraId="416D7C80" w14:textId="77777777" w:rsidR="00701686" w:rsidRDefault="00701686" w:rsidP="00701686">
      <w:pPr>
        <w:pStyle w:val="ONUME"/>
        <w:numPr>
          <w:ilvl w:val="0"/>
          <w:numId w:val="0"/>
        </w:numPr>
        <w:ind w:left="567"/>
      </w:pPr>
      <w:r>
        <w:tab/>
        <w:t>(v) это Ведомство или организация должна быть назначена в качестве Органа международной предварительной экспертизы.</w:t>
      </w:r>
    </w:p>
    <w:p w14:paraId="3B82AF98" w14:textId="1EA03839" w:rsidR="00E11A7F" w:rsidRDefault="00AC394F" w:rsidP="00E11A7F">
      <w:pPr>
        <w:pStyle w:val="ONUME"/>
      </w:pPr>
      <w:hyperlink r:id="rId10" w:history="1">
        <w:r>
          <w:rPr>
            <w:rStyle w:val="Hyperlink"/>
          </w:rPr>
          <w:t>В приложении H</w:t>
        </w:r>
      </w:hyperlink>
      <w:r>
        <w:t xml:space="preserve"> </w:t>
      </w:r>
      <w:r w:rsidR="00A54AF5">
        <w:t xml:space="preserve">к </w:t>
      </w:r>
      <w:r>
        <w:t>Административной инструкции к PCT, действующей с 1 января 2026</w:t>
      </w:r>
      <w:r w:rsidR="006615CF">
        <w:t> </w:t>
      </w:r>
      <w:r>
        <w:t>года, изложены требования о включении патентных документов, документов, касающихся полезных моделей, и непатентной литературы в минимум документации, который указан в правиле 34.</w:t>
      </w:r>
    </w:p>
    <w:p w14:paraId="204E0EB9" w14:textId="4B91BEAE" w:rsidR="00701686" w:rsidRDefault="00701686" w:rsidP="00701686">
      <w:pPr>
        <w:pStyle w:val="Heading1"/>
        <w:spacing w:before="360" w:after="180"/>
      </w:pPr>
      <w:r>
        <w:t>нормативные положения, касающиеся задач Комитета по техническому сотрудничеству</w:t>
      </w:r>
    </w:p>
    <w:p w14:paraId="6D9788F9" w14:textId="191D03FA" w:rsidR="00701686" w:rsidRDefault="00701686" w:rsidP="00701686">
      <w:pPr>
        <w:pStyle w:val="ONUME"/>
      </w:pPr>
      <w:r>
        <w:t>Задачи Комитета по техническому сотрудничеству сформулированы в статье 56(3)</w:t>
      </w:r>
      <w:r w:rsidR="006B74A2">
        <w:t> </w:t>
      </w:r>
      <w:r>
        <w:t>РСТ:</w:t>
      </w:r>
    </w:p>
    <w:p w14:paraId="696EBA61" w14:textId="77777777" w:rsidR="00701686" w:rsidRPr="00D9733B" w:rsidRDefault="00701686" w:rsidP="00701686">
      <w:pPr>
        <w:pStyle w:val="ONUME"/>
        <w:numPr>
          <w:ilvl w:val="0"/>
          <w:numId w:val="0"/>
        </w:numPr>
        <w:spacing w:before="360"/>
        <w:ind w:left="567"/>
        <w:jc w:val="center"/>
        <w:rPr>
          <w:b/>
        </w:rPr>
      </w:pPr>
      <w:r>
        <w:rPr>
          <w:b/>
        </w:rPr>
        <w:t>Статья 56</w:t>
      </w:r>
      <w:r>
        <w:rPr>
          <w:b/>
        </w:rPr>
        <w:br/>
        <w:t>Комитет по техническому сотрудничеству</w:t>
      </w:r>
    </w:p>
    <w:p w14:paraId="57F11A3E" w14:textId="77777777" w:rsidR="00701686" w:rsidRDefault="00701686" w:rsidP="00701686">
      <w:pPr>
        <w:pStyle w:val="ONUME"/>
        <w:numPr>
          <w:ilvl w:val="0"/>
          <w:numId w:val="0"/>
        </w:numPr>
        <w:ind w:left="567"/>
      </w:pPr>
      <w:r>
        <w:t>…</w:t>
      </w:r>
    </w:p>
    <w:p w14:paraId="578891CA" w14:textId="77777777" w:rsidR="00701686" w:rsidRDefault="00701686" w:rsidP="00701686">
      <w:pPr>
        <w:pStyle w:val="ONUME"/>
        <w:numPr>
          <w:ilvl w:val="0"/>
          <w:numId w:val="0"/>
        </w:numPr>
        <w:ind w:left="567"/>
      </w:pPr>
      <w:r>
        <w:t>(3)  Задачей Комитета является содействие путем подготовки предложений и рекомендаций:</w:t>
      </w:r>
    </w:p>
    <w:p w14:paraId="2D4DE759" w14:textId="77777777" w:rsidR="00701686" w:rsidRDefault="00701686" w:rsidP="00701686">
      <w:pPr>
        <w:pStyle w:val="ONUME"/>
        <w:numPr>
          <w:ilvl w:val="0"/>
          <w:numId w:val="0"/>
        </w:numPr>
        <w:ind w:left="567"/>
      </w:pPr>
      <w:r>
        <w:tab/>
        <w:t>(i)</w:t>
      </w:r>
      <w:r>
        <w:tab/>
        <w:t>постоянному совершенствованию услуг, предусмотренных настоящим Договором,</w:t>
      </w:r>
    </w:p>
    <w:p w14:paraId="20B10991" w14:textId="77777777" w:rsidR="00701686" w:rsidRDefault="00701686" w:rsidP="00701686">
      <w:pPr>
        <w:pStyle w:val="ONUME"/>
        <w:numPr>
          <w:ilvl w:val="0"/>
          <w:numId w:val="0"/>
        </w:numPr>
        <w:ind w:left="567"/>
      </w:pPr>
      <w:r>
        <w:tab/>
        <w:t>(ii)</w:t>
      </w:r>
      <w:r>
        <w:tab/>
        <w:t>обеспечению максимального единообразия в документации, методах работы и максимальной степени одинаково высокого качества отчетов и заключений, пока существуют несколько международных поисковых органов и органов международной предварительной экспертизы; и</w:t>
      </w:r>
    </w:p>
    <w:p w14:paraId="42C8B70C" w14:textId="77777777" w:rsidR="00701686" w:rsidRDefault="00701686" w:rsidP="00701686">
      <w:pPr>
        <w:pStyle w:val="ONUME"/>
        <w:numPr>
          <w:ilvl w:val="0"/>
          <w:numId w:val="0"/>
        </w:numPr>
        <w:ind w:left="567"/>
      </w:pPr>
      <w:r>
        <w:tab/>
        <w:t>(iii)</w:t>
      </w:r>
      <w:r>
        <w:tab/>
        <w:t>решению по инициативе Ассамблеи или Исполнительной комитета технических проблем, в особенности связанных с созданием единого Международного поискового органа.</w:t>
      </w:r>
    </w:p>
    <w:p w14:paraId="29232A1E" w14:textId="77777777" w:rsidR="00701686" w:rsidRDefault="00701686" w:rsidP="00701686">
      <w:pPr>
        <w:pStyle w:val="ONUME"/>
        <w:numPr>
          <w:ilvl w:val="0"/>
          <w:numId w:val="0"/>
        </w:numPr>
        <w:ind w:left="567"/>
      </w:pPr>
      <w:r>
        <w:t>…</w:t>
      </w:r>
    </w:p>
    <w:p w14:paraId="451383CF" w14:textId="77777777" w:rsidR="00701686" w:rsidRDefault="00701686" w:rsidP="00701686">
      <w:pPr>
        <w:pStyle w:val="Heading1"/>
        <w:spacing w:before="360" w:after="180"/>
      </w:pPr>
      <w:r>
        <w:t>понимание о порядке назначения</w:t>
      </w:r>
    </w:p>
    <w:p w14:paraId="18B47DE9" w14:textId="1F8FD2FE" w:rsidR="00701686" w:rsidRDefault="00701686" w:rsidP="00701686">
      <w:pPr>
        <w:pStyle w:val="ONUME"/>
        <w:keepLines/>
      </w:pPr>
      <w:bookmarkStart w:id="7" w:name="_Ref216969601"/>
      <w:r>
        <w:t xml:space="preserve">Ассамблея РСТ на своей сорок шестой (двадцать седьмой внеочередной) сессии в 2014 году приняла текст понимания о порядке назначения международных органов (приводится ниже).  </w:t>
      </w:r>
      <w:r w:rsidR="00A54AF5">
        <w:t xml:space="preserve">На своей пятидесятой (двадцать девятой внеочередной) сессии в 2018 году </w:t>
      </w:r>
      <w:r>
        <w:t xml:space="preserve">Ассамблея внесла в текст понимания </w:t>
      </w:r>
      <w:r w:rsidR="00A54AF5">
        <w:t>изменения.</w:t>
      </w:r>
      <w:r>
        <w:t xml:space="preserve"> Текст понимания в измененно</w:t>
      </w:r>
      <w:r w:rsidR="00A54AF5">
        <w:t>м</w:t>
      </w:r>
      <w:r>
        <w:t xml:space="preserve"> виде, который применяется к заявлениям о назначении в качестве международного органа после закрытия пятидесятой сессии Ассамблеи ВОИС, сформулирован следующим образом.</w:t>
      </w:r>
      <w:bookmarkEnd w:id="7"/>
      <w:r>
        <w:t xml:space="preserve">   </w:t>
      </w:r>
    </w:p>
    <w:p w14:paraId="65A1EF9C" w14:textId="285D1FC1" w:rsidR="006A7609" w:rsidRDefault="002C0337" w:rsidP="007555ED">
      <w:pPr>
        <w:pStyle w:val="ONUME"/>
        <w:keepNext/>
        <w:keepLines/>
        <w:numPr>
          <w:ilvl w:val="0"/>
          <w:numId w:val="0"/>
        </w:numPr>
        <w:ind w:left="567"/>
      </w:pPr>
      <w:r>
        <w:t>«</w:t>
      </w:r>
      <w:r>
        <w:rPr>
          <w:u w:val="single"/>
        </w:rPr>
        <w:t>Процедура назначения международных органов</w:t>
      </w:r>
    </w:p>
    <w:p w14:paraId="10722EA2" w14:textId="448EE179" w:rsidR="006A7609" w:rsidRDefault="002C0337" w:rsidP="007555ED">
      <w:pPr>
        <w:pStyle w:val="ONUME"/>
        <w:keepNext/>
        <w:keepLines/>
        <w:numPr>
          <w:ilvl w:val="0"/>
          <w:numId w:val="0"/>
        </w:numPr>
        <w:ind w:left="567"/>
      </w:pPr>
      <w:r>
        <w:t>(a)</w:t>
      </w:r>
      <w:r>
        <w:tab/>
        <w:t>Национальному ведомству или межправительственной организации («ведомство»), добивающимся назначения, настоятельно рекомендуется заручиться помощью одного или более существующих Международных органов для оказания содействия в оценке того, в какой степени оно соответствует критериям, до подачи заявки.</w:t>
      </w:r>
    </w:p>
    <w:p w14:paraId="0773B31A" w14:textId="44E5F433" w:rsidR="006A7609" w:rsidRDefault="002C0337" w:rsidP="006A7609">
      <w:pPr>
        <w:pStyle w:val="ONUME"/>
        <w:numPr>
          <w:ilvl w:val="0"/>
          <w:numId w:val="0"/>
        </w:numPr>
        <w:ind w:left="567"/>
      </w:pPr>
      <w:r>
        <w:t>(b)</w:t>
      </w:r>
      <w:r>
        <w:tab/>
        <w:t>Любая заявка относительно назначения ведомства в качестве Международного органа должна подаваться заблаговременно до ее рассмотрения Ассамблеей PCT, чтобы дать время для надлежащего обзора Комитетом по техническому сотрудничеству (</w:t>
      </w:r>
      <w:r w:rsidR="00A54AF5">
        <w:t xml:space="preserve">КТС </w:t>
      </w:r>
      <w:r>
        <w:t xml:space="preserve">PCT).  </w:t>
      </w:r>
      <w:r w:rsidR="00A54AF5">
        <w:t xml:space="preserve">КТС </w:t>
      </w:r>
      <w:r>
        <w:t>PCT следует проводить заседания в качестве подлинно экспертного органа по меньшей мере за три месяца до Ассамблеи PCT, по возможности непосредственно до или сразу после сессии Рабочей группы по PCT (обычно проходит в мае-июне соответствующего года), с тем чтобы представить свое экспертное заключение о заявке Ассамблее РСТ.</w:t>
      </w:r>
    </w:p>
    <w:p w14:paraId="7CAAB366" w14:textId="772B546E" w:rsidR="006A7609" w:rsidRDefault="002C0337" w:rsidP="006A7609">
      <w:pPr>
        <w:pStyle w:val="ONUME"/>
        <w:numPr>
          <w:ilvl w:val="0"/>
          <w:numId w:val="0"/>
        </w:numPr>
        <w:ind w:left="567"/>
      </w:pPr>
      <w:r>
        <w:t>(c)</w:t>
      </w:r>
      <w:r>
        <w:tab/>
        <w:t xml:space="preserve">Следовательно, письменная просьба к Генеральному директору относительно созыва </w:t>
      </w:r>
      <w:r w:rsidR="00A54AF5">
        <w:t xml:space="preserve">КТС </w:t>
      </w:r>
      <w:r>
        <w:t>PCT должна направляться ведомством предпочтительно к 1 марта того года, в котором заявка должна рассматриваться Ассамблеей PCT, и в любом случае заблаговременно, чтобы позволить Генеральному директору разослать письма о созыве PCT/CTC не менее чем за два месяца до открытия сессии.</w:t>
      </w:r>
    </w:p>
    <w:p w14:paraId="3BB150C8" w14:textId="301EBD49" w:rsidR="006A7609" w:rsidRDefault="002C0337" w:rsidP="006A7609">
      <w:pPr>
        <w:pStyle w:val="ONUME"/>
        <w:numPr>
          <w:ilvl w:val="0"/>
          <w:numId w:val="0"/>
        </w:numPr>
        <w:ind w:left="567"/>
      </w:pPr>
      <w:r>
        <w:t>(d)</w:t>
      </w:r>
      <w:r>
        <w:tab/>
        <w:t>Любая такая заявка должна подаваться исходя из того понимания, что ведомство, стремящееся получить назначение, должно соответствовать всем основным критериям для назначения в момент назначения Ассамблеей и готово приступить к работе в качестве Международного органа в кратчайшие разумно возможные сроки после назначения, самое позднее примерно через 18 месяцев после такого назначения.  Что касается требования о том, чтобы ведомство, добивающееся назначения, имело систему контроля качества и механизмы внутреннего контроля в соответствии с общими правилами международного поиска, то, если такой системы еще не существует во время назначения Ассамблеей, достаточно, чтобы такая система была полностью запланирована и, предпочтительно, чтобы аналогичные системы уже действовали в отношении национальной работы по поиску и экспертизе, дабы продемонстрировать наличие соответствующего опыта.</w:t>
      </w:r>
    </w:p>
    <w:p w14:paraId="1C74E4E5" w14:textId="736CCFDF" w:rsidR="006A7609" w:rsidRDefault="002C0337" w:rsidP="006A7609">
      <w:pPr>
        <w:pStyle w:val="ONUME"/>
        <w:numPr>
          <w:ilvl w:val="0"/>
          <w:numId w:val="0"/>
        </w:numPr>
        <w:ind w:left="567"/>
      </w:pPr>
      <w:r>
        <w:t>(e)</w:t>
      </w:r>
      <w:r>
        <w:tab/>
        <w:t>Полное заявление о назначении, подлежащее рассмотрению КТС PCT, должно быть представлено Генеральному директору не позднее чем за два месяца до начала сессии КТС PCT с использованием стандартного бланка, предоставленного для этой цели Международным бюро.  Заявление должно содержать всю информацию, обозначенную в качестве обязательной в примечаниях к бланку.  Если вопросы в каких-либо пунктах не применимы в случае конкретного ведомства, оно должно, насколько это возможно, заменить эти вопросы альтернативными вопросами, служащими аналогичной цели.</w:t>
      </w:r>
    </w:p>
    <w:p w14:paraId="4B7DEFAB" w14:textId="054983FC" w:rsidR="006A7609" w:rsidRDefault="002C0337" w:rsidP="006A7609">
      <w:pPr>
        <w:pStyle w:val="ONUME"/>
        <w:numPr>
          <w:ilvl w:val="0"/>
          <w:numId w:val="0"/>
        </w:numPr>
        <w:ind w:left="567"/>
      </w:pPr>
      <w:r>
        <w:t>(f)</w:t>
      </w:r>
      <w:r>
        <w:tab/>
        <w:t>Любая такая заявка затем должна быть представлена Ассамблее PCT (обычно созываемой примерно в сентябре-октябре каждого года), вместе с рекомендацией, вынесенной</w:t>
      </w:r>
      <w:r w:rsidR="00A54AF5">
        <w:t xml:space="preserve"> КТС</w:t>
      </w:r>
      <w:r>
        <w:t xml:space="preserve"> PCT, с целью принятия решения по заявке».</w:t>
      </w:r>
    </w:p>
    <w:p w14:paraId="39606217" w14:textId="2C4635AA" w:rsidR="006A7609" w:rsidRDefault="006A7609" w:rsidP="006A7609">
      <w:pPr>
        <w:pStyle w:val="ONUME"/>
      </w:pPr>
      <w:r>
        <w:t>Стандартный бланк заявления о назначении, о котором говорится в пункте (e) текста понимания, приводится в приложении к документу PCT/A/50/3.  В этот бланк были внесены изменения для того, чтобы был учтен минимум требований, изложенных в правилах 36 и 63, которые начнут действовать с 1 января 2026 года.</w:t>
      </w:r>
    </w:p>
    <w:p w14:paraId="44E378E6" w14:textId="477AF31B" w:rsidR="006A7609" w:rsidRDefault="006A7609" w:rsidP="00C02B51">
      <w:pPr>
        <w:pStyle w:val="ONUME"/>
        <w:keepNext/>
        <w:keepLines/>
      </w:pPr>
      <w:r>
        <w:t>С 2022 года сессии Ассамблеи PCT проходили ежегодно в июле, а с 2023 года Рабочая группа РСТ собиралась ежегодно в феврале.  В свете такого графика заседаний Генеральный директор должен был направить письма с приглашением на сессию Комитета РСТ по техническому сотрудничеству, которая состоится в то же время, что и сессия Рабочей группы РСТ не позднее чем за два месяца до открытия сессии, поэтому в циркулярном письме C. PCT 1691 содержалось предложение о направлении письменных запросов до 1 декабря 2025 года, а не в сроки, о которых говорится в пункте (c) текста понимания.</w:t>
      </w:r>
    </w:p>
    <w:p w14:paraId="6FA1FC6A" w14:textId="77777777" w:rsidR="005417A6" w:rsidRDefault="005417A6" w:rsidP="00C02B51"/>
    <w:p w14:paraId="7716C08A" w14:textId="6EACA0CE" w:rsidR="002C0337" w:rsidRDefault="002C0337" w:rsidP="002C0337">
      <w:pPr>
        <w:pStyle w:val="Endofdocument-Annex"/>
      </w:pPr>
      <w:r>
        <w:t>[Конец приложения и документа]</w:t>
      </w:r>
    </w:p>
    <w:p w14:paraId="49635B70" w14:textId="21F5839D" w:rsidR="00701686" w:rsidRDefault="00701686" w:rsidP="00701686">
      <w:pPr>
        <w:pStyle w:val="ONUME"/>
        <w:numPr>
          <w:ilvl w:val="0"/>
          <w:numId w:val="0"/>
        </w:numPr>
      </w:pPr>
    </w:p>
    <w:sectPr w:rsidR="00701686" w:rsidSect="00701686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A4E9" w14:textId="77777777" w:rsidR="000B3794" w:rsidRDefault="000B3794">
      <w:r>
        <w:separator/>
      </w:r>
    </w:p>
  </w:endnote>
  <w:endnote w:type="continuationSeparator" w:id="0">
    <w:p w14:paraId="6CE9069B" w14:textId="77777777" w:rsidR="000B3794" w:rsidRDefault="000B3794" w:rsidP="003B38C1">
      <w:r>
        <w:separator/>
      </w:r>
    </w:p>
    <w:p w14:paraId="42AF56E7" w14:textId="77777777" w:rsidR="000B3794" w:rsidRPr="00EA162A" w:rsidRDefault="000B3794" w:rsidP="003B38C1">
      <w:pPr>
        <w:spacing w:after="60"/>
        <w:rPr>
          <w:sz w:val="17"/>
          <w:lang w:val="en-US"/>
        </w:rPr>
      </w:pPr>
      <w:r w:rsidRPr="00EA162A">
        <w:rPr>
          <w:sz w:val="17"/>
          <w:lang w:val="en-US"/>
        </w:rPr>
        <w:t>[Endnote continued from previous page]</w:t>
      </w:r>
    </w:p>
  </w:endnote>
  <w:endnote w:type="continuationNotice" w:id="1">
    <w:p w14:paraId="7FD01E6B" w14:textId="77777777" w:rsidR="000B3794" w:rsidRPr="00EA162A" w:rsidRDefault="000B3794" w:rsidP="003B38C1">
      <w:pPr>
        <w:spacing w:before="60"/>
        <w:jc w:val="right"/>
        <w:rPr>
          <w:sz w:val="17"/>
          <w:szCs w:val="17"/>
          <w:lang w:val="en-US"/>
        </w:rPr>
      </w:pPr>
      <w:r w:rsidRPr="00EA162A">
        <w:rPr>
          <w:sz w:val="17"/>
          <w:szCs w:val="17"/>
          <w:lang w:val="en-US"/>
        </w:rPr>
        <w:t xml:space="preserve">[Endnote </w:t>
      </w:r>
      <w:proofErr w:type="gramStart"/>
      <w:r w:rsidRPr="00EA162A">
        <w:rPr>
          <w:sz w:val="17"/>
          <w:szCs w:val="17"/>
          <w:lang w:val="en-US"/>
        </w:rPr>
        <w:t>continued on</w:t>
      </w:r>
      <w:proofErr w:type="gramEnd"/>
      <w:r w:rsidRPr="00EA162A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2922" w14:textId="77777777" w:rsidR="000B3794" w:rsidRDefault="000B3794">
      <w:r>
        <w:separator/>
      </w:r>
    </w:p>
  </w:footnote>
  <w:footnote w:type="continuationSeparator" w:id="0">
    <w:p w14:paraId="195B1D1B" w14:textId="77777777" w:rsidR="000B3794" w:rsidRDefault="000B3794" w:rsidP="008B60B2">
      <w:r>
        <w:separator/>
      </w:r>
    </w:p>
    <w:p w14:paraId="5778431D" w14:textId="77777777" w:rsidR="000B3794" w:rsidRPr="00EA162A" w:rsidRDefault="000B3794" w:rsidP="008B60B2">
      <w:pPr>
        <w:spacing w:after="60"/>
        <w:rPr>
          <w:sz w:val="17"/>
          <w:szCs w:val="17"/>
          <w:lang w:val="en-US"/>
        </w:rPr>
      </w:pPr>
      <w:r w:rsidRPr="00EA162A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31FA8BB" w14:textId="77777777" w:rsidR="000B3794" w:rsidRPr="00EA162A" w:rsidRDefault="000B3794" w:rsidP="008B60B2">
      <w:pPr>
        <w:spacing w:before="60"/>
        <w:jc w:val="right"/>
        <w:rPr>
          <w:sz w:val="17"/>
          <w:szCs w:val="17"/>
          <w:lang w:val="en-US"/>
        </w:rPr>
      </w:pPr>
      <w:r w:rsidRPr="00EA162A">
        <w:rPr>
          <w:sz w:val="17"/>
          <w:szCs w:val="17"/>
          <w:lang w:val="en-US"/>
        </w:rPr>
        <w:t xml:space="preserve">[Footnote </w:t>
      </w:r>
      <w:proofErr w:type="gramStart"/>
      <w:r w:rsidRPr="00EA162A">
        <w:rPr>
          <w:sz w:val="17"/>
          <w:szCs w:val="17"/>
          <w:lang w:val="en-US"/>
        </w:rPr>
        <w:t>continued on</w:t>
      </w:r>
      <w:proofErr w:type="gramEnd"/>
      <w:r w:rsidRPr="00EA162A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1CAF" w14:textId="661B9B1D" w:rsidR="00D07C78" w:rsidRPr="002326AB" w:rsidRDefault="007D67F6" w:rsidP="00477D6B">
    <w:pPr>
      <w:jc w:val="right"/>
      <w:rPr>
        <w:caps/>
      </w:rPr>
    </w:pPr>
    <w:bookmarkStart w:id="6" w:name="Code2"/>
    <w:bookmarkEnd w:id="6"/>
    <w:r>
      <w:rPr>
        <w:caps/>
      </w:rPr>
      <w:t>PCT/CTC/33/INF/1</w:t>
    </w:r>
  </w:p>
  <w:p w14:paraId="78F1CD08" w14:textId="1FC7DE56" w:rsidR="00D07C78" w:rsidRDefault="00D07C78" w:rsidP="00EF1373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t>2</w:t>
    </w:r>
    <w:r>
      <w:fldChar w:fldCharType="end"/>
    </w:r>
  </w:p>
  <w:p w14:paraId="6F53B1A7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E437" w14:textId="77777777" w:rsidR="00701686" w:rsidRPr="00701686" w:rsidRDefault="00701686" w:rsidP="00477D6B">
    <w:pPr>
      <w:jc w:val="right"/>
      <w:rPr>
        <w:caps/>
      </w:rPr>
    </w:pPr>
    <w:r>
      <w:rPr>
        <w:caps/>
      </w:rPr>
      <w:t>PCT/CTC/33/INF/1</w:t>
    </w:r>
  </w:p>
  <w:p w14:paraId="4DF2C2AF" w14:textId="041C3727" w:rsidR="00701686" w:rsidRPr="00701686" w:rsidRDefault="00701686" w:rsidP="00477D6B">
    <w:pPr>
      <w:jc w:val="right"/>
    </w:pPr>
    <w:r>
      <w:t>Приложение, стр. </w:t>
    </w:r>
    <w:r>
      <w:fldChar w:fldCharType="begin"/>
    </w:r>
    <w:r w:rsidRPr="00701686">
      <w:instrText xml:space="preserve"> PAGE  \* MERGEFORMAT </w:instrText>
    </w:r>
    <w:r>
      <w:fldChar w:fldCharType="separate"/>
    </w:r>
    <w:r w:rsidRPr="00701686">
      <w:t>2</w:t>
    </w:r>
    <w:r>
      <w:fldChar w:fldCharType="end"/>
    </w:r>
  </w:p>
  <w:p w14:paraId="75239B75" w14:textId="77777777" w:rsidR="00701686" w:rsidRPr="00701686" w:rsidRDefault="00701686" w:rsidP="00477D6B">
    <w:pPr>
      <w:jc w:val="right"/>
      <w:rPr>
        <w:lang w:val="fr-CH"/>
      </w:rPr>
    </w:pPr>
  </w:p>
  <w:p w14:paraId="720FCDF6" w14:textId="77777777" w:rsidR="00701686" w:rsidRPr="00701686" w:rsidRDefault="00701686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8522" w14:textId="34403AED" w:rsidR="00701686" w:rsidRDefault="00701686" w:rsidP="00701686">
    <w:pPr>
      <w:pStyle w:val="Header"/>
      <w:jc w:val="right"/>
    </w:pPr>
    <w:r>
      <w:t>PCT/CTC/33/INF/1</w:t>
    </w:r>
    <w:r>
      <w:br/>
      <w:t>ПРИЛОЖЕНИЕ</w:t>
    </w:r>
  </w:p>
  <w:p w14:paraId="61939310" w14:textId="77777777" w:rsidR="00701686" w:rsidRDefault="007016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833139">
    <w:abstractNumId w:val="2"/>
  </w:num>
  <w:num w:numId="2" w16cid:durableId="1130896600">
    <w:abstractNumId w:val="4"/>
  </w:num>
  <w:num w:numId="3" w16cid:durableId="1310986793">
    <w:abstractNumId w:val="0"/>
  </w:num>
  <w:num w:numId="4" w16cid:durableId="1556547374">
    <w:abstractNumId w:val="5"/>
  </w:num>
  <w:num w:numId="5" w16cid:durableId="1511680175">
    <w:abstractNumId w:val="1"/>
  </w:num>
  <w:num w:numId="6" w16cid:durableId="1008404777">
    <w:abstractNumId w:val="3"/>
  </w:num>
  <w:num w:numId="7" w16cid:durableId="473832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F6"/>
    <w:rsid w:val="00043CAA"/>
    <w:rsid w:val="00044AAD"/>
    <w:rsid w:val="00056816"/>
    <w:rsid w:val="00075432"/>
    <w:rsid w:val="0007561D"/>
    <w:rsid w:val="000968ED"/>
    <w:rsid w:val="000A3D97"/>
    <w:rsid w:val="000B3794"/>
    <w:rsid w:val="000D46FE"/>
    <w:rsid w:val="000E4A70"/>
    <w:rsid w:val="000F5E56"/>
    <w:rsid w:val="001362EE"/>
    <w:rsid w:val="001647D5"/>
    <w:rsid w:val="001832A6"/>
    <w:rsid w:val="001C2278"/>
    <w:rsid w:val="001D4107"/>
    <w:rsid w:val="00203D24"/>
    <w:rsid w:val="0021217E"/>
    <w:rsid w:val="002131B3"/>
    <w:rsid w:val="002326AB"/>
    <w:rsid w:val="00243430"/>
    <w:rsid w:val="002634C4"/>
    <w:rsid w:val="002664DA"/>
    <w:rsid w:val="002928D3"/>
    <w:rsid w:val="002C0337"/>
    <w:rsid w:val="002F1FE6"/>
    <w:rsid w:val="002F4E68"/>
    <w:rsid w:val="00312F7F"/>
    <w:rsid w:val="00323701"/>
    <w:rsid w:val="00350764"/>
    <w:rsid w:val="00361450"/>
    <w:rsid w:val="003673CF"/>
    <w:rsid w:val="003757E5"/>
    <w:rsid w:val="003845C1"/>
    <w:rsid w:val="003A6F89"/>
    <w:rsid w:val="003B38C1"/>
    <w:rsid w:val="003C34E9"/>
    <w:rsid w:val="003F79F7"/>
    <w:rsid w:val="00423E3E"/>
    <w:rsid w:val="00427AF4"/>
    <w:rsid w:val="004647DA"/>
    <w:rsid w:val="00474062"/>
    <w:rsid w:val="00477D6B"/>
    <w:rsid w:val="004B446A"/>
    <w:rsid w:val="004C5290"/>
    <w:rsid w:val="005019FF"/>
    <w:rsid w:val="0052652C"/>
    <w:rsid w:val="0053057A"/>
    <w:rsid w:val="005417A6"/>
    <w:rsid w:val="00556076"/>
    <w:rsid w:val="00560A29"/>
    <w:rsid w:val="00594CA6"/>
    <w:rsid w:val="005C6649"/>
    <w:rsid w:val="00605827"/>
    <w:rsid w:val="00646050"/>
    <w:rsid w:val="006615CF"/>
    <w:rsid w:val="006713CA"/>
    <w:rsid w:val="00676C5C"/>
    <w:rsid w:val="006A7609"/>
    <w:rsid w:val="006B0ACF"/>
    <w:rsid w:val="006B74A2"/>
    <w:rsid w:val="00701686"/>
    <w:rsid w:val="00706C0B"/>
    <w:rsid w:val="00720EFD"/>
    <w:rsid w:val="007555ED"/>
    <w:rsid w:val="00761CD8"/>
    <w:rsid w:val="007854AF"/>
    <w:rsid w:val="00793A7C"/>
    <w:rsid w:val="007A398A"/>
    <w:rsid w:val="007D1613"/>
    <w:rsid w:val="007D67F6"/>
    <w:rsid w:val="007E4C0E"/>
    <w:rsid w:val="008815F8"/>
    <w:rsid w:val="008916BF"/>
    <w:rsid w:val="008A024E"/>
    <w:rsid w:val="008A134B"/>
    <w:rsid w:val="008B2CC1"/>
    <w:rsid w:val="008B60B2"/>
    <w:rsid w:val="0090731E"/>
    <w:rsid w:val="00916EE2"/>
    <w:rsid w:val="00966A22"/>
    <w:rsid w:val="0096722F"/>
    <w:rsid w:val="0097685C"/>
    <w:rsid w:val="00980843"/>
    <w:rsid w:val="009E1A21"/>
    <w:rsid w:val="009E2791"/>
    <w:rsid w:val="009E3F6F"/>
    <w:rsid w:val="009F499F"/>
    <w:rsid w:val="00A37342"/>
    <w:rsid w:val="00A42DAF"/>
    <w:rsid w:val="00A45BD8"/>
    <w:rsid w:val="00A54AF5"/>
    <w:rsid w:val="00A80D34"/>
    <w:rsid w:val="00A869B7"/>
    <w:rsid w:val="00A907F6"/>
    <w:rsid w:val="00A90F0A"/>
    <w:rsid w:val="00AB3CAB"/>
    <w:rsid w:val="00AC205C"/>
    <w:rsid w:val="00AC394F"/>
    <w:rsid w:val="00AF0A6B"/>
    <w:rsid w:val="00B05A69"/>
    <w:rsid w:val="00B32A0B"/>
    <w:rsid w:val="00B367F1"/>
    <w:rsid w:val="00B40779"/>
    <w:rsid w:val="00B75281"/>
    <w:rsid w:val="00B92B2C"/>
    <w:rsid w:val="00B92F1F"/>
    <w:rsid w:val="00B9734B"/>
    <w:rsid w:val="00BA30E2"/>
    <w:rsid w:val="00BC039A"/>
    <w:rsid w:val="00C00276"/>
    <w:rsid w:val="00C02B51"/>
    <w:rsid w:val="00C11BFE"/>
    <w:rsid w:val="00C2371B"/>
    <w:rsid w:val="00C457F1"/>
    <w:rsid w:val="00C5068F"/>
    <w:rsid w:val="00C80BDE"/>
    <w:rsid w:val="00C86D74"/>
    <w:rsid w:val="00C94A98"/>
    <w:rsid w:val="00CC0A54"/>
    <w:rsid w:val="00CD04F1"/>
    <w:rsid w:val="00CF681A"/>
    <w:rsid w:val="00D07C78"/>
    <w:rsid w:val="00D213D8"/>
    <w:rsid w:val="00D45252"/>
    <w:rsid w:val="00D6061C"/>
    <w:rsid w:val="00D71B4D"/>
    <w:rsid w:val="00D76014"/>
    <w:rsid w:val="00D93D55"/>
    <w:rsid w:val="00DD7B7F"/>
    <w:rsid w:val="00E11A7F"/>
    <w:rsid w:val="00E15015"/>
    <w:rsid w:val="00E335FE"/>
    <w:rsid w:val="00EA162A"/>
    <w:rsid w:val="00EA7D6E"/>
    <w:rsid w:val="00EB2F76"/>
    <w:rsid w:val="00EC4E49"/>
    <w:rsid w:val="00ED77FB"/>
    <w:rsid w:val="00EE45FA"/>
    <w:rsid w:val="00EE635B"/>
    <w:rsid w:val="00EF1373"/>
    <w:rsid w:val="00F043DE"/>
    <w:rsid w:val="00F54A00"/>
    <w:rsid w:val="00F600F2"/>
    <w:rsid w:val="00F66152"/>
    <w:rsid w:val="00F850C7"/>
    <w:rsid w:val="00F9165B"/>
    <w:rsid w:val="00F95D5B"/>
    <w:rsid w:val="00FB1E83"/>
    <w:rsid w:val="00FC482F"/>
    <w:rsid w:val="00FE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B6901D"/>
  <w15:docId w15:val="{70C767BD-2C23-49E1-BF8F-012E270F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B40779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nhideWhenUsed/>
    <w:rsid w:val="00B407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documents/d/pct-system/docs-ru-texts-ai-26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3A0F-668A-4526-AD0D-85F37F83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2112</Words>
  <Characters>14671</Characters>
  <Application>Microsoft Office Word</Application>
  <DocSecurity>0</DocSecurity>
  <Lines>122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PCT/CTC/33/INF/1</vt:lpstr>
    </vt:vector>
  </TitlesOfParts>
  <Company>WIPO</Company>
  <LinksUpToDate>false</LinksUpToDate>
  <CharactersWithSpaces>16750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PCT/CTC/33/INF/1</dc:title>
  <dc:subject>Process and Requirments of Appointment and Extension of Appointment</dc:subject>
  <dc:creator/>
  <cp:keywords/>
  <cp:lastModifiedBy>MARLOW Thomas</cp:lastModifiedBy>
  <cp:revision>3</cp:revision>
  <cp:lastPrinted>2026-01-06T17:29:00Z</cp:lastPrinted>
  <dcterms:created xsi:type="dcterms:W3CDTF">2026-01-06T17:29:00Z</dcterms:created>
  <dcterms:modified xsi:type="dcterms:W3CDTF">2026-01-06T17:30:00Z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2025-12-18T20:36:31Z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ca17c44d-eed9-4f89-b3e6-33b7e29b2842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