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34646E37" w:rsidR="008B2CC1" w:rsidRPr="00F043DE" w:rsidRDefault="00892C75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0BE500DC" wp14:editId="68424229">
            <wp:extent cx="3246120" cy="1493520"/>
            <wp:effectExtent l="0" t="0" r="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054D682D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9</w:t>
      </w:r>
    </w:p>
    <w:p w14:paraId="4157C28F" w14:textId="237A7618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2C11397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 февраля 2026 года</w:t>
      </w:r>
    </w:p>
    <w:p w14:paraId="51B065A7" w14:textId="62FA93E7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ЕГИПЕТСКОГО ПАТЕНТНОГО ВЕДОМСТВА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70DFF9D3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Информация о данной процедуре и роли Комитета приводится в документе PCT/CTC/33/INF/1.</w:t>
      </w:r>
    </w:p>
    <w:p w14:paraId="518176C0" w14:textId="511D3FBF" w:rsidR="009A31F1" w:rsidRDefault="009A31F1" w:rsidP="002326AB">
      <w:pPr>
        <w:spacing w:after="220"/>
      </w:pPr>
      <w:r>
        <w:t>2.</w:t>
      </w:r>
      <w:r>
        <w:tab/>
        <w:t>25 ноября 2025 года Египетское патентное ведомство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Default="009A31F1" w:rsidP="009A31F1">
      <w:pPr>
        <w:pStyle w:val="SectionHeading"/>
      </w:pPr>
      <w:r>
        <w:t>1 – ОБЩИЕ СВЕДЕНИЯ</w:t>
      </w:r>
    </w:p>
    <w:p w14:paraId="325C9409" w14:textId="77777777" w:rsidR="00FA5C1E" w:rsidRDefault="00FA5C1E" w:rsidP="00FA5C1E">
      <w:pPr>
        <w:pStyle w:val="Question"/>
        <w:spacing w:after="120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24A7F550" w14:textId="77777777" w:rsidR="00FA5C1E" w:rsidRPr="001E6410" w:rsidRDefault="00FA5C1E" w:rsidP="00B149D3">
      <w:pPr>
        <w:pStyle w:val="Answer"/>
        <w:ind w:left="0"/>
      </w:pPr>
      <w:r>
        <w:t xml:space="preserve">Египетское патентное ведомство, Египетское управление интеллектуальной собственности </w:t>
      </w:r>
    </w:p>
    <w:p w14:paraId="5A7AC1F2" w14:textId="77777777" w:rsidR="00FA5C1E" w:rsidRDefault="00FA5C1E" w:rsidP="00FA5C1E">
      <w:pPr>
        <w:pStyle w:val="Question"/>
        <w:spacing w:after="12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326F507C" w14:textId="77777777" w:rsidR="00FA5C1E" w:rsidRPr="001E6410" w:rsidRDefault="00FA5C1E" w:rsidP="00B149D3">
      <w:pPr>
        <w:pStyle w:val="Answer"/>
        <w:ind w:left="0"/>
      </w:pPr>
      <w:r>
        <w:t>Д-р Мона Яхия, заместитель руководителя Египетского управления интеллектуальной собственности (</w:t>
      </w:r>
      <w:r>
        <w:rPr>
          <w:rStyle w:val="Hyperlink"/>
          <w:bCs/>
        </w:rPr>
        <w:t>monayahia@hotmail.com</w:t>
      </w:r>
      <w:r>
        <w:t>)</w:t>
      </w:r>
    </w:p>
    <w:p w14:paraId="736F6A47" w14:textId="77777777" w:rsidR="00FA5C1E" w:rsidRDefault="00FA5C1E" w:rsidP="00FA5C1E">
      <w:pPr>
        <w:pStyle w:val="Question"/>
      </w:pPr>
      <w:r>
        <w:t>(c)</w:t>
      </w:r>
      <w:r>
        <w:tab/>
        <w:t>Дата получения Генеральным директором заявления о продлении назначения:</w:t>
      </w:r>
    </w:p>
    <w:p w14:paraId="086449D2" w14:textId="6BA8C86A" w:rsidR="00FA5C1E" w:rsidRPr="00373530" w:rsidRDefault="00373530" w:rsidP="00373530">
      <w:pPr>
        <w:pStyle w:val="Answer"/>
        <w:rPr>
          <w:iCs/>
        </w:rPr>
      </w:pPr>
      <w:r>
        <w:t>25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21EECB02" w14:textId="3E849F0A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hyperlink r:id="rId11" w:anchor="EG" w:history="1">
        <w:r>
          <w:rPr>
            <w:rStyle w:val="Hyperlink"/>
          </w:rPr>
          <w:t>https://www.wipo.int/en/web/pct-system/quality/authorities#EG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t>2.1 – ВОЗМОЖНОСТИ ДЛЯ ПРОВЕДЕНИЯ ПОИСКА И ЭКСПЕРТИЗЫ</w:t>
      </w:r>
    </w:p>
    <w:p w14:paraId="4204A13E" w14:textId="7EFF943D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</w:t>
      </w:r>
      <w:r w:rsidR="001D0CBA">
        <w:t> </w:t>
      </w:r>
      <w:r>
        <w:t>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59BD7ECB" w:rsidR="009A31F1" w:rsidRDefault="009A31F1" w:rsidP="00235DA8">
      <w:pPr>
        <w:pStyle w:val="RuleQuote"/>
        <w:ind w:left="0" w:right="53"/>
        <w:rPr>
          <w:i w:val="0"/>
          <w:iCs w:val="0"/>
        </w:rPr>
      </w:pPr>
      <w:r>
        <w:rPr>
          <w:i w:val="0"/>
          <w:iCs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 Орган также указывает следующую информацию о количестве сотрудников, обладающих квалификацией для проведения поиска и экспертизы. </w:t>
      </w:r>
    </w:p>
    <w:p w14:paraId="70EE9A7D" w14:textId="77777777" w:rsidR="00C5047D" w:rsidRPr="00373530" w:rsidRDefault="00C5047D" w:rsidP="009A31F1">
      <w:pPr>
        <w:ind w:left="540"/>
        <w:jc w:val="both"/>
        <w:rPr>
          <w:rFonts w:ascii="Helvetica" w:hAnsi="Helvetica" w:cs="Helvetica"/>
          <w:color w:val="000000" w:themeColor="text1"/>
          <w:szCs w:val="22"/>
        </w:rPr>
      </w:pPr>
    </w:p>
    <w:p w14:paraId="0066CCED" w14:textId="77777777" w:rsidR="00C5047D" w:rsidRDefault="00C5047D" w:rsidP="00F6113E">
      <w:pPr>
        <w:pStyle w:val="Question"/>
        <w:spacing w:after="48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3124"/>
        <w:gridCol w:w="1625"/>
        <w:gridCol w:w="1375"/>
        <w:gridCol w:w="2943"/>
      </w:tblGrid>
      <w:tr w:rsidR="000E371D" w14:paraId="4E5738BC" w14:textId="77777777" w:rsidTr="00892C75">
        <w:trPr>
          <w:cantSplit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16AD" w14:textId="77777777" w:rsidR="000E371D" w:rsidRDefault="000E371D" w:rsidP="00892C75">
            <w:pPr>
              <w:rPr>
                <w:rFonts w:eastAsia="Times New Roman"/>
              </w:rPr>
            </w:pPr>
            <w:r w:rsidRPr="001D0CBA">
              <w:rPr>
                <w:b/>
                <w:bCs/>
              </w:rPr>
              <w:t>О</w:t>
            </w:r>
            <w:r w:rsidRPr="00892C75">
              <w:rPr>
                <w:b/>
                <w:bCs/>
              </w:rPr>
              <w:t>бласть техники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AFD" w14:textId="77777777" w:rsidR="000E371D" w:rsidRDefault="000E371D" w:rsidP="000558E3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88F7" w14:textId="419DAD75" w:rsidR="000E371D" w:rsidRDefault="00892C75" w:rsidP="000558E3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 w:rsidRPr="00892C75">
              <w:rPr>
                <w:b/>
                <w:bCs/>
              </w:rPr>
              <w:t>Средний стаж в качестве эксперта (по числу лет)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26DA" w14:textId="77777777" w:rsidR="000E371D" w:rsidRDefault="000E371D" w:rsidP="000558E3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В разбивке по уровням квалификации</w:t>
            </w:r>
          </w:p>
        </w:tc>
      </w:tr>
      <w:tr w:rsidR="000E371D" w14:paraId="62AD7E93" w14:textId="77777777" w:rsidTr="00892C75">
        <w:trPr>
          <w:cantSplit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5F57" w14:textId="56082DF5" w:rsidR="000E371D" w:rsidRPr="001E6410" w:rsidRDefault="000E371D" w:rsidP="00892C75">
            <w:pPr>
              <w:rPr>
                <w:rFonts w:eastAsia="Times New Roman"/>
                <w:szCs w:val="22"/>
              </w:rPr>
            </w:pPr>
            <w:r>
              <w:t xml:space="preserve">Машиностроение (механическое, электрическое/электронное, гражданское, текстильное, </w:t>
            </w:r>
            <w:r w:rsidR="00892C75">
              <w:t>биомедицинское…</w:t>
            </w:r>
            <w: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451" w14:textId="77777777" w:rsidR="000E371D" w:rsidRPr="001E6410" w:rsidRDefault="000E371D" w:rsidP="000558E3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B9B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15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08488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– Высшее образование (как минимум степень бакалавра, но также магистра и PhD) в соответствующей технической области.</w:t>
            </w:r>
          </w:p>
          <w:p w14:paraId="7D892C8B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– Знания в области ИС в целом и патентов в частности. </w:t>
            </w:r>
          </w:p>
          <w:p w14:paraId="127EDA38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– Знание египетского законодательства в области ИС и положений по его применению, руководства по проведению экспертизы, а также соответствующих международных договоров и соглашений. </w:t>
            </w:r>
          </w:p>
          <w:p w14:paraId="2786446D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– Знание операционных процессов патентной процедуры. </w:t>
            </w:r>
          </w:p>
          <w:p w14:paraId="64FBD845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– Навыки поиска непосредственно в патентных базах данных. </w:t>
            </w:r>
          </w:p>
          <w:p w14:paraId="1DFF14E2" w14:textId="77777777" w:rsidR="00892C75" w:rsidRPr="00855DD3" w:rsidRDefault="000E371D" w:rsidP="000558E3">
            <w:pPr>
              <w:keepNext/>
              <w:keepLines/>
              <w:suppressAutoHyphens/>
            </w:pPr>
            <w:r>
              <w:t xml:space="preserve">– Использование компьютерных навыков в процессе работы. </w:t>
            </w:r>
          </w:p>
          <w:p w14:paraId="2CA4C4A1" w14:textId="758C2F4A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– Владение английским языком на профессиональном уровне. </w:t>
            </w:r>
          </w:p>
          <w:p w14:paraId="48182E1A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– Навыки составления отчетов и презентаций.</w:t>
            </w:r>
          </w:p>
        </w:tc>
      </w:tr>
      <w:tr w:rsidR="000E371D" w14:paraId="6C398E0F" w14:textId="77777777" w:rsidTr="00892C75">
        <w:trPr>
          <w:cantSplit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B328" w14:textId="77777777" w:rsidR="000E371D" w:rsidRPr="00892C75" w:rsidRDefault="000E371D" w:rsidP="00892C75">
            <w:r>
              <w:t>Химия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2A2" w14:textId="77777777" w:rsidR="000E371D" w:rsidRPr="001E6410" w:rsidRDefault="000E371D" w:rsidP="000558E3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72A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10</w:t>
            </w: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9C00D" w14:textId="77777777" w:rsidR="000E371D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0E371D" w14:paraId="08991ABF" w14:textId="77777777" w:rsidTr="00892C75">
        <w:trPr>
          <w:cantSplit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BF65" w14:textId="77777777" w:rsidR="000E371D" w:rsidRPr="00892C75" w:rsidRDefault="000E371D" w:rsidP="00892C75">
            <w:r>
              <w:t xml:space="preserve">Фармацевтика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FE7" w14:textId="77777777" w:rsidR="000E371D" w:rsidRPr="001E6410" w:rsidRDefault="000E371D" w:rsidP="000558E3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E49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15</w:t>
            </w: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874A" w14:textId="77777777" w:rsidR="000E371D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0E371D" w14:paraId="403D786F" w14:textId="77777777" w:rsidTr="00892C75">
        <w:trPr>
          <w:cantSplit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C456" w14:textId="77777777" w:rsidR="000E371D" w:rsidRPr="00892C75" w:rsidRDefault="000E371D" w:rsidP="00892C75">
            <w:r>
              <w:t>Биотехнологии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4DD" w14:textId="77777777" w:rsidR="000E371D" w:rsidRPr="001E6410" w:rsidRDefault="000E371D" w:rsidP="000558E3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23D" w14:textId="77777777" w:rsidR="000E371D" w:rsidRPr="001E6410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10</w:t>
            </w:r>
          </w:p>
        </w:tc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A5F" w14:textId="77777777" w:rsidR="000E371D" w:rsidRDefault="000E371D" w:rsidP="000558E3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0E371D" w14:paraId="370FBD39" w14:textId="77777777" w:rsidTr="00892C75">
        <w:trPr>
          <w:cantSplit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8F7" w14:textId="69ECC29D" w:rsidR="000E371D" w:rsidRDefault="001D0CBA" w:rsidP="000558E3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Всего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A43A" w14:textId="77777777" w:rsidR="000E371D" w:rsidRDefault="000E371D" w:rsidP="000558E3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  <w:iCs/>
                <w:color w:val="1F497D" w:themeColor="text2"/>
                <w:szCs w:val="22"/>
              </w:rPr>
              <w:t>119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D43" w14:textId="77777777" w:rsidR="000E371D" w:rsidRDefault="000E371D" w:rsidP="000558E3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528" w14:textId="77777777" w:rsidR="000E371D" w:rsidRDefault="000E371D" w:rsidP="000558E3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08BEF53B" w14:textId="77777777" w:rsidR="00373530" w:rsidRDefault="00373530" w:rsidP="009A31F1"/>
    <w:p w14:paraId="1633CD0D" w14:textId="3614CD03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 xml:space="preserve">Прочая информация, помимо отчета о системе УК и приведенной выше таблицы (необязательно):  </w:t>
      </w:r>
    </w:p>
    <w:p w14:paraId="3CDBD004" w14:textId="77777777" w:rsidR="00C5047D" w:rsidRPr="000E371D" w:rsidRDefault="00C5047D" w:rsidP="00C5047D">
      <w:pPr>
        <w:ind w:left="540" w:hanging="270"/>
        <w:jc w:val="both"/>
        <w:rPr>
          <w:rFonts w:ascii="Helvetica" w:hAnsi="Helvetica" w:cs="Helvetica"/>
          <w:color w:val="000000" w:themeColor="text1"/>
          <w:szCs w:val="22"/>
        </w:rPr>
      </w:pPr>
    </w:p>
    <w:p w14:paraId="60AF6307" w14:textId="426E75BE" w:rsidR="00C5047D" w:rsidRPr="002B3808" w:rsidRDefault="00C5047D" w:rsidP="00C5047D">
      <w:pPr>
        <w:pStyle w:val="SectionHeading"/>
      </w:pPr>
      <w:r>
        <w:lastRenderedPageBreak/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31233EBA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2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13FFDE0D" w:rsidR="00C5047D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0CBA"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 w:rsidR="00892C75">
        <w:rPr>
          <w:b w:val="0"/>
          <w:bCs w:val="0"/>
        </w:rPr>
        <w:t xml:space="preserve"> «</w:t>
      </w:r>
      <w:r>
        <w:rPr>
          <w:b w:val="0"/>
          <w:bCs w:val="0"/>
        </w:rPr>
        <w:t xml:space="preserve">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Информация об объеме и формате документов, которые были предоставлены Органом для ознакомления, опубликована в Бюллетене PCT 30 октября 2025 года по адресу: </w:t>
      </w:r>
      <w:hyperlink r:id="rId13" w:anchor="page=212" w:history="1">
        <w:r>
          <w:rPr>
            <w:rStyle w:val="Hyperlink"/>
            <w:b w:val="0"/>
            <w:szCs w:val="20"/>
          </w:rPr>
          <w:t>https://www.wipo.int/documents/d/pct-system/docs-en-official-notices-officialnotices.pdf#page=212</w:t>
        </w:r>
      </w:hyperlink>
      <w:r w:rsidR="00892C75">
        <w:rPr>
          <w:b w:val="0"/>
          <w:bCs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40AA28CD" w14:textId="43C881D3" w:rsidR="00C5047D" w:rsidRDefault="002F5E68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6518DE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Просьба предоставить подробную информацию о вашем ведомственном досье с любыми соответствующими ссылками».</w:t>
      </w:r>
    </w:p>
    <w:p w14:paraId="29122C8D" w14:textId="77777777" w:rsidR="006A5C36" w:rsidRDefault="006A5C36" w:rsidP="00C5047D">
      <w:pPr>
        <w:pStyle w:val="Answer"/>
        <w:ind w:left="0"/>
      </w:pPr>
    </w:p>
    <w:p w14:paraId="19A4C13D" w14:textId="77777777" w:rsidR="00C5047D" w:rsidRPr="002B3808" w:rsidRDefault="00C5047D" w:rsidP="00C5047D">
      <w:pPr>
        <w:pStyle w:val="SectionHeading"/>
      </w:pPr>
      <w:r>
        <w:lastRenderedPageBreak/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7E29593C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</w:t>
      </w:r>
    </w:p>
    <w:p w14:paraId="6DB037C2" w14:textId="627CE1DB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 xml:space="preserve">Прочая информация, выходящая за рамки отчета о системе УК (необязательно):  </w:t>
      </w:r>
    </w:p>
    <w:p w14:paraId="75F841A6" w14:textId="70A11026" w:rsidR="00C5047D" w:rsidRDefault="00C5047D" w:rsidP="00892C75">
      <w:pPr>
        <w:rPr>
          <w:i/>
          <w:iCs/>
        </w:rPr>
      </w:pPr>
    </w:p>
    <w:p w14:paraId="6EF613BF" w14:textId="22A7D942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6BF16B81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 xml:space="preserve">Прочая информация, выходящая за рамки отчета о системе УК (необязательно):  </w:t>
      </w:r>
    </w:p>
    <w:p w14:paraId="0F85F524" w14:textId="77777777" w:rsidR="00373530" w:rsidRDefault="00373530" w:rsidP="00892C75"/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r>
        <w:tab/>
        <w:t>Сфера деятельности в текущий период</w:t>
      </w:r>
    </w:p>
    <w:p w14:paraId="00647516" w14:textId="38B8777A" w:rsidR="00C5047D" w:rsidRPr="00373530" w:rsidRDefault="00C5047D" w:rsidP="00C5047D">
      <w:pPr>
        <w:pStyle w:val="Question"/>
        <w:keepNext w:val="0"/>
        <w:spacing w:after="480"/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 для заявителя</w:t>
      </w:r>
      <w:r>
        <w:rPr>
          <w:b w:val="0"/>
          <w:bCs w:val="0"/>
        </w:rPr>
        <w:t xml:space="preserve"> по следующим ссылкам:  </w:t>
      </w:r>
      <w:bookmarkStart w:id="5" w:name="_Hlk214637647"/>
      <w:r>
        <w:fldChar w:fldCharType="begin"/>
      </w:r>
      <w:r w:rsidR="001E2496">
        <w:instrText>HYPERLINK "C:\\Users\\Julia\\AppData\\Local\\Temp\\SDLTempFileManager\\nfgnnm55.dxl\\pct_ctc_33_8 draft EG.docx"</w:instrText>
      </w:r>
      <w:r>
        <w:fldChar w:fldCharType="separate"/>
      </w:r>
      <w:r>
        <w:rPr>
          <w:rStyle w:val="Hyperlink"/>
          <w:b w:val="0"/>
          <w:szCs w:val="20"/>
        </w:rPr>
        <w:t>https://pctlegal.wipo.int/eGuide/view-doc.xhtml?doc-code=EG&amp;doc-lang=en#ISA</w:t>
      </w:r>
      <w:r>
        <w:fldChar w:fldCharType="end"/>
      </w:r>
      <w:r>
        <w:rPr>
          <w:b w:val="0"/>
          <w:bCs w:val="0"/>
        </w:rPr>
        <w:t xml:space="preserve"> и</w:t>
      </w:r>
      <w:bookmarkEnd w:id="5"/>
      <w:r>
        <w:t xml:space="preserve"> </w:t>
      </w:r>
      <w:hyperlink r:id="rId14" w:history="1">
        <w:r>
          <w:rPr>
            <w:rStyle w:val="Hyperlink"/>
            <w:b w:val="0"/>
            <w:szCs w:val="20"/>
          </w:rPr>
          <w:t>https://pctlegal.wipo.int/eGuide/view-doc.xhtml?doc-code=EG&amp;doc-lang=en#IPEA</w:t>
        </w:r>
      </w:hyperlink>
      <w:r>
        <w:rPr>
          <w:b w:val="0"/>
          <w:bCs w:val="0"/>
          <w:i/>
          <w:iCs/>
          <w:color w:val="004F88"/>
        </w:rPr>
        <w:t>.</w:t>
      </w:r>
    </w:p>
    <w:p w14:paraId="28EC7561" w14:textId="178915D1" w:rsidR="00C5047D" w:rsidRDefault="00C5047D" w:rsidP="00C5047D">
      <w:pPr>
        <w:pStyle w:val="Question"/>
        <w:numPr>
          <w:ilvl w:val="0"/>
          <w:numId w:val="8"/>
        </w:numPr>
        <w:spacing w:after="240"/>
      </w:pPr>
      <w:r>
        <w:t xml:space="preserve"> Планируемые изменения в сфере деятельности Органа, такие как </w:t>
      </w:r>
      <w:r w:rsidR="00892C75">
        <w:t>получающие</w:t>
      </w:r>
      <w:r>
        <w:t xml:space="preserve"> ведомства, для которых Орган является компетентным, и предлагаемые языки (при наличии таковых):</w:t>
      </w:r>
    </w:p>
    <w:p w14:paraId="125FE069" w14:textId="0CEEAD31" w:rsidR="00C5047D" w:rsidRPr="00EA4C08" w:rsidRDefault="00C5047D" w:rsidP="00C5047D">
      <w:pPr>
        <w:pStyle w:val="Answer"/>
        <w:jc w:val="both"/>
      </w:pPr>
    </w:p>
    <w:p w14:paraId="0330D9AA" w14:textId="77777777" w:rsidR="00C5047D" w:rsidRPr="002B3808" w:rsidRDefault="00C5047D" w:rsidP="00C5047D">
      <w:pPr>
        <w:pStyle w:val="SectionHeading"/>
      </w:pPr>
      <w:r>
        <w:lastRenderedPageBreak/>
        <w:t>4 – ПРОЧЕЕ</w:t>
      </w:r>
    </w:p>
    <w:p w14:paraId="041B071C" w14:textId="6DB9ACE4" w:rsidR="00C5047D" w:rsidRDefault="00C5047D" w:rsidP="00C5047D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</w:t>
      </w:r>
    </w:p>
    <w:p w14:paraId="1BEC6111" w14:textId="77777777" w:rsidR="00C5047D" w:rsidRDefault="00C5047D" w:rsidP="00C5047D"/>
    <w:p w14:paraId="565493DE" w14:textId="77777777" w:rsidR="00C5047D" w:rsidRPr="001E2496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C8F9" w14:textId="77777777" w:rsidR="009776B3" w:rsidRDefault="009776B3">
      <w:r>
        <w:separator/>
      </w:r>
    </w:p>
  </w:endnote>
  <w:endnote w:type="continuationSeparator" w:id="0">
    <w:p w14:paraId="2AC576E5" w14:textId="77777777" w:rsidR="009776B3" w:rsidRDefault="009776B3" w:rsidP="003B38C1">
      <w:r>
        <w:separator/>
      </w:r>
    </w:p>
    <w:p w14:paraId="746EE98F" w14:textId="77777777" w:rsidR="009776B3" w:rsidRPr="001E2496" w:rsidRDefault="009776B3" w:rsidP="003B38C1">
      <w:pPr>
        <w:spacing w:after="60"/>
        <w:rPr>
          <w:sz w:val="17"/>
          <w:lang w:val="en-GB"/>
        </w:rPr>
      </w:pPr>
      <w:r w:rsidRPr="001E2496">
        <w:rPr>
          <w:sz w:val="17"/>
          <w:lang w:val="en-GB"/>
        </w:rPr>
        <w:t>[Endnote continued from previous page]</w:t>
      </w:r>
    </w:p>
  </w:endnote>
  <w:endnote w:type="continuationNotice" w:id="1">
    <w:p w14:paraId="341FD23A" w14:textId="77777777" w:rsidR="009776B3" w:rsidRPr="001E2496" w:rsidRDefault="009776B3" w:rsidP="003B38C1">
      <w:pPr>
        <w:spacing w:before="60"/>
        <w:jc w:val="right"/>
        <w:rPr>
          <w:sz w:val="17"/>
          <w:szCs w:val="17"/>
          <w:lang w:val="en-GB"/>
        </w:rPr>
      </w:pPr>
      <w:r w:rsidRPr="001E2496">
        <w:rPr>
          <w:sz w:val="17"/>
          <w:szCs w:val="17"/>
          <w:lang w:val="en-GB"/>
        </w:rPr>
        <w:t xml:space="preserve">[Endnote </w:t>
      </w:r>
      <w:proofErr w:type="gramStart"/>
      <w:r w:rsidRPr="001E2496">
        <w:rPr>
          <w:sz w:val="17"/>
          <w:szCs w:val="17"/>
          <w:lang w:val="en-GB"/>
        </w:rPr>
        <w:t>continued on</w:t>
      </w:r>
      <w:proofErr w:type="gramEnd"/>
      <w:r w:rsidRPr="001E2496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5F27" w14:textId="77777777" w:rsidR="009776B3" w:rsidRDefault="009776B3">
      <w:r>
        <w:separator/>
      </w:r>
    </w:p>
  </w:footnote>
  <w:footnote w:type="continuationSeparator" w:id="0">
    <w:p w14:paraId="6C3BACFE" w14:textId="77777777" w:rsidR="009776B3" w:rsidRDefault="009776B3" w:rsidP="008B60B2">
      <w:r>
        <w:separator/>
      </w:r>
    </w:p>
    <w:p w14:paraId="4868770C" w14:textId="77777777" w:rsidR="009776B3" w:rsidRPr="001E2496" w:rsidRDefault="009776B3" w:rsidP="008B60B2">
      <w:pPr>
        <w:spacing w:after="60"/>
        <w:rPr>
          <w:sz w:val="17"/>
          <w:szCs w:val="17"/>
          <w:lang w:val="en-GB"/>
        </w:rPr>
      </w:pPr>
      <w:r w:rsidRPr="001E249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5DFF7DCD" w14:textId="77777777" w:rsidR="009776B3" w:rsidRPr="001E2496" w:rsidRDefault="009776B3" w:rsidP="008B60B2">
      <w:pPr>
        <w:spacing w:before="60"/>
        <w:jc w:val="right"/>
        <w:rPr>
          <w:sz w:val="17"/>
          <w:szCs w:val="17"/>
          <w:lang w:val="en-GB"/>
        </w:rPr>
      </w:pPr>
      <w:r w:rsidRPr="001E2496">
        <w:rPr>
          <w:sz w:val="17"/>
          <w:szCs w:val="17"/>
          <w:lang w:val="en-GB"/>
        </w:rPr>
        <w:t xml:space="preserve">[Footnote </w:t>
      </w:r>
      <w:proofErr w:type="gramStart"/>
      <w:r w:rsidRPr="001E2496">
        <w:rPr>
          <w:sz w:val="17"/>
          <w:szCs w:val="17"/>
          <w:lang w:val="en-GB"/>
        </w:rPr>
        <w:t>continued on</w:t>
      </w:r>
      <w:proofErr w:type="gramEnd"/>
      <w:r w:rsidRPr="001E2496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56BB6BDE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PCT/CTC/33/9</w:t>
        </w:r>
      </w:p>
      <w:p w14:paraId="28DB5474" w14:textId="0375A8D1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2F5E68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4EA6F685" w:rsidR="009A31F1" w:rsidRDefault="009A31F1" w:rsidP="009A31F1">
    <w:pPr>
      <w:pStyle w:val="Header"/>
      <w:jc w:val="right"/>
    </w:pPr>
    <w:r>
      <w:tab/>
    </w:r>
    <w:r>
      <w:t>PCT/CTC/33/9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13672"/>
    <w:rsid w:val="00027CD7"/>
    <w:rsid w:val="00043CAA"/>
    <w:rsid w:val="00056816"/>
    <w:rsid w:val="00075432"/>
    <w:rsid w:val="000756C6"/>
    <w:rsid w:val="000968ED"/>
    <w:rsid w:val="000A3D97"/>
    <w:rsid w:val="000A6309"/>
    <w:rsid w:val="000C3DC3"/>
    <w:rsid w:val="000D2E22"/>
    <w:rsid w:val="000D46FE"/>
    <w:rsid w:val="000E371D"/>
    <w:rsid w:val="000F5E56"/>
    <w:rsid w:val="00111BB0"/>
    <w:rsid w:val="001362EE"/>
    <w:rsid w:val="001647D5"/>
    <w:rsid w:val="001832A6"/>
    <w:rsid w:val="001D0CBA"/>
    <w:rsid w:val="001D4107"/>
    <w:rsid w:val="001E0AEF"/>
    <w:rsid w:val="001E2496"/>
    <w:rsid w:val="001E6410"/>
    <w:rsid w:val="001F1115"/>
    <w:rsid w:val="001F2F7F"/>
    <w:rsid w:val="00203D24"/>
    <w:rsid w:val="00206A29"/>
    <w:rsid w:val="0021217E"/>
    <w:rsid w:val="00217FB1"/>
    <w:rsid w:val="002326AB"/>
    <w:rsid w:val="00235DA8"/>
    <w:rsid w:val="00240A0C"/>
    <w:rsid w:val="00243430"/>
    <w:rsid w:val="002634C4"/>
    <w:rsid w:val="002928D3"/>
    <w:rsid w:val="002E29C7"/>
    <w:rsid w:val="002F1FE6"/>
    <w:rsid w:val="002F4E68"/>
    <w:rsid w:val="002F5E68"/>
    <w:rsid w:val="00312F7F"/>
    <w:rsid w:val="00325305"/>
    <w:rsid w:val="00346546"/>
    <w:rsid w:val="00355FC1"/>
    <w:rsid w:val="00361450"/>
    <w:rsid w:val="003673CF"/>
    <w:rsid w:val="00373530"/>
    <w:rsid w:val="003845C1"/>
    <w:rsid w:val="003A6F89"/>
    <w:rsid w:val="003B38C1"/>
    <w:rsid w:val="003C34E9"/>
    <w:rsid w:val="003C67E6"/>
    <w:rsid w:val="003F6F01"/>
    <w:rsid w:val="00412AF7"/>
    <w:rsid w:val="00423E3E"/>
    <w:rsid w:val="00427AF4"/>
    <w:rsid w:val="004647DA"/>
    <w:rsid w:val="00466D9E"/>
    <w:rsid w:val="00474062"/>
    <w:rsid w:val="00477D6B"/>
    <w:rsid w:val="004B446A"/>
    <w:rsid w:val="004B6994"/>
    <w:rsid w:val="005019FF"/>
    <w:rsid w:val="0052652C"/>
    <w:rsid w:val="0053057A"/>
    <w:rsid w:val="00545033"/>
    <w:rsid w:val="00556076"/>
    <w:rsid w:val="00560A29"/>
    <w:rsid w:val="005C6649"/>
    <w:rsid w:val="005C79F6"/>
    <w:rsid w:val="00605827"/>
    <w:rsid w:val="00646050"/>
    <w:rsid w:val="006518DE"/>
    <w:rsid w:val="006713CA"/>
    <w:rsid w:val="00675BDF"/>
    <w:rsid w:val="00676C5C"/>
    <w:rsid w:val="00685B94"/>
    <w:rsid w:val="006A5C36"/>
    <w:rsid w:val="006C238E"/>
    <w:rsid w:val="006C5D5A"/>
    <w:rsid w:val="006C712A"/>
    <w:rsid w:val="006F04BC"/>
    <w:rsid w:val="006F7742"/>
    <w:rsid w:val="0070049D"/>
    <w:rsid w:val="00720EFD"/>
    <w:rsid w:val="007578A4"/>
    <w:rsid w:val="00761CD8"/>
    <w:rsid w:val="007854AF"/>
    <w:rsid w:val="00793A7C"/>
    <w:rsid w:val="007A398A"/>
    <w:rsid w:val="007A3EC4"/>
    <w:rsid w:val="007D1613"/>
    <w:rsid w:val="007E4C0E"/>
    <w:rsid w:val="008416E1"/>
    <w:rsid w:val="008543C9"/>
    <w:rsid w:val="00855DD3"/>
    <w:rsid w:val="00892C75"/>
    <w:rsid w:val="008A134B"/>
    <w:rsid w:val="008B2C16"/>
    <w:rsid w:val="008B2CC1"/>
    <w:rsid w:val="008B60B2"/>
    <w:rsid w:val="008E187B"/>
    <w:rsid w:val="008F3BE9"/>
    <w:rsid w:val="0090731E"/>
    <w:rsid w:val="00916EE2"/>
    <w:rsid w:val="00966A22"/>
    <w:rsid w:val="0096722F"/>
    <w:rsid w:val="009776B3"/>
    <w:rsid w:val="00980843"/>
    <w:rsid w:val="00992C45"/>
    <w:rsid w:val="009A31F1"/>
    <w:rsid w:val="009A53C9"/>
    <w:rsid w:val="009B35F2"/>
    <w:rsid w:val="009E2791"/>
    <w:rsid w:val="009E3F6F"/>
    <w:rsid w:val="009F499F"/>
    <w:rsid w:val="00A0628B"/>
    <w:rsid w:val="00A10869"/>
    <w:rsid w:val="00A37342"/>
    <w:rsid w:val="00A42DAF"/>
    <w:rsid w:val="00A45BD8"/>
    <w:rsid w:val="00A5013C"/>
    <w:rsid w:val="00A53F2A"/>
    <w:rsid w:val="00A869B7"/>
    <w:rsid w:val="00A90F0A"/>
    <w:rsid w:val="00A97821"/>
    <w:rsid w:val="00AC205C"/>
    <w:rsid w:val="00AF0A6B"/>
    <w:rsid w:val="00B0529A"/>
    <w:rsid w:val="00B05A69"/>
    <w:rsid w:val="00B149D3"/>
    <w:rsid w:val="00B75281"/>
    <w:rsid w:val="00B92F1F"/>
    <w:rsid w:val="00B9734B"/>
    <w:rsid w:val="00BA30E2"/>
    <w:rsid w:val="00BC039A"/>
    <w:rsid w:val="00BE5A53"/>
    <w:rsid w:val="00C11BFE"/>
    <w:rsid w:val="00C5047D"/>
    <w:rsid w:val="00C5068F"/>
    <w:rsid w:val="00C54638"/>
    <w:rsid w:val="00C81BF3"/>
    <w:rsid w:val="00C8299D"/>
    <w:rsid w:val="00C86D74"/>
    <w:rsid w:val="00CD04F1"/>
    <w:rsid w:val="00CD2EE4"/>
    <w:rsid w:val="00CF681A"/>
    <w:rsid w:val="00D07C78"/>
    <w:rsid w:val="00D45252"/>
    <w:rsid w:val="00D71B4D"/>
    <w:rsid w:val="00D93D55"/>
    <w:rsid w:val="00DD7B7F"/>
    <w:rsid w:val="00E15015"/>
    <w:rsid w:val="00E2311E"/>
    <w:rsid w:val="00E252C9"/>
    <w:rsid w:val="00E335FE"/>
    <w:rsid w:val="00E82F6F"/>
    <w:rsid w:val="00E955BE"/>
    <w:rsid w:val="00EA332A"/>
    <w:rsid w:val="00EA4C08"/>
    <w:rsid w:val="00EA7D6E"/>
    <w:rsid w:val="00EB2F76"/>
    <w:rsid w:val="00EC4E49"/>
    <w:rsid w:val="00ED77FB"/>
    <w:rsid w:val="00EE45FA"/>
    <w:rsid w:val="00F043DE"/>
    <w:rsid w:val="00F42B8D"/>
    <w:rsid w:val="00F6113E"/>
    <w:rsid w:val="00F63809"/>
    <w:rsid w:val="00F64F57"/>
    <w:rsid w:val="00F66152"/>
    <w:rsid w:val="00F9165B"/>
    <w:rsid w:val="00FA10D5"/>
    <w:rsid w:val="00FA5C1E"/>
    <w:rsid w:val="00FA69F6"/>
    <w:rsid w:val="00FC482F"/>
    <w:rsid w:val="00FE0B36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73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documents/d/pct-system/docs-en-official-notices-officialnotice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pct/en/docs/circulars/2024/167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n/web/pct-system/quality/authoriti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Julia\AppData\Local\Temp\SDLTempFileManager\nfgnnm55.dxl\pct_ctc_33_8%20draft%20EG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7610</Characters>
  <Application>Microsoft Office Word</Application>
  <DocSecurity>0</DocSecurity>
  <Lines>230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PCT/CTC/33/9</dc:title>
  <dc:creator>NOVRUZOVA Elnara</dc:creator>
  <cp:keywords/>
  <cp:lastModifiedBy>SAKR Sally</cp:lastModifiedBy>
  <cp:revision>2</cp:revision>
  <cp:lastPrinted>2011-02-15T11:56:00Z</cp:lastPrinted>
  <dcterms:created xsi:type="dcterms:W3CDTF">2026-01-07T10:15:00Z</dcterms:created>
  <dcterms:modified xsi:type="dcterms:W3CDTF">2026-01-07T10:15:00Z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2025-11-25T09:58:36Z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1bd5de37-4f58-439a-bfdc-48ae9b29824e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