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1431D" w14:textId="77777777" w:rsidR="008B2CC1" w:rsidRPr="00F043DE" w:rsidRDefault="009564AB" w:rsidP="00761CD8">
      <w:pPr>
        <w:pBdr>
          <w:bottom w:val="single" w:sz="4" w:space="9" w:color="auto"/>
        </w:pBdr>
        <w:spacing w:after="120"/>
        <w:jc w:val="right"/>
        <w:rPr>
          <w:b/>
          <w:sz w:val="32"/>
          <w:szCs w:val="40"/>
        </w:rPr>
      </w:pPr>
      <w:r w:rsidRPr="0042194C">
        <w:rPr>
          <w:noProof/>
        </w:rPr>
        <w:drawing>
          <wp:inline distT="0" distB="0" distL="0" distR="0" wp14:anchorId="50691968" wp14:editId="6B009541">
            <wp:extent cx="2847503" cy="1463040"/>
            <wp:effectExtent l="0" t="0" r="0" b="3810"/>
            <wp:docPr id="4" name="Picture 4" descr="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.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116" cy="1466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387BD1" w14:textId="2E4002BB" w:rsidR="008B2CC1" w:rsidRPr="004479AB" w:rsidRDefault="00761CD8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</w:rPr>
        <w:t>PCT</w:t>
      </w:r>
      <w:r w:rsidRPr="001C62FA">
        <w:rPr>
          <w:rFonts w:ascii="Arial Black" w:hAnsi="Arial Black"/>
          <w:caps/>
          <w:sz w:val="15"/>
          <w:szCs w:val="15"/>
          <w:lang w:val="ru-RU"/>
        </w:rPr>
        <w:t>/</w:t>
      </w:r>
      <w:r>
        <w:rPr>
          <w:rFonts w:ascii="Arial Black" w:hAnsi="Arial Black"/>
          <w:caps/>
          <w:sz w:val="15"/>
          <w:szCs w:val="15"/>
        </w:rPr>
        <w:t>CTC</w:t>
      </w:r>
      <w:r w:rsidRPr="001C62FA">
        <w:rPr>
          <w:rFonts w:ascii="Arial Black" w:hAnsi="Arial Black"/>
          <w:caps/>
          <w:sz w:val="15"/>
          <w:szCs w:val="15"/>
          <w:lang w:val="ru-RU"/>
        </w:rPr>
        <w:t>/3</w:t>
      </w:r>
      <w:r w:rsidR="004B446A" w:rsidRPr="001C62FA">
        <w:rPr>
          <w:rFonts w:ascii="Arial Black" w:hAnsi="Arial Black"/>
          <w:caps/>
          <w:sz w:val="15"/>
          <w:szCs w:val="15"/>
          <w:lang w:val="ru-RU"/>
        </w:rPr>
        <w:t>3</w:t>
      </w:r>
      <w:r w:rsidRPr="001C62FA">
        <w:rPr>
          <w:rFonts w:ascii="Arial Black" w:hAnsi="Arial Black"/>
          <w:caps/>
          <w:sz w:val="15"/>
          <w:szCs w:val="15"/>
          <w:lang w:val="ru-RU"/>
        </w:rPr>
        <w:t>/</w:t>
      </w:r>
      <w:bookmarkStart w:id="0" w:name="Code"/>
      <w:bookmarkEnd w:id="0"/>
      <w:r w:rsidR="00303E14" w:rsidRPr="004479AB">
        <w:rPr>
          <w:rFonts w:ascii="Arial Black" w:hAnsi="Arial Black"/>
          <w:caps/>
          <w:sz w:val="15"/>
          <w:szCs w:val="15"/>
          <w:lang w:val="ru-RU"/>
        </w:rPr>
        <w:t>8</w:t>
      </w:r>
    </w:p>
    <w:p w14:paraId="49F2B0F4" w14:textId="34728D94" w:rsidR="008B2CC1" w:rsidRPr="001C62FA" w:rsidRDefault="00BA2A04" w:rsidP="00EB2F76">
      <w:pPr>
        <w:jc w:val="right"/>
        <w:rPr>
          <w:rFonts w:ascii="Arial Black" w:hAnsi="Arial Black"/>
          <w:caps/>
          <w:sz w:val="15"/>
          <w:szCs w:val="15"/>
          <w:lang w:val="ru-RU"/>
        </w:rPr>
      </w:pPr>
      <w:bookmarkStart w:id="1" w:name="Original"/>
      <w:r>
        <w:rPr>
          <w:rFonts w:ascii="Arial Black" w:hAnsi="Arial Black"/>
          <w:caps/>
          <w:sz w:val="15"/>
          <w:szCs w:val="15"/>
          <w:lang w:val="ru-RU"/>
        </w:rPr>
        <w:t>оригинал</w:t>
      </w:r>
      <w:r w:rsidRPr="001C62FA">
        <w:rPr>
          <w:rFonts w:ascii="Arial Black" w:hAnsi="Arial Black"/>
          <w:caps/>
          <w:sz w:val="15"/>
          <w:szCs w:val="15"/>
          <w:lang w:val="ru-RU"/>
        </w:rPr>
        <w:t xml:space="preserve">:  </w:t>
      </w:r>
      <w:r w:rsidRPr="009263C2">
        <w:rPr>
          <w:rFonts w:ascii="Arial Black" w:hAnsi="Arial Black"/>
          <w:caps/>
          <w:sz w:val="15"/>
          <w:lang w:val="ru-RU"/>
        </w:rPr>
        <w:t>английский</w:t>
      </w:r>
      <w:r w:rsidRPr="004479AB">
        <w:rPr>
          <w:rFonts w:ascii="Arial Black" w:hAnsi="Arial Black"/>
          <w:caps/>
          <w:sz w:val="15"/>
          <w:lang w:val="ru-RU"/>
        </w:rPr>
        <w:t xml:space="preserve"> / РУССКИЙ</w:t>
      </w:r>
    </w:p>
    <w:bookmarkEnd w:id="1"/>
    <w:p w14:paraId="7E7B6B09" w14:textId="550E344D" w:rsidR="008B2CC1" w:rsidRPr="001C62FA" w:rsidRDefault="009564AB" w:rsidP="000A3D97">
      <w:pPr>
        <w:spacing w:after="1200"/>
        <w:jc w:val="right"/>
        <w:rPr>
          <w:rFonts w:ascii="Arial Black" w:hAnsi="Arial Black"/>
          <w:caps/>
          <w:sz w:val="15"/>
          <w:szCs w:val="15"/>
          <w:lang w:val="ru-RU"/>
        </w:rPr>
      </w:pPr>
      <w:r>
        <w:rPr>
          <w:rFonts w:ascii="Arial Black" w:hAnsi="Arial Black"/>
          <w:caps/>
          <w:sz w:val="15"/>
          <w:szCs w:val="15"/>
          <w:lang w:val="ru-RU"/>
        </w:rPr>
        <w:t>дата</w:t>
      </w:r>
      <w:r w:rsidR="00EB2F76" w:rsidRPr="001C62FA">
        <w:rPr>
          <w:rFonts w:ascii="Arial Black" w:hAnsi="Arial Black"/>
          <w:caps/>
          <w:sz w:val="15"/>
          <w:szCs w:val="15"/>
          <w:lang w:val="ru-RU"/>
        </w:rPr>
        <w:t>:</w:t>
      </w:r>
      <w:r w:rsidR="004B446A" w:rsidRPr="001C62F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EB2F76" w:rsidRPr="001C62FA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bookmarkStart w:id="2" w:name="Date"/>
      <w:r w:rsidR="004479AB">
        <w:rPr>
          <w:rFonts w:ascii="Arial Black" w:hAnsi="Arial Black"/>
          <w:caps/>
          <w:sz w:val="15"/>
          <w:szCs w:val="15"/>
          <w:lang w:val="fr-CH"/>
        </w:rPr>
        <w:t>19</w:t>
      </w:r>
      <w:r w:rsidR="00574416" w:rsidRPr="004479AB">
        <w:rPr>
          <w:rFonts w:ascii="Arial Black" w:hAnsi="Arial Black"/>
          <w:caps/>
          <w:sz w:val="15"/>
          <w:szCs w:val="15"/>
          <w:lang w:val="ru-RU"/>
        </w:rPr>
        <w:t xml:space="preserve"> </w:t>
      </w:r>
      <w:r w:rsidR="00574416" w:rsidRPr="00DC067C">
        <w:rPr>
          <w:rFonts w:ascii="Arial Black" w:hAnsi="Arial Black"/>
          <w:caps/>
          <w:sz w:val="15"/>
          <w:szCs w:val="15"/>
          <w:lang w:val="ru-RU"/>
        </w:rPr>
        <w:t>декабря 20</w:t>
      </w:r>
      <w:r w:rsidR="00574416" w:rsidRPr="004479AB">
        <w:rPr>
          <w:rFonts w:ascii="Arial Black" w:hAnsi="Arial Black"/>
          <w:caps/>
          <w:sz w:val="15"/>
          <w:szCs w:val="15"/>
          <w:lang w:val="ru-RU"/>
        </w:rPr>
        <w:t>25</w:t>
      </w:r>
      <w:r w:rsidR="00574416" w:rsidRPr="00DC067C">
        <w:rPr>
          <w:rFonts w:ascii="Arial Black" w:hAnsi="Arial Black"/>
          <w:caps/>
          <w:sz w:val="15"/>
          <w:szCs w:val="15"/>
          <w:lang w:val="ru-RU"/>
        </w:rPr>
        <w:t xml:space="preserve"> г</w:t>
      </w:r>
    </w:p>
    <w:bookmarkEnd w:id="2"/>
    <w:p w14:paraId="5FC635C6" w14:textId="77777777" w:rsidR="008B2CC1" w:rsidRPr="009564AB" w:rsidRDefault="009564AB" w:rsidP="004B446A">
      <w:pPr>
        <w:spacing w:after="480"/>
        <w:rPr>
          <w:b/>
          <w:bCs/>
          <w:lang w:val="ru-RU"/>
        </w:rPr>
      </w:pPr>
      <w:r w:rsidRPr="009564AB">
        <w:rPr>
          <w:b/>
          <w:bCs/>
          <w:sz w:val="28"/>
          <w:szCs w:val="24"/>
          <w:lang w:val="ru-RU"/>
        </w:rPr>
        <w:t xml:space="preserve">Договор о патентной кооперации (PCT) </w:t>
      </w:r>
      <w:r w:rsidRPr="009564AB">
        <w:rPr>
          <w:b/>
          <w:bCs/>
          <w:sz w:val="28"/>
          <w:szCs w:val="24"/>
          <w:lang w:val="ru-RU"/>
        </w:rPr>
        <w:br/>
        <w:t>Комитет по техническому сотрудничеству</w:t>
      </w:r>
    </w:p>
    <w:p w14:paraId="5209D05C" w14:textId="77777777" w:rsidR="00A90F0A" w:rsidRPr="009564AB" w:rsidRDefault="009564AB" w:rsidP="00A90F0A">
      <w:pPr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Тридцать третья сессия</w:t>
      </w:r>
    </w:p>
    <w:p w14:paraId="5D8B34AF" w14:textId="77777777" w:rsidR="008B2CC1" w:rsidRPr="009564AB" w:rsidRDefault="009564AB" w:rsidP="00586897">
      <w:pPr>
        <w:spacing w:after="100" w:afterAutospacing="1"/>
        <w:outlineLvl w:val="1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="00761CD8" w:rsidRPr="009564AB">
        <w:rPr>
          <w:b/>
          <w:sz w:val="24"/>
          <w:szCs w:val="24"/>
          <w:lang w:val="ru-RU"/>
        </w:rPr>
        <w:t xml:space="preserve">, </w:t>
      </w:r>
      <w:r w:rsidR="004B446A" w:rsidRPr="009564AB">
        <w:rPr>
          <w:b/>
          <w:sz w:val="24"/>
          <w:szCs w:val="24"/>
          <w:lang w:val="ru-RU"/>
        </w:rPr>
        <w:t>2</w:t>
      </w:r>
      <w:r>
        <w:rPr>
          <w:b/>
          <w:sz w:val="24"/>
          <w:szCs w:val="24"/>
          <w:lang w:val="ru-RU"/>
        </w:rPr>
        <w:t>–</w:t>
      </w:r>
      <w:r w:rsidR="004B446A" w:rsidRPr="009564AB">
        <w:rPr>
          <w:b/>
          <w:sz w:val="24"/>
          <w:szCs w:val="24"/>
          <w:lang w:val="ru-RU"/>
        </w:rPr>
        <w:t>6</w:t>
      </w:r>
      <w:r>
        <w:rPr>
          <w:b/>
          <w:sz w:val="24"/>
          <w:szCs w:val="24"/>
          <w:lang w:val="ru-RU"/>
        </w:rPr>
        <w:t xml:space="preserve"> февраля</w:t>
      </w:r>
      <w:r w:rsidR="004B446A" w:rsidRPr="009564AB">
        <w:rPr>
          <w:b/>
          <w:sz w:val="24"/>
          <w:szCs w:val="24"/>
          <w:lang w:val="ru-RU"/>
        </w:rPr>
        <w:t xml:space="preserve"> 2026</w:t>
      </w:r>
      <w:r>
        <w:rPr>
          <w:b/>
          <w:sz w:val="24"/>
          <w:szCs w:val="24"/>
          <w:lang w:val="ru-RU"/>
        </w:rPr>
        <w:t> года</w:t>
      </w:r>
    </w:p>
    <w:p w14:paraId="27B01C76" w14:textId="77777777" w:rsidR="00586897" w:rsidRPr="003B4CAA" w:rsidRDefault="00586897" w:rsidP="00586897">
      <w:pPr>
        <w:spacing w:after="100" w:afterAutospacing="1"/>
        <w:outlineLvl w:val="0"/>
        <w:rPr>
          <w:caps/>
          <w:sz w:val="24"/>
          <w:szCs w:val="24"/>
          <w:lang w:val="ru-RU"/>
        </w:rPr>
      </w:pPr>
      <w:bookmarkStart w:id="3" w:name="TitleOfDoc"/>
    </w:p>
    <w:p w14:paraId="4071008E" w14:textId="0A2C703D" w:rsidR="008B2CC1" w:rsidRPr="00574416" w:rsidRDefault="00574416" w:rsidP="00586897">
      <w:pPr>
        <w:spacing w:after="100" w:afterAutospacing="1"/>
        <w:outlineLvl w:val="0"/>
        <w:rPr>
          <w:caps/>
          <w:sz w:val="24"/>
          <w:lang w:val="ru-RU"/>
        </w:rPr>
      </w:pPr>
      <w:r w:rsidRPr="0033011C">
        <w:rPr>
          <w:caps/>
          <w:sz w:val="24"/>
          <w:szCs w:val="24"/>
          <w:lang w:val="ru-RU"/>
        </w:rPr>
        <w:t xml:space="preserve">ПРОДЛЕНИЕ НАЗНАЧЕНИЯ </w:t>
      </w:r>
      <w:r w:rsidRPr="00574416">
        <w:rPr>
          <w:caps/>
          <w:sz w:val="24"/>
          <w:szCs w:val="24"/>
          <w:lang w:val="ru-RU"/>
        </w:rPr>
        <w:t xml:space="preserve">Евразийского патентного ведомствa </w:t>
      </w:r>
      <w:r w:rsidRPr="0033011C">
        <w:rPr>
          <w:caps/>
          <w:sz w:val="24"/>
          <w:szCs w:val="24"/>
          <w:lang w:val="ru-RU"/>
        </w:rPr>
        <w:t xml:space="preserve">в качестве </w:t>
      </w:r>
      <w:r w:rsidRPr="0033011C">
        <w:rPr>
          <w:sz w:val="24"/>
          <w:szCs w:val="24"/>
          <w:lang w:val="ru-RU"/>
        </w:rPr>
        <w:t xml:space="preserve">МЕЖДУНАРОДНОГО ПОИСКОВОГО ОРГАНА И ОРГАНА МЕЖДУНАРОДНОЙ ПРЕДВАРИТЕЛЬНОЙ ЭКСПЕРТИЗЫ В РАМКАХ </w:t>
      </w:r>
      <w:r w:rsidRPr="0033011C">
        <w:rPr>
          <w:caps/>
          <w:sz w:val="24"/>
          <w:szCs w:val="24"/>
        </w:rPr>
        <w:t>PCT</w:t>
      </w:r>
      <w:r w:rsidRPr="00574416">
        <w:rPr>
          <w:caps/>
          <w:sz w:val="24"/>
          <w:szCs w:val="24"/>
          <w:lang w:val="ru-RU"/>
        </w:rPr>
        <w:t xml:space="preserve"> </w:t>
      </w:r>
    </w:p>
    <w:p w14:paraId="4A2F1F67" w14:textId="56059A08" w:rsidR="002928D3" w:rsidRPr="009564AB" w:rsidRDefault="00574416" w:rsidP="001D4107">
      <w:pPr>
        <w:spacing w:after="1040"/>
        <w:rPr>
          <w:i/>
          <w:lang w:val="ru-RU"/>
        </w:rPr>
      </w:pPr>
      <w:bookmarkStart w:id="4" w:name="Prepared"/>
      <w:bookmarkEnd w:id="3"/>
      <w:bookmarkEnd w:id="4"/>
      <w:r>
        <w:rPr>
          <w:i/>
          <w:lang w:val="ru-RU"/>
        </w:rPr>
        <w:t>Документ подготовлен Международным бюро</w:t>
      </w:r>
    </w:p>
    <w:p w14:paraId="0BC287E1" w14:textId="73199399" w:rsidR="00574416" w:rsidRDefault="006250B3" w:rsidP="00574416">
      <w:pPr>
        <w:pStyle w:val="ONUME"/>
        <w:rPr>
          <w:lang w:val="ru-RU"/>
        </w:rPr>
      </w:pPr>
      <w:r w:rsidRPr="006250B3">
        <w:rPr>
          <w:lang w:val="ru-RU"/>
        </w:rPr>
        <w:t>Все действующие международные органы были назначены Ассамблеей РСТ на срок, заканчивающийся 31 декабря 2027 года. До истечения этого срока Ассамблея должна будет принять решение о продлении назначения каждого из действующих международных органов, который пожелает получить продление срока своего назначения, и для этого предварительно запросить мнение Комитета (см.</w:t>
      </w:r>
      <w:r>
        <w:t> </w:t>
      </w:r>
      <w:r w:rsidRPr="006250B3">
        <w:rPr>
          <w:lang w:val="ru-RU"/>
        </w:rPr>
        <w:t>статьи</w:t>
      </w:r>
      <w:r>
        <w:t> PCT </w:t>
      </w:r>
      <w:r w:rsidRPr="006250B3">
        <w:rPr>
          <w:lang w:val="ru-RU"/>
        </w:rPr>
        <w:t>16(3)(</w:t>
      </w:r>
      <w:r>
        <w:t>e</w:t>
      </w:r>
      <w:r w:rsidRPr="006250B3">
        <w:rPr>
          <w:lang w:val="ru-RU"/>
        </w:rPr>
        <w:t>) и 32(3)). Информация о данной процедуре и роли Комитета приводится в документе</w:t>
      </w:r>
      <w:r>
        <w:t> </w:t>
      </w:r>
      <w:r w:rsidRPr="006250B3">
        <w:rPr>
          <w:lang w:val="ru-RU"/>
        </w:rPr>
        <w:t xml:space="preserve"> </w:t>
      </w:r>
      <w:r>
        <w:t>PCT</w:t>
      </w:r>
      <w:r w:rsidRPr="006250B3">
        <w:rPr>
          <w:lang w:val="ru-RU"/>
        </w:rPr>
        <w:t>/</w:t>
      </w:r>
      <w:r>
        <w:t>CTC</w:t>
      </w:r>
      <w:r w:rsidRPr="006250B3">
        <w:rPr>
          <w:lang w:val="ru-RU"/>
        </w:rPr>
        <w:t>/33/</w:t>
      </w:r>
      <w:r>
        <w:t>INF</w:t>
      </w:r>
      <w:r w:rsidRPr="006250B3">
        <w:rPr>
          <w:lang w:val="ru-RU"/>
        </w:rPr>
        <w:t>/1.</w:t>
      </w:r>
    </w:p>
    <w:p w14:paraId="40E36714" w14:textId="363BA496" w:rsidR="00574416" w:rsidRDefault="006250B3" w:rsidP="00574416">
      <w:pPr>
        <w:pStyle w:val="ONUME"/>
        <w:rPr>
          <w:lang w:val="ru-RU"/>
        </w:rPr>
      </w:pPr>
      <w:r w:rsidRPr="00B03204">
        <w:rPr>
          <w:szCs w:val="22"/>
          <w:lang w:val="ru-RU"/>
        </w:rPr>
        <w:t>24</w:t>
      </w:r>
      <w:r w:rsidRPr="0033011C">
        <w:rPr>
          <w:szCs w:val="22"/>
          <w:lang w:val="ru-RU"/>
        </w:rPr>
        <w:t> ноя</w:t>
      </w:r>
      <w:r w:rsidRPr="00750A25">
        <w:rPr>
          <w:lang w:val="ru-RU"/>
        </w:rPr>
        <w:t>бря</w:t>
      </w:r>
      <w:r w:rsidRPr="0033011C">
        <w:rPr>
          <w:szCs w:val="22"/>
          <w:lang w:val="ru-RU"/>
        </w:rPr>
        <w:t xml:space="preserve"> 20</w:t>
      </w:r>
      <w:r w:rsidRPr="00B03204">
        <w:rPr>
          <w:szCs w:val="22"/>
          <w:lang w:val="ru-RU"/>
        </w:rPr>
        <w:t>25</w:t>
      </w:r>
      <w:r w:rsidRPr="0033011C">
        <w:rPr>
          <w:szCs w:val="22"/>
          <w:lang w:val="ru-RU"/>
        </w:rPr>
        <w:t> г</w:t>
      </w:r>
      <w:r w:rsidRPr="00B03204">
        <w:rPr>
          <w:lang w:val="ru-RU"/>
        </w:rPr>
        <w:t xml:space="preserve"> </w:t>
      </w:r>
      <w:r w:rsidR="00B03204" w:rsidRPr="00B03204">
        <w:rPr>
          <w:lang w:val="ru-RU"/>
        </w:rPr>
        <w:t xml:space="preserve">Евразийское патентное ведомство </w:t>
      </w:r>
      <w:r w:rsidR="00574416" w:rsidRPr="0033011C">
        <w:rPr>
          <w:szCs w:val="22"/>
          <w:lang w:val="ru-RU"/>
        </w:rPr>
        <w:t>подал</w:t>
      </w:r>
      <w:r w:rsidR="00192A3D">
        <w:rPr>
          <w:szCs w:val="22"/>
        </w:rPr>
        <w:t>o</w:t>
      </w:r>
      <w:r w:rsidR="00574416" w:rsidRPr="0033011C">
        <w:rPr>
          <w:szCs w:val="22"/>
          <w:lang w:val="ru-RU"/>
        </w:rPr>
        <w:t xml:space="preserve"> </w:t>
      </w:r>
      <w:r w:rsidRPr="006250B3">
        <w:rPr>
          <w:lang w:val="ru-RU"/>
        </w:rPr>
        <w:t>заявление о продлении своего назначения, которое воспроизводится в приложении к настоящему документу</w:t>
      </w:r>
      <w:r w:rsidR="00574416" w:rsidRPr="00F0401D">
        <w:rPr>
          <w:lang w:val="ru-RU"/>
        </w:rPr>
        <w:t>.</w:t>
      </w:r>
    </w:p>
    <w:p w14:paraId="792C6B24" w14:textId="0DFDF4CE" w:rsidR="00574416" w:rsidRPr="00586897" w:rsidRDefault="00574416" w:rsidP="00652B8E">
      <w:pPr>
        <w:pStyle w:val="ONUME"/>
        <w:tabs>
          <w:tab w:val="left" w:pos="6096"/>
        </w:tabs>
        <w:ind w:left="5533"/>
        <w:rPr>
          <w:i/>
          <w:lang w:val="ru-RU"/>
        </w:rPr>
      </w:pPr>
      <w:r w:rsidRPr="00750A25">
        <w:rPr>
          <w:i/>
          <w:lang w:val="ru-RU"/>
        </w:rPr>
        <w:t>Комитету предлагается высказать свое мнение по данному вопросу.</w:t>
      </w:r>
    </w:p>
    <w:p w14:paraId="6EBD4C7F" w14:textId="77777777" w:rsidR="00586897" w:rsidRPr="003B4CAA" w:rsidRDefault="00586897" w:rsidP="00586897">
      <w:pPr>
        <w:pStyle w:val="ONUME"/>
        <w:numPr>
          <w:ilvl w:val="0"/>
          <w:numId w:val="0"/>
        </w:numPr>
        <w:ind w:left="5103" w:firstLine="430"/>
        <w:rPr>
          <w:lang w:val="ru-RU"/>
        </w:rPr>
        <w:sectPr w:rsidR="00586897" w:rsidRPr="003B4CAA" w:rsidSect="00586897">
          <w:headerReference w:type="default" r:id="rId9"/>
          <w:headerReference w:type="firs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750A25">
        <w:rPr>
          <w:lang w:val="ru-RU"/>
        </w:rPr>
        <w:t>[Приложение следует]</w:t>
      </w:r>
    </w:p>
    <w:p w14:paraId="62CEAD11" w14:textId="77777777" w:rsidR="008956A4" w:rsidRPr="003B4CAA" w:rsidRDefault="008956A4" w:rsidP="00916DFA">
      <w:pPr>
        <w:spacing w:after="100" w:afterAutospacing="1"/>
        <w:outlineLvl w:val="0"/>
        <w:rPr>
          <w:caps/>
          <w:sz w:val="24"/>
          <w:szCs w:val="24"/>
          <w:lang w:val="ru-RU"/>
        </w:rPr>
      </w:pPr>
    </w:p>
    <w:p w14:paraId="2F3A38FA" w14:textId="6C390701" w:rsidR="00916DFA" w:rsidRPr="00EC5B23" w:rsidRDefault="00916DFA" w:rsidP="00EC5B23">
      <w:pPr>
        <w:spacing w:after="100" w:afterAutospacing="1"/>
        <w:jc w:val="center"/>
        <w:outlineLvl w:val="0"/>
        <w:rPr>
          <w:caps/>
          <w:szCs w:val="22"/>
          <w:lang w:val="ru-RU"/>
        </w:rPr>
      </w:pPr>
      <w:r w:rsidRPr="00EC5B23">
        <w:rPr>
          <w:caps/>
          <w:szCs w:val="22"/>
          <w:lang w:val="ru-RU"/>
        </w:rPr>
        <w:t>Заявление о продлении назначения в качестве Международного поискового органа и Органа международной предварительной экспертизы в рамках РСТ</w:t>
      </w:r>
    </w:p>
    <w:p w14:paraId="223DFFFD" w14:textId="3AB790C9" w:rsidR="00652B8E" w:rsidRPr="00652B8E" w:rsidRDefault="00652B8E" w:rsidP="009242EC">
      <w:pPr>
        <w:pStyle w:val="SectionHeading"/>
        <w:rPr>
          <w:lang w:val="ru-RU"/>
        </w:rPr>
      </w:pPr>
      <w:r w:rsidRPr="00652B8E">
        <w:rPr>
          <w:lang w:val="ru-RU"/>
        </w:rPr>
        <w:t>1</w:t>
      </w:r>
      <w:r>
        <w:t> </w:t>
      </w:r>
      <w:r w:rsidRPr="00652B8E">
        <w:rPr>
          <w:lang w:val="ru-RU"/>
        </w:rPr>
        <w:t>– Общие сведения</w:t>
      </w:r>
    </w:p>
    <w:p w14:paraId="3F9259C9" w14:textId="77777777" w:rsidR="00652B8E" w:rsidRDefault="00652B8E" w:rsidP="009242EC">
      <w:pPr>
        <w:pStyle w:val="Question"/>
        <w:spacing w:after="480"/>
      </w:pPr>
      <w:r>
        <w:t>(a)</w:t>
      </w:r>
      <w:r>
        <w:tab/>
        <w:t>Название ведомства или межправительственной организации:</w:t>
      </w:r>
    </w:p>
    <w:p w14:paraId="6C8B5BCB" w14:textId="77777777" w:rsidR="00652B8E" w:rsidRPr="004B1B2B" w:rsidRDefault="00652B8E" w:rsidP="00686A2F">
      <w:pPr>
        <w:pStyle w:val="Answer"/>
        <w:ind w:left="0"/>
      </w:pPr>
      <w:r w:rsidRPr="00603FC4">
        <w:t>Евразийское патентное ведомство Евразийской патентной организации (ЕАПВ)</w:t>
      </w:r>
    </w:p>
    <w:p w14:paraId="394D6A8A" w14:textId="77777777" w:rsidR="00652B8E" w:rsidRPr="00603FC4" w:rsidRDefault="00652B8E" w:rsidP="009242EC">
      <w:pPr>
        <w:pStyle w:val="Question"/>
        <w:spacing w:after="480"/>
      </w:pPr>
      <w:r>
        <w:t>(b)</w:t>
      </w:r>
      <w:r>
        <w:tab/>
        <w:t xml:space="preserve">Имя и контактная информация должностного лица, к которому можно </w:t>
      </w:r>
      <w:r w:rsidRPr="00603FC4">
        <w:t>обратиться с любыми вопросами по поводу настоящего заявления:</w:t>
      </w:r>
    </w:p>
    <w:p w14:paraId="69FD0A45" w14:textId="77777777" w:rsidR="00652B8E" w:rsidRPr="00603FC4" w:rsidRDefault="00652B8E" w:rsidP="00686A2F">
      <w:pPr>
        <w:pStyle w:val="Answer"/>
        <w:ind w:left="0"/>
      </w:pPr>
      <w:r w:rsidRPr="00603FC4">
        <w:t>Михеева Галина Алексеевна, заместитель  начальника Организационно-правового управления –</w:t>
      </w:r>
      <w:r w:rsidRPr="000A2DA1">
        <w:t xml:space="preserve"> </w:t>
      </w:r>
      <w:r w:rsidRPr="00603FC4">
        <w:t>начальник отдела по международным связям</w:t>
      </w:r>
    </w:p>
    <w:p w14:paraId="2B7FE69D" w14:textId="3479528F" w:rsidR="00652B8E" w:rsidRPr="00603FC4" w:rsidRDefault="00652B8E" w:rsidP="00686A2F">
      <w:pPr>
        <w:pStyle w:val="Answer"/>
        <w:ind w:left="0"/>
      </w:pPr>
      <w:r w:rsidRPr="00603FC4">
        <w:t>электронная почта</w:t>
      </w:r>
      <w:r w:rsidR="00686A2F" w:rsidRPr="00397B79">
        <w:t xml:space="preserve">: </w:t>
      </w:r>
      <w:r w:rsidRPr="00603FC4">
        <w:t xml:space="preserve"> </w:t>
      </w:r>
      <w:proofErr w:type="spellStart"/>
      <w:r w:rsidRPr="00EE11FB">
        <w:rPr>
          <w:rStyle w:val="Hyperlink"/>
          <w:bCs/>
          <w:lang w:val="en-US"/>
        </w:rPr>
        <w:t>gmikheeva</w:t>
      </w:r>
      <w:proofErr w:type="spellEnd"/>
      <w:r w:rsidRPr="006250B3">
        <w:rPr>
          <w:rStyle w:val="Hyperlink"/>
          <w:bCs/>
        </w:rPr>
        <w:t>@</w:t>
      </w:r>
      <w:proofErr w:type="spellStart"/>
      <w:r w:rsidRPr="00EE11FB">
        <w:rPr>
          <w:rStyle w:val="Hyperlink"/>
          <w:bCs/>
          <w:lang w:val="en-US"/>
        </w:rPr>
        <w:t>eapo</w:t>
      </w:r>
      <w:proofErr w:type="spellEnd"/>
      <w:r w:rsidRPr="006250B3">
        <w:rPr>
          <w:rStyle w:val="Hyperlink"/>
          <w:bCs/>
        </w:rPr>
        <w:t>.</w:t>
      </w:r>
      <w:r w:rsidRPr="00EE11FB">
        <w:rPr>
          <w:rStyle w:val="Hyperlink"/>
          <w:bCs/>
          <w:lang w:val="en-US"/>
        </w:rPr>
        <w:t>org</w:t>
      </w:r>
    </w:p>
    <w:p w14:paraId="64BEDDF0" w14:textId="77777777" w:rsidR="00652B8E" w:rsidRPr="004B1B2B" w:rsidRDefault="00652B8E" w:rsidP="00686A2F">
      <w:pPr>
        <w:pStyle w:val="Answer"/>
        <w:ind w:left="0"/>
      </w:pPr>
      <w:r w:rsidRPr="00603FC4">
        <w:t>тел. +7 495 4116161 (108)</w:t>
      </w:r>
    </w:p>
    <w:p w14:paraId="09553647" w14:textId="44E87B34" w:rsidR="00652B8E" w:rsidRDefault="00397B79" w:rsidP="009242EC">
      <w:pPr>
        <w:pStyle w:val="Question"/>
      </w:pPr>
      <w:r>
        <w:t>(c)</w:t>
      </w:r>
      <w:r w:rsidR="00652B8E">
        <w:tab/>
        <w:t>Дата получения Генеральным директором заявления о продлении назначения:</w:t>
      </w:r>
    </w:p>
    <w:p w14:paraId="250FFF76" w14:textId="1A0B20B4" w:rsidR="00652B8E" w:rsidRPr="006250B3" w:rsidRDefault="00EC5B23" w:rsidP="009242EC">
      <w:pPr>
        <w:pStyle w:val="Answer"/>
        <w:rPr>
          <w:i/>
        </w:rPr>
      </w:pPr>
      <w:bookmarkStart w:id="5" w:name="_Hlk215569136"/>
      <w:r w:rsidRPr="00B03204">
        <w:rPr>
          <w:szCs w:val="22"/>
        </w:rPr>
        <w:t>24</w:t>
      </w:r>
      <w:r w:rsidRPr="0033011C">
        <w:rPr>
          <w:szCs w:val="22"/>
        </w:rPr>
        <w:t> ноя</w:t>
      </w:r>
      <w:r w:rsidRPr="00750A25">
        <w:t>бря</w:t>
      </w:r>
      <w:r w:rsidRPr="0033011C">
        <w:rPr>
          <w:szCs w:val="22"/>
        </w:rPr>
        <w:t xml:space="preserve"> 20</w:t>
      </w:r>
      <w:r w:rsidRPr="00B03204">
        <w:rPr>
          <w:szCs w:val="22"/>
        </w:rPr>
        <w:t>25</w:t>
      </w:r>
      <w:r w:rsidRPr="0033011C">
        <w:rPr>
          <w:szCs w:val="22"/>
        </w:rPr>
        <w:t> г</w:t>
      </w:r>
      <w:bookmarkEnd w:id="5"/>
      <w:r w:rsidR="00EE11FB" w:rsidRPr="006250B3">
        <w:rPr>
          <w:szCs w:val="22"/>
        </w:rPr>
        <w:t>.</w:t>
      </w:r>
    </w:p>
    <w:p w14:paraId="71C81826" w14:textId="77777777" w:rsidR="00652B8E" w:rsidRPr="00652B8E" w:rsidRDefault="00652B8E" w:rsidP="009242EC">
      <w:pPr>
        <w:pStyle w:val="SectionHeading"/>
        <w:rPr>
          <w:lang w:val="ru-RU"/>
        </w:rPr>
      </w:pPr>
      <w:r w:rsidRPr="00652B8E">
        <w:rPr>
          <w:lang w:val="ru-RU"/>
        </w:rPr>
        <w:t>2</w:t>
      </w:r>
      <w:r>
        <w:t> </w:t>
      </w:r>
      <w:r w:rsidRPr="00652B8E">
        <w:rPr>
          <w:lang w:val="ru-RU"/>
        </w:rPr>
        <w:t>– Минимум требований для назначения</w:t>
      </w:r>
    </w:p>
    <w:p w14:paraId="2453522F" w14:textId="4CED59E8" w:rsidR="00652B8E" w:rsidRPr="00652B8E" w:rsidRDefault="00652B8E" w:rsidP="009242EC">
      <w:pPr>
        <w:rPr>
          <w:lang w:val="ru-RU"/>
        </w:rPr>
      </w:pPr>
      <w:r w:rsidRPr="00652B8E">
        <w:rPr>
          <w:lang w:val="ru-RU"/>
        </w:rPr>
        <w:t>В дополнение к ежегодному отчету ЕАПВ о системе управления качеством за 2025</w:t>
      </w:r>
      <w:r>
        <w:t> </w:t>
      </w:r>
      <w:r w:rsidRPr="00652B8E">
        <w:rPr>
          <w:lang w:val="ru-RU"/>
        </w:rPr>
        <w:t xml:space="preserve">год («отчет о системе УК» </w:t>
      </w:r>
      <w:r w:rsidR="001863D4">
        <w:fldChar w:fldCharType="begin"/>
      </w:r>
      <w:r w:rsidR="001863D4">
        <w:instrText>HYPERLINK "https://www.wipo.int/en/web/pct-system/quality/authorities" \l "EA"</w:instrText>
      </w:r>
      <w:r w:rsidR="001863D4">
        <w:fldChar w:fldCharType="separate"/>
      </w:r>
      <w:r w:rsidR="001863D4" w:rsidRPr="00EE11FB">
        <w:rPr>
          <w:rStyle w:val="Hyperlink"/>
          <w:bCs/>
        </w:rPr>
        <w:t>https</w:t>
      </w:r>
      <w:r w:rsidR="001863D4" w:rsidRPr="006250B3">
        <w:rPr>
          <w:rStyle w:val="Hyperlink"/>
          <w:bCs/>
          <w:lang w:val="ru-RU"/>
        </w:rPr>
        <w:t>://</w:t>
      </w:r>
      <w:r w:rsidR="001863D4" w:rsidRPr="00EE11FB">
        <w:rPr>
          <w:rStyle w:val="Hyperlink"/>
          <w:bCs/>
        </w:rPr>
        <w:t>www</w:t>
      </w:r>
      <w:r w:rsidR="001863D4" w:rsidRPr="006250B3">
        <w:rPr>
          <w:rStyle w:val="Hyperlink"/>
          <w:bCs/>
          <w:lang w:val="ru-RU"/>
        </w:rPr>
        <w:t>.</w:t>
      </w:r>
      <w:proofErr w:type="spellStart"/>
      <w:r w:rsidR="001863D4" w:rsidRPr="00EE11FB">
        <w:rPr>
          <w:rStyle w:val="Hyperlink"/>
          <w:bCs/>
        </w:rPr>
        <w:t>wipo</w:t>
      </w:r>
      <w:proofErr w:type="spellEnd"/>
      <w:r w:rsidR="001863D4" w:rsidRPr="006250B3">
        <w:rPr>
          <w:rStyle w:val="Hyperlink"/>
          <w:bCs/>
          <w:lang w:val="ru-RU"/>
        </w:rPr>
        <w:t>.</w:t>
      </w:r>
      <w:r w:rsidR="001863D4" w:rsidRPr="00EE11FB">
        <w:rPr>
          <w:rStyle w:val="Hyperlink"/>
          <w:bCs/>
        </w:rPr>
        <w:t>int</w:t>
      </w:r>
      <w:r w:rsidR="001863D4" w:rsidRPr="006250B3">
        <w:rPr>
          <w:rStyle w:val="Hyperlink"/>
          <w:bCs/>
          <w:lang w:val="ru-RU"/>
        </w:rPr>
        <w:t>/</w:t>
      </w:r>
      <w:proofErr w:type="spellStart"/>
      <w:r w:rsidR="001863D4" w:rsidRPr="00EE11FB">
        <w:rPr>
          <w:rStyle w:val="Hyperlink"/>
          <w:bCs/>
        </w:rPr>
        <w:t>en</w:t>
      </w:r>
      <w:proofErr w:type="spellEnd"/>
      <w:r w:rsidR="001863D4" w:rsidRPr="006250B3">
        <w:rPr>
          <w:rStyle w:val="Hyperlink"/>
          <w:bCs/>
          <w:lang w:val="ru-RU"/>
        </w:rPr>
        <w:t>/</w:t>
      </w:r>
      <w:r w:rsidR="001863D4" w:rsidRPr="00EE11FB">
        <w:rPr>
          <w:rStyle w:val="Hyperlink"/>
          <w:bCs/>
        </w:rPr>
        <w:t>web</w:t>
      </w:r>
      <w:r w:rsidR="001863D4" w:rsidRPr="006250B3">
        <w:rPr>
          <w:rStyle w:val="Hyperlink"/>
          <w:bCs/>
          <w:lang w:val="ru-RU"/>
        </w:rPr>
        <w:t>/</w:t>
      </w:r>
      <w:r w:rsidR="001863D4" w:rsidRPr="00EE11FB">
        <w:rPr>
          <w:rStyle w:val="Hyperlink"/>
          <w:bCs/>
        </w:rPr>
        <w:t>pct</w:t>
      </w:r>
      <w:r w:rsidR="001863D4" w:rsidRPr="006250B3">
        <w:rPr>
          <w:rStyle w:val="Hyperlink"/>
          <w:bCs/>
          <w:lang w:val="ru-RU"/>
        </w:rPr>
        <w:t>-</w:t>
      </w:r>
      <w:r w:rsidR="001863D4" w:rsidRPr="00EE11FB">
        <w:rPr>
          <w:rStyle w:val="Hyperlink"/>
          <w:bCs/>
        </w:rPr>
        <w:t>system</w:t>
      </w:r>
      <w:r w:rsidR="001863D4" w:rsidRPr="006250B3">
        <w:rPr>
          <w:rStyle w:val="Hyperlink"/>
          <w:bCs/>
          <w:lang w:val="ru-RU"/>
        </w:rPr>
        <w:t>/</w:t>
      </w:r>
      <w:r w:rsidR="001863D4" w:rsidRPr="00EE11FB">
        <w:rPr>
          <w:rStyle w:val="Hyperlink"/>
          <w:bCs/>
        </w:rPr>
        <w:t>quality</w:t>
      </w:r>
      <w:r w:rsidR="001863D4" w:rsidRPr="006250B3">
        <w:rPr>
          <w:rStyle w:val="Hyperlink"/>
          <w:bCs/>
          <w:lang w:val="ru-RU"/>
        </w:rPr>
        <w:t>/</w:t>
      </w:r>
      <w:r w:rsidR="001863D4" w:rsidRPr="00EE11FB">
        <w:rPr>
          <w:rStyle w:val="Hyperlink"/>
          <w:bCs/>
        </w:rPr>
        <w:t>authorities</w:t>
      </w:r>
      <w:r w:rsidR="001863D4" w:rsidRPr="006250B3">
        <w:rPr>
          <w:rStyle w:val="Hyperlink"/>
          <w:bCs/>
          <w:lang w:val="ru-RU"/>
        </w:rPr>
        <w:t>#</w:t>
      </w:r>
      <w:r w:rsidR="001863D4" w:rsidRPr="00EE11FB">
        <w:rPr>
          <w:rStyle w:val="Hyperlink"/>
          <w:bCs/>
        </w:rPr>
        <w:t>EA</w:t>
      </w:r>
      <w:r w:rsidR="001863D4">
        <w:fldChar w:fldCharType="end"/>
      </w:r>
      <w:r w:rsidRPr="00652B8E">
        <w:rPr>
          <w:lang w:val="ru-RU"/>
        </w:rPr>
        <w:t>), подготовленному в соответствии с пунктами</w:t>
      </w:r>
      <w:r>
        <w:t> </w:t>
      </w:r>
      <w:r w:rsidRPr="00652B8E">
        <w:rPr>
          <w:lang w:val="ru-RU"/>
        </w:rPr>
        <w:t>21.31 и</w:t>
      </w:r>
      <w:r>
        <w:t> </w:t>
      </w:r>
      <w:r w:rsidRPr="00652B8E">
        <w:rPr>
          <w:lang w:val="ru-RU"/>
        </w:rPr>
        <w:t>21.32 Руководства по проведению международного поиска и международной предварительной экспертизы («Руководство»), ЕАПВ предоставляет следующую информацию.</w:t>
      </w:r>
    </w:p>
    <w:p w14:paraId="2B84899A" w14:textId="77777777" w:rsidR="00652B8E" w:rsidRPr="00652B8E" w:rsidRDefault="00652B8E" w:rsidP="009242EC">
      <w:pPr>
        <w:pStyle w:val="SectionHeading"/>
        <w:rPr>
          <w:lang w:val="ru-RU"/>
        </w:rPr>
      </w:pPr>
      <w:r w:rsidRPr="00652B8E">
        <w:rPr>
          <w:lang w:val="ru-RU"/>
        </w:rPr>
        <w:lastRenderedPageBreak/>
        <w:t>2.1</w:t>
      </w:r>
      <w:r>
        <w:t> </w:t>
      </w:r>
      <w:r w:rsidRPr="00652B8E">
        <w:rPr>
          <w:lang w:val="ru-RU"/>
        </w:rPr>
        <w:t>– Возможности для проведения поиска и экспертизы</w:t>
      </w:r>
    </w:p>
    <w:p w14:paraId="169F9916" w14:textId="77777777" w:rsidR="00652B8E" w:rsidRDefault="00652B8E" w:rsidP="009242EC">
      <w:pPr>
        <w:pStyle w:val="RuleQuote"/>
      </w:pPr>
      <w:r>
        <w:t>Правила 36.1(i) и 63.1(i).  Национальное ведомство или межправительственная организация должны иметь по крайней мере 100 сотрудников, занятых полную рабочую неделю и обладающих достаточной технической квалификацией для проведения поиска и экспертизы.</w:t>
      </w:r>
    </w:p>
    <w:p w14:paraId="03C0A70E" w14:textId="77777777" w:rsidR="00652B8E" w:rsidRPr="00603FC4" w:rsidRDefault="00652B8E" w:rsidP="009242EC">
      <w:pPr>
        <w:pStyle w:val="RuleQuote"/>
        <w:ind w:left="0"/>
        <w:rPr>
          <w:i w:val="0"/>
          <w:iCs w:val="0"/>
        </w:rPr>
      </w:pPr>
      <w:r w:rsidRPr="00603FC4">
        <w:rPr>
          <w:i w:val="0"/>
        </w:rPr>
        <w:t xml:space="preserve">Отчет о системе УК содержит предоставленную ЕАПВ информацию об имеющейся инфраструктуре для обеспечения достаточного количества обладающих технической квалификацией сотрудников в соответствии с пунктом 21.15(i) Руководства, а также о программах обучения и повышения квалификации сотрудников, участвующих в процессе поиска и экспертизы, в соответствии с пунктом 21.15(vi). ЕАПВ также указывает следующую информацию о количестве сотрудников, обладающих квалификацией для проведения поиска и экспертизы.   </w:t>
      </w:r>
    </w:p>
    <w:p w14:paraId="10D57132" w14:textId="77777777" w:rsidR="00652B8E" w:rsidRPr="00371CBD" w:rsidRDefault="00652B8E" w:rsidP="009242EC">
      <w:pPr>
        <w:pStyle w:val="Question"/>
        <w:spacing w:after="480"/>
      </w:pPr>
      <w:r w:rsidRPr="00603FC4">
        <w:t>Количество сотрудников, обладающих квалификацией для проведения поиска и экспертизы:</w:t>
      </w:r>
    </w:p>
    <w:tbl>
      <w:tblPr>
        <w:tblpPr w:leftFromText="180" w:rightFromText="180" w:bottomFromText="200" w:vertAnchor="text" w:horzAnchor="margin" w:tblpX="216" w:tblpY="123"/>
        <w:tblW w:w="8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91"/>
        <w:gridCol w:w="2499"/>
        <w:gridCol w:w="2855"/>
      </w:tblGrid>
      <w:tr w:rsidR="00652B8E" w:rsidRPr="00533F95" w14:paraId="00B52E46" w14:textId="77777777" w:rsidTr="00434476">
        <w:trPr>
          <w:cantSplit/>
          <w:trHeight w:val="1167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44BFA" w14:textId="77777777" w:rsidR="00652B8E" w:rsidRPr="00223B4C" w:rsidRDefault="00652B8E" w:rsidP="009242EC">
            <w:pPr>
              <w:pStyle w:val="Answer"/>
              <w:rPr>
                <w:b/>
                <w:bCs/>
              </w:rPr>
            </w:pPr>
            <w:r w:rsidRPr="00223B4C">
              <w:rPr>
                <w:b/>
              </w:rPr>
              <w:t>Область техники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3943C" w14:textId="77777777" w:rsidR="00652B8E" w:rsidRPr="00223B4C" w:rsidRDefault="00652B8E" w:rsidP="009242EC">
            <w:pPr>
              <w:pStyle w:val="Answer"/>
              <w:ind w:left="0"/>
              <w:rPr>
                <w:b/>
              </w:rPr>
            </w:pPr>
            <w:r w:rsidRPr="00223B4C">
              <w:rPr>
                <w:b/>
              </w:rPr>
              <w:t xml:space="preserve">Число </w:t>
            </w:r>
            <w:r w:rsidRPr="00223B4C">
              <w:rPr>
                <w:b/>
              </w:rPr>
              <w:br/>
              <w:t xml:space="preserve">(из расчета занятости </w:t>
            </w:r>
            <w:r w:rsidRPr="00223B4C">
              <w:rPr>
                <w:b/>
              </w:rPr>
              <w:br/>
              <w:t>на полный рабочий день)</w:t>
            </w:r>
          </w:p>
          <w:p w14:paraId="231A702E" w14:textId="77777777" w:rsidR="00652B8E" w:rsidRPr="00223B4C" w:rsidRDefault="00652B8E" w:rsidP="009242EC">
            <w:pPr>
              <w:pStyle w:val="Answer"/>
              <w:ind w:left="0"/>
              <w:rPr>
                <w:b/>
                <w:bCs/>
              </w:rPr>
            </w:pP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E58E5" w14:textId="77777777" w:rsidR="00652B8E" w:rsidRPr="00223B4C" w:rsidRDefault="00652B8E" w:rsidP="009242EC">
            <w:pPr>
              <w:pStyle w:val="Answer"/>
              <w:ind w:left="0"/>
              <w:rPr>
                <w:b/>
              </w:rPr>
            </w:pPr>
            <w:r>
              <w:rPr>
                <w:b/>
              </w:rPr>
              <w:t>Гендерное представительство (мужчины/женщины)</w:t>
            </w:r>
          </w:p>
        </w:tc>
      </w:tr>
      <w:tr w:rsidR="00652B8E" w:rsidRPr="00533F95" w14:paraId="1E441DCB" w14:textId="77777777" w:rsidTr="00434476">
        <w:trPr>
          <w:cantSplit/>
          <w:trHeight w:val="491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CE82E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>Химия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401C2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>34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434A4" w14:textId="77777777" w:rsidR="00652B8E" w:rsidRPr="00223B4C" w:rsidRDefault="00652B8E" w:rsidP="009242EC">
            <w:pPr>
              <w:pStyle w:val="Answer"/>
              <w:ind w:left="0"/>
            </w:pPr>
            <w:r>
              <w:t>13/21</w:t>
            </w:r>
          </w:p>
        </w:tc>
      </w:tr>
      <w:tr w:rsidR="00652B8E" w:rsidRPr="00533F95" w14:paraId="66D92ED0" w14:textId="77777777" w:rsidTr="00434476">
        <w:trPr>
          <w:cantSplit/>
          <w:trHeight w:val="498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C0A6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>Биотехнология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67A39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>14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B8EFD" w14:textId="77777777" w:rsidR="00652B8E" w:rsidRPr="00223B4C" w:rsidRDefault="00652B8E" w:rsidP="009242EC">
            <w:pPr>
              <w:pStyle w:val="Answer"/>
              <w:ind w:left="0"/>
            </w:pPr>
            <w:r>
              <w:t>5/9</w:t>
            </w:r>
          </w:p>
        </w:tc>
      </w:tr>
      <w:tr w:rsidR="00652B8E" w:rsidRPr="00533F95" w14:paraId="4CE0C616" w14:textId="77777777" w:rsidTr="00434476">
        <w:trPr>
          <w:cantSplit/>
          <w:trHeight w:val="664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D687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 xml:space="preserve">Фармацевтика </w:t>
            </w:r>
            <w:r w:rsidRPr="00223B4C">
              <w:br/>
              <w:t>и медицина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3C145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>16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A782A" w14:textId="77777777" w:rsidR="00652B8E" w:rsidRPr="00223B4C" w:rsidRDefault="00652B8E" w:rsidP="009242EC">
            <w:pPr>
              <w:pStyle w:val="Answer"/>
              <w:ind w:left="0"/>
            </w:pPr>
            <w:r>
              <w:t>7/9</w:t>
            </w:r>
          </w:p>
        </w:tc>
      </w:tr>
      <w:tr w:rsidR="00652B8E" w:rsidRPr="00533F95" w14:paraId="72E8B362" w14:textId="77777777" w:rsidTr="00434476">
        <w:trPr>
          <w:cantSplit/>
          <w:trHeight w:val="896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C2A3C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>Информационные и коммуникационные технологии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D1D61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>15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D0D6B" w14:textId="77777777" w:rsidR="00652B8E" w:rsidRPr="00223B4C" w:rsidRDefault="00652B8E" w:rsidP="009242EC">
            <w:pPr>
              <w:pStyle w:val="Answer"/>
              <w:ind w:left="0"/>
            </w:pPr>
            <w:r>
              <w:t>12/3</w:t>
            </w:r>
          </w:p>
        </w:tc>
      </w:tr>
      <w:tr w:rsidR="00652B8E" w:rsidRPr="00533F95" w14:paraId="08BE3AFC" w14:textId="77777777" w:rsidTr="00434476">
        <w:trPr>
          <w:cantSplit/>
          <w:trHeight w:val="664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6BDFF" w14:textId="77777777" w:rsidR="00652B8E" w:rsidRPr="00223B4C" w:rsidRDefault="00652B8E" w:rsidP="009242EC">
            <w:pPr>
              <w:pStyle w:val="Answer"/>
              <w:ind w:left="0"/>
            </w:pPr>
            <w:r w:rsidRPr="00223B4C">
              <w:t xml:space="preserve"> Механика, электроника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C22B" w14:textId="77777777" w:rsidR="00652B8E" w:rsidRPr="00223B4C" w:rsidRDefault="00652B8E" w:rsidP="009242EC">
            <w:pPr>
              <w:pStyle w:val="Answer"/>
              <w:ind w:left="0"/>
            </w:pPr>
            <w:r>
              <w:t>26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CBFFE" w14:textId="77777777" w:rsidR="00652B8E" w:rsidRPr="00223B4C" w:rsidRDefault="00652B8E" w:rsidP="009242EC">
            <w:pPr>
              <w:pStyle w:val="Answer"/>
              <w:ind w:left="0"/>
            </w:pPr>
            <w:r>
              <w:t>19/7</w:t>
            </w:r>
          </w:p>
        </w:tc>
      </w:tr>
      <w:tr w:rsidR="00652B8E" w:rsidRPr="00941C9B" w14:paraId="7ACC5713" w14:textId="77777777" w:rsidTr="00434476">
        <w:trPr>
          <w:cantSplit/>
          <w:trHeight w:val="469"/>
        </w:trPr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98282" w14:textId="77777777" w:rsidR="00652B8E" w:rsidRPr="00223B4C" w:rsidRDefault="00652B8E" w:rsidP="009242EC">
            <w:pPr>
              <w:pStyle w:val="Answer"/>
              <w:ind w:left="0"/>
              <w:rPr>
                <w:b/>
                <w:iCs/>
              </w:rPr>
            </w:pPr>
            <w:r w:rsidRPr="00223B4C">
              <w:rPr>
                <w:b/>
              </w:rPr>
              <w:t>Всего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40681B" w14:textId="77777777" w:rsidR="00652B8E" w:rsidRPr="00223B4C" w:rsidRDefault="00652B8E" w:rsidP="009242EC">
            <w:pPr>
              <w:pStyle w:val="Answer"/>
              <w:ind w:left="0"/>
              <w:rPr>
                <w:b/>
                <w:iCs/>
              </w:rPr>
            </w:pPr>
            <w:r w:rsidRPr="00223B4C">
              <w:rPr>
                <w:b/>
              </w:rPr>
              <w:t>105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9418" w14:textId="77777777" w:rsidR="00652B8E" w:rsidRPr="00223B4C" w:rsidRDefault="00652B8E" w:rsidP="009242EC">
            <w:pPr>
              <w:pStyle w:val="Answer"/>
              <w:ind w:left="0"/>
              <w:rPr>
                <w:b/>
              </w:rPr>
            </w:pPr>
            <w:r>
              <w:rPr>
                <w:b/>
              </w:rPr>
              <w:t>56/49</w:t>
            </w:r>
          </w:p>
        </w:tc>
      </w:tr>
    </w:tbl>
    <w:p w14:paraId="0C356592" w14:textId="77777777" w:rsidR="00652B8E" w:rsidRPr="00371CBD" w:rsidRDefault="00652B8E" w:rsidP="009242EC">
      <w:pPr>
        <w:pStyle w:val="RuleQuote"/>
        <w:ind w:left="0"/>
        <w:rPr>
          <w:i w:val="0"/>
          <w:iCs w:val="0"/>
        </w:rPr>
      </w:pPr>
      <w:r w:rsidRPr="00603FC4">
        <w:rPr>
          <w:i w:val="0"/>
        </w:rPr>
        <w:lastRenderedPageBreak/>
        <w:t>Прочая информация, помимо отчета о системе УК и</w:t>
      </w:r>
      <w:r>
        <w:rPr>
          <w:i w:val="0"/>
        </w:rPr>
        <w:t xml:space="preserve"> приведенной выше таблицы :</w:t>
      </w:r>
    </w:p>
    <w:p w14:paraId="77865AA4" w14:textId="77777777" w:rsidR="00652B8E" w:rsidRPr="00B91A10" w:rsidRDefault="00652B8E" w:rsidP="009242EC">
      <w:pPr>
        <w:pStyle w:val="Question"/>
        <w:spacing w:before="240" w:after="480"/>
        <w:rPr>
          <w:rFonts w:eastAsia="Times New Roman"/>
          <w:b w:val="0"/>
          <w:kern w:val="32"/>
          <w:szCs w:val="32"/>
        </w:rPr>
      </w:pPr>
      <w:r w:rsidRPr="000E1D97">
        <w:rPr>
          <w:rFonts w:eastAsia="Times New Roman"/>
          <w:b w:val="0"/>
          <w:kern w:val="32"/>
          <w:szCs w:val="32"/>
        </w:rPr>
        <w:t>Система управления качеством в ЕАПВ обеспечивается инклюзивной командой профессионалов из государств-членов Евразийской патентной организации (ЕАПО). Для развития кадрового многообразия ежегодно реализуется стипендиальная программа для привлечения экспертов из стран, наименее представленных в штате ЕАПВ.</w:t>
      </w:r>
      <w:r w:rsidRPr="00B91A10">
        <w:rPr>
          <w:rFonts w:eastAsia="Times New Roman"/>
          <w:b w:val="0"/>
          <w:kern w:val="32"/>
          <w:szCs w:val="32"/>
        </w:rPr>
        <w:t xml:space="preserve">  </w:t>
      </w:r>
    </w:p>
    <w:p w14:paraId="78504627" w14:textId="77777777" w:rsidR="00652B8E" w:rsidRPr="00652B8E" w:rsidRDefault="00652B8E" w:rsidP="009242EC">
      <w:pPr>
        <w:pStyle w:val="SectionHeading"/>
        <w:rPr>
          <w:lang w:val="ru-RU"/>
        </w:rPr>
      </w:pPr>
      <w:r w:rsidRPr="00652B8E">
        <w:rPr>
          <w:lang w:val="ru-RU"/>
        </w:rPr>
        <w:t>2.2</w:t>
      </w:r>
      <w:r>
        <w:t> </w:t>
      </w:r>
      <w:r w:rsidRPr="00652B8E">
        <w:rPr>
          <w:lang w:val="ru-RU"/>
        </w:rPr>
        <w:t>– Минимум документации – предоставление для ознакомления</w:t>
      </w:r>
    </w:p>
    <w:p w14:paraId="3AA03AAF" w14:textId="77777777" w:rsidR="00652B8E" w:rsidRDefault="00652B8E" w:rsidP="009242EC">
      <w:pPr>
        <w:pStyle w:val="RuleQuote"/>
      </w:pPr>
      <w:r>
        <w:t>Правила 36.1(ii) и 63.1(ii).  Это ведомство или организация должны в рамках минимума документации, упомянутого в правиле 34, предоставлять для ознакомления любой патент и любую патентную заявку, выданные или опубликованные ими и, если применимо, их правопредшественником(-ами), в соответствии с требованиями, установленными Административной инструкцией.</w:t>
      </w:r>
    </w:p>
    <w:p w14:paraId="0EED0129" w14:textId="1709A51B" w:rsidR="00AC3291" w:rsidRPr="00365539" w:rsidRDefault="00652B8E" w:rsidP="00AC3291">
      <w:pPr>
        <w:pStyle w:val="RuleQuote"/>
      </w:pPr>
      <w:r>
        <w:t xml:space="preserve">Требования, указанные в Административной инструкции, изложены в </w:t>
      </w:r>
      <w:r>
        <w:fldChar w:fldCharType="begin"/>
      </w:r>
      <w:r>
        <w:instrText>HYPERLINK "https://www.wipo.int/export/sites/www/pct/en/docs/circulars/2024/1672.pdf"</w:instrText>
      </w:r>
      <w:r>
        <w:fldChar w:fldCharType="separate"/>
      </w:r>
      <w:r w:rsidRPr="00EE11FB">
        <w:rPr>
          <w:rStyle w:val="Hyperlink"/>
        </w:rPr>
        <w:t>циркуляре</w:t>
      </w:r>
      <w:r w:rsidRPr="00EE11FB">
        <w:rPr>
          <w:rStyle w:val="Hyperlink"/>
          <w:lang w:val="en-US"/>
        </w:rPr>
        <w:t> C</w:t>
      </w:r>
      <w:r w:rsidRPr="00EE11FB">
        <w:rPr>
          <w:rStyle w:val="Hyperlink"/>
        </w:rPr>
        <w:t>.</w:t>
      </w:r>
      <w:r w:rsidRPr="00EE11FB">
        <w:rPr>
          <w:rStyle w:val="Hyperlink"/>
          <w:lang w:val="en-US"/>
        </w:rPr>
        <w:t> PCT </w:t>
      </w:r>
      <w:r w:rsidRPr="00EE11FB">
        <w:rPr>
          <w:rStyle w:val="Hyperlink"/>
        </w:rPr>
        <w:t>1672</w:t>
      </w:r>
      <w:r>
        <w:fldChar w:fldCharType="end"/>
      </w:r>
      <w:r>
        <w:t xml:space="preserve"> от 19 июня 2024 года.</w:t>
      </w:r>
    </w:p>
    <w:p w14:paraId="58D27BC7" w14:textId="43CF9393" w:rsidR="00AC3291" w:rsidRPr="00523D75" w:rsidRDefault="00AC3291" w:rsidP="00AC3291">
      <w:pPr>
        <w:pStyle w:val="RuleQuote"/>
        <w:ind w:left="0"/>
      </w:pPr>
      <w:r w:rsidRPr="00523D75">
        <w:rPr>
          <w:i w:val="0"/>
          <w:iCs w:val="0"/>
          <w:color w:val="000000" w:themeColor="text1"/>
        </w:rPr>
        <w:t>О предоставлении для ознакомления любого патента и любой патентной заявки, выданных или опубликованных ведомством либо, если применимо, ведомствами, являющимися членами межправительственной организации, в рамках минимума документации, упомянутого в правиле 34, в соответствии с договоренностью, принятой Ассамблеей РСТ в пункте 8 документа PCT/A/55/2, сообщается следующее:</w:t>
      </w:r>
      <w:r w:rsidRPr="00523D75">
        <w:rPr>
          <w:i w:val="0"/>
          <w:iCs w:val="0"/>
          <w:color w:val="000000" w:themeColor="text1"/>
        </w:rPr>
        <w:br/>
      </w:r>
      <w:r w:rsidRPr="00523D75">
        <w:rPr>
          <w:color w:val="000000" w:themeColor="text1"/>
        </w:rPr>
        <w:br/>
      </w:r>
      <w:r w:rsidR="00523D75" w:rsidRPr="00523D75">
        <w:rPr>
          <w:color w:val="000000" w:themeColor="text1"/>
        </w:rPr>
        <w:t>л</w:t>
      </w:r>
      <w:r w:rsidRPr="00523D75">
        <w:rPr>
          <w:i w:val="0"/>
          <w:iCs w:val="0"/>
          <w:color w:val="000000" w:themeColor="text1"/>
        </w:rPr>
        <w:t>ибо</w:t>
      </w:r>
      <w:r w:rsidR="00523D75" w:rsidRPr="00523D75">
        <w:rPr>
          <w:i w:val="0"/>
          <w:iCs w:val="0"/>
          <w:color w:val="000000" w:themeColor="text1"/>
        </w:rPr>
        <w:t>:</w:t>
      </w:r>
    </w:p>
    <w:p w14:paraId="56270DE5" w14:textId="3F015A23" w:rsidR="00652B8E" w:rsidRPr="00523D75" w:rsidRDefault="001A0A08" w:rsidP="009242EC">
      <w:pPr>
        <w:pStyle w:val="Question"/>
        <w:spacing w:after="0"/>
        <w:rPr>
          <w:b w:val="0"/>
        </w:rPr>
      </w:pPr>
      <w:sdt>
        <w:sdtPr>
          <w:rPr>
            <w:b w:val="0"/>
            <w:bCs w:val="0"/>
          </w:rPr>
          <w:id w:val="-17812231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2B8E" w:rsidRPr="00523D75">
            <w:rPr>
              <w:rFonts w:ascii="MS Gothic" w:eastAsia="MS Gothic" w:hAnsi="MS Gothic" w:hint="eastAsia"/>
              <w:b w:val="0"/>
              <w:bCs w:val="0"/>
            </w:rPr>
            <w:t>☒</w:t>
          </w:r>
        </w:sdtContent>
      </w:sdt>
      <w:r w:rsidR="00652B8E" w:rsidRPr="00523D75">
        <w:rPr>
          <w:b w:val="0"/>
        </w:rPr>
        <w:t xml:space="preserve"> «Целевая группа по минимуму документации PCT проверила наличие фондов патентной документации в период до 1 ноября 2025 года и подтверждает, что требования соблюдены.  Информация об объеме и формате документов, которые были предоставлены ЕАПВ для ознакомления, опубликована в Бюллетене PCT </w:t>
      </w:r>
      <w:r w:rsidR="00EC5B23" w:rsidRPr="00523D75">
        <w:rPr>
          <w:b w:val="0"/>
          <w:bCs w:val="0"/>
        </w:rPr>
        <w:t>2</w:t>
      </w:r>
      <w:r w:rsidR="00925D57" w:rsidRPr="00523D75">
        <w:rPr>
          <w:b w:val="0"/>
          <w:bCs w:val="0"/>
        </w:rPr>
        <w:t>3</w:t>
      </w:r>
      <w:r w:rsidR="00EC5B23" w:rsidRPr="00523D75">
        <w:rPr>
          <w:b w:val="0"/>
          <w:bCs w:val="0"/>
        </w:rPr>
        <w:t> </w:t>
      </w:r>
      <w:r w:rsidR="00925D57" w:rsidRPr="00523D75">
        <w:rPr>
          <w:b w:val="0"/>
          <w:bCs w:val="0"/>
        </w:rPr>
        <w:t>октября</w:t>
      </w:r>
      <w:r w:rsidR="00EC5B23" w:rsidRPr="00523D75">
        <w:rPr>
          <w:b w:val="0"/>
          <w:bCs w:val="0"/>
        </w:rPr>
        <w:t xml:space="preserve"> 2025</w:t>
      </w:r>
      <w:r w:rsidR="00EC5B23" w:rsidRPr="00523D75">
        <w:t> </w:t>
      </w:r>
      <w:r w:rsidR="00652B8E" w:rsidRPr="00523D75">
        <w:rPr>
          <w:b w:val="0"/>
        </w:rPr>
        <w:t xml:space="preserve"> года</w:t>
      </w:r>
      <w:r w:rsidR="00824216" w:rsidRPr="00523D75">
        <w:rPr>
          <w:b w:val="0"/>
        </w:rPr>
        <w:t xml:space="preserve"> </w:t>
      </w:r>
      <w:r w:rsidR="00325271" w:rsidRPr="00523D75">
        <w:rPr>
          <w:b w:val="0"/>
        </w:rPr>
        <w:t>по следующей ссылке</w:t>
      </w:r>
      <w:r w:rsidR="00325271" w:rsidRPr="00523D75">
        <w:rPr>
          <w:b w:val="0"/>
          <w:bCs w:val="0"/>
        </w:rPr>
        <w:t xml:space="preserve"> </w:t>
      </w:r>
      <w:hyperlink r:id="rId11" w:anchor="page=190" w:history="1">
        <w:r w:rsidR="00E820EE" w:rsidRPr="00EE11FB">
          <w:rPr>
            <w:rStyle w:val="Hyperlink"/>
            <w:b w:val="0"/>
            <w:szCs w:val="20"/>
            <w:lang w:val="en-US"/>
          </w:rPr>
          <w:t>https</w:t>
        </w:r>
        <w:r w:rsidR="00E820EE" w:rsidRPr="006250B3">
          <w:rPr>
            <w:rStyle w:val="Hyperlink"/>
            <w:b w:val="0"/>
            <w:szCs w:val="20"/>
          </w:rPr>
          <w:t>://</w:t>
        </w:r>
        <w:r w:rsidR="00E820EE" w:rsidRPr="00EE11FB">
          <w:rPr>
            <w:rStyle w:val="Hyperlink"/>
            <w:b w:val="0"/>
            <w:szCs w:val="20"/>
            <w:lang w:val="en-US"/>
          </w:rPr>
          <w:t>www</w:t>
        </w:r>
        <w:r w:rsidR="00E820EE" w:rsidRPr="006250B3">
          <w:rPr>
            <w:rStyle w:val="Hyperlink"/>
            <w:b w:val="0"/>
            <w:szCs w:val="20"/>
          </w:rPr>
          <w:t>.</w:t>
        </w:r>
        <w:proofErr w:type="spellStart"/>
        <w:r w:rsidR="00E820EE" w:rsidRPr="00EE11FB">
          <w:rPr>
            <w:rStyle w:val="Hyperlink"/>
            <w:b w:val="0"/>
            <w:szCs w:val="20"/>
            <w:lang w:val="en-US"/>
          </w:rPr>
          <w:t>wipo</w:t>
        </w:r>
        <w:proofErr w:type="spellEnd"/>
        <w:r w:rsidR="00E820EE" w:rsidRPr="006250B3">
          <w:rPr>
            <w:rStyle w:val="Hyperlink"/>
            <w:b w:val="0"/>
            <w:szCs w:val="20"/>
          </w:rPr>
          <w:t>.</w:t>
        </w:r>
        <w:r w:rsidR="00E820EE" w:rsidRPr="00EE11FB">
          <w:rPr>
            <w:rStyle w:val="Hyperlink"/>
            <w:b w:val="0"/>
            <w:szCs w:val="20"/>
            <w:lang w:val="en-US"/>
          </w:rPr>
          <w:t>int</w:t>
        </w:r>
        <w:r w:rsidR="00E820EE" w:rsidRPr="006250B3">
          <w:rPr>
            <w:rStyle w:val="Hyperlink"/>
            <w:b w:val="0"/>
            <w:szCs w:val="20"/>
          </w:rPr>
          <w:t>/</w:t>
        </w:r>
        <w:r w:rsidR="00E820EE" w:rsidRPr="00EE11FB">
          <w:rPr>
            <w:rStyle w:val="Hyperlink"/>
            <w:b w:val="0"/>
            <w:szCs w:val="20"/>
            <w:lang w:val="en-US"/>
          </w:rPr>
          <w:t>documents</w:t>
        </w:r>
        <w:r w:rsidR="00E820EE" w:rsidRPr="006250B3">
          <w:rPr>
            <w:rStyle w:val="Hyperlink"/>
            <w:b w:val="0"/>
            <w:szCs w:val="20"/>
          </w:rPr>
          <w:t>/</w:t>
        </w:r>
        <w:r w:rsidR="00E820EE" w:rsidRPr="00EE11FB">
          <w:rPr>
            <w:rStyle w:val="Hyperlink"/>
            <w:b w:val="0"/>
            <w:szCs w:val="20"/>
            <w:lang w:val="en-US"/>
          </w:rPr>
          <w:t>d</w:t>
        </w:r>
        <w:r w:rsidR="00E820EE" w:rsidRPr="006250B3">
          <w:rPr>
            <w:rStyle w:val="Hyperlink"/>
            <w:b w:val="0"/>
            <w:szCs w:val="20"/>
          </w:rPr>
          <w:t>/</w:t>
        </w:r>
        <w:r w:rsidR="00E820EE" w:rsidRPr="00EE11FB">
          <w:rPr>
            <w:rStyle w:val="Hyperlink"/>
            <w:b w:val="0"/>
            <w:szCs w:val="20"/>
            <w:lang w:val="en-US"/>
          </w:rPr>
          <w:t>pct</w:t>
        </w:r>
        <w:r w:rsidR="00E820EE" w:rsidRPr="006250B3">
          <w:rPr>
            <w:rStyle w:val="Hyperlink"/>
            <w:b w:val="0"/>
            <w:szCs w:val="20"/>
          </w:rPr>
          <w:t>-</w:t>
        </w:r>
        <w:r w:rsidR="00E820EE" w:rsidRPr="00EE11FB">
          <w:rPr>
            <w:rStyle w:val="Hyperlink"/>
            <w:b w:val="0"/>
            <w:szCs w:val="20"/>
            <w:lang w:val="en-US"/>
          </w:rPr>
          <w:t>system</w:t>
        </w:r>
        <w:r w:rsidR="00E820EE" w:rsidRPr="006250B3">
          <w:rPr>
            <w:rStyle w:val="Hyperlink"/>
            <w:b w:val="0"/>
            <w:szCs w:val="20"/>
          </w:rPr>
          <w:t>/</w:t>
        </w:r>
        <w:r w:rsidR="00E820EE" w:rsidRPr="00EE11FB">
          <w:rPr>
            <w:rStyle w:val="Hyperlink"/>
            <w:b w:val="0"/>
            <w:szCs w:val="20"/>
            <w:lang w:val="en-US"/>
          </w:rPr>
          <w:t>docs</w:t>
        </w:r>
        <w:r w:rsidR="00E820EE" w:rsidRPr="006250B3">
          <w:rPr>
            <w:rStyle w:val="Hyperlink"/>
            <w:b w:val="0"/>
            <w:szCs w:val="20"/>
          </w:rPr>
          <w:t>-</w:t>
        </w:r>
        <w:proofErr w:type="spellStart"/>
        <w:r w:rsidR="00E820EE" w:rsidRPr="00EE11FB">
          <w:rPr>
            <w:rStyle w:val="Hyperlink"/>
            <w:b w:val="0"/>
            <w:szCs w:val="20"/>
            <w:lang w:val="en-US"/>
          </w:rPr>
          <w:t>en</w:t>
        </w:r>
        <w:proofErr w:type="spellEnd"/>
        <w:r w:rsidR="00E820EE" w:rsidRPr="006250B3">
          <w:rPr>
            <w:rStyle w:val="Hyperlink"/>
            <w:b w:val="0"/>
            <w:szCs w:val="20"/>
          </w:rPr>
          <w:t>-</w:t>
        </w:r>
        <w:r w:rsidR="00E820EE" w:rsidRPr="00EE11FB">
          <w:rPr>
            <w:rStyle w:val="Hyperlink"/>
            <w:b w:val="0"/>
            <w:szCs w:val="20"/>
            <w:lang w:val="en-US"/>
          </w:rPr>
          <w:t>official</w:t>
        </w:r>
        <w:r w:rsidR="00E820EE" w:rsidRPr="006250B3">
          <w:rPr>
            <w:rStyle w:val="Hyperlink"/>
            <w:b w:val="0"/>
            <w:szCs w:val="20"/>
          </w:rPr>
          <w:t>-</w:t>
        </w:r>
        <w:r w:rsidR="00E820EE" w:rsidRPr="00EE11FB">
          <w:rPr>
            <w:rStyle w:val="Hyperlink"/>
            <w:b w:val="0"/>
            <w:szCs w:val="20"/>
            <w:lang w:val="en-US"/>
          </w:rPr>
          <w:t>notices</w:t>
        </w:r>
        <w:r w:rsidR="00E820EE" w:rsidRPr="006250B3">
          <w:rPr>
            <w:rStyle w:val="Hyperlink"/>
            <w:b w:val="0"/>
            <w:szCs w:val="20"/>
          </w:rPr>
          <w:t>-</w:t>
        </w:r>
        <w:proofErr w:type="spellStart"/>
        <w:r w:rsidR="00E820EE" w:rsidRPr="00EE11FB">
          <w:rPr>
            <w:rStyle w:val="Hyperlink"/>
            <w:b w:val="0"/>
            <w:szCs w:val="20"/>
            <w:lang w:val="en-US"/>
          </w:rPr>
          <w:t>officialnotices</w:t>
        </w:r>
        <w:proofErr w:type="spellEnd"/>
        <w:r w:rsidR="00E820EE" w:rsidRPr="006250B3">
          <w:rPr>
            <w:rStyle w:val="Hyperlink"/>
            <w:b w:val="0"/>
            <w:szCs w:val="20"/>
          </w:rPr>
          <w:t>.</w:t>
        </w:r>
        <w:r w:rsidR="00E820EE" w:rsidRPr="00EE11FB">
          <w:rPr>
            <w:rStyle w:val="Hyperlink"/>
            <w:b w:val="0"/>
            <w:szCs w:val="20"/>
            <w:lang w:val="en-US"/>
          </w:rPr>
          <w:t>pdf</w:t>
        </w:r>
        <w:r w:rsidR="00E820EE" w:rsidRPr="006250B3">
          <w:rPr>
            <w:rStyle w:val="Hyperlink"/>
            <w:b w:val="0"/>
            <w:szCs w:val="20"/>
          </w:rPr>
          <w:t>#</w:t>
        </w:r>
        <w:r w:rsidR="00E820EE" w:rsidRPr="00EE11FB">
          <w:rPr>
            <w:rStyle w:val="Hyperlink"/>
            <w:b w:val="0"/>
            <w:szCs w:val="20"/>
            <w:lang w:val="en-US"/>
          </w:rPr>
          <w:t>page</w:t>
        </w:r>
        <w:r w:rsidR="00E820EE" w:rsidRPr="006250B3">
          <w:rPr>
            <w:rStyle w:val="Hyperlink"/>
            <w:b w:val="0"/>
            <w:szCs w:val="20"/>
          </w:rPr>
          <w:t>=190</w:t>
        </w:r>
      </w:hyperlink>
      <w:r w:rsidR="00652B8E" w:rsidRPr="00523D75">
        <w:rPr>
          <w:b w:val="0"/>
        </w:rPr>
        <w:t>.</w:t>
      </w:r>
    </w:p>
    <w:p w14:paraId="44D0F8A5" w14:textId="77777777" w:rsidR="00690AE3" w:rsidRPr="00523D75" w:rsidRDefault="00690AE3" w:rsidP="00690AE3">
      <w:pPr>
        <w:pStyle w:val="Answer"/>
      </w:pPr>
    </w:p>
    <w:p w14:paraId="1FDF9C33" w14:textId="77777777" w:rsidR="00690AE3" w:rsidRPr="00523D75" w:rsidRDefault="00690AE3" w:rsidP="00690AE3">
      <w:pPr>
        <w:pStyle w:val="Answer"/>
        <w:ind w:left="0"/>
        <w:rPr>
          <w:color w:val="000000" w:themeColor="text1"/>
        </w:rPr>
      </w:pPr>
      <w:r w:rsidRPr="00523D75">
        <w:rPr>
          <w:color w:val="000000" w:themeColor="text1"/>
        </w:rPr>
        <w:t>либо:</w:t>
      </w:r>
    </w:p>
    <w:p w14:paraId="334CF0EB" w14:textId="6078043A" w:rsidR="00652B8E" w:rsidRPr="00652B8E" w:rsidRDefault="001A0A08" w:rsidP="00690AE3">
      <w:pPr>
        <w:rPr>
          <w:lang w:val="ru-RU"/>
        </w:rPr>
      </w:pPr>
      <w:sdt>
        <w:sdtPr>
          <w:rPr>
            <w:color w:val="000000" w:themeColor="text1"/>
            <w:lang w:val="ru-RU"/>
          </w:rPr>
          <w:id w:val="229279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90AE3" w:rsidRPr="00523D75">
            <w:rPr>
              <w:rFonts w:ascii="MS Gothic" w:eastAsia="MS Gothic" w:hAnsi="MS Gothic" w:hint="eastAsia"/>
              <w:color w:val="000000" w:themeColor="text1"/>
              <w:lang w:val="ru-RU"/>
            </w:rPr>
            <w:t>☐</w:t>
          </w:r>
        </w:sdtContent>
      </w:sdt>
      <w:r w:rsidR="00690AE3" w:rsidRPr="00523D75">
        <w:rPr>
          <w:color w:val="000000" w:themeColor="text1"/>
          <w:lang w:val="ru-RU"/>
        </w:rPr>
        <w:t xml:space="preserve"> «Орган сообщает о предоставлении доступа к своему фонду патентной документации, с указанием сроков, в которые Целевая группа по минимуму документации </w:t>
      </w:r>
      <w:r w:rsidR="00690AE3" w:rsidRPr="00523D75">
        <w:rPr>
          <w:color w:val="000000" w:themeColor="text1"/>
        </w:rPr>
        <w:t>PCT</w:t>
      </w:r>
      <w:r w:rsidR="00690AE3" w:rsidRPr="00523D75">
        <w:rPr>
          <w:color w:val="000000" w:themeColor="text1"/>
          <w:lang w:val="ru-RU"/>
        </w:rPr>
        <w:t xml:space="preserve"> может подтвердить проведение проверки и предоставление полного доступа (см. ниже).  Просьба предоставить подробную информацию о вашем ведомственном досье с любыми соответствующими ссылками».</w:t>
      </w:r>
    </w:p>
    <w:p w14:paraId="29C34256" w14:textId="77777777" w:rsidR="00652B8E" w:rsidRPr="00652B8E" w:rsidRDefault="00652B8E" w:rsidP="009242EC">
      <w:pPr>
        <w:pStyle w:val="SectionHeading"/>
        <w:keepNext w:val="0"/>
        <w:rPr>
          <w:lang w:val="ru-RU"/>
        </w:rPr>
      </w:pPr>
      <w:r w:rsidRPr="00652B8E">
        <w:rPr>
          <w:lang w:val="ru-RU"/>
        </w:rPr>
        <w:t>2.3</w:t>
      </w:r>
      <w:r>
        <w:t> </w:t>
      </w:r>
      <w:r w:rsidRPr="00652B8E">
        <w:rPr>
          <w:lang w:val="ru-RU"/>
        </w:rPr>
        <w:t>– Минимум документации – доступ</w:t>
      </w:r>
    </w:p>
    <w:p w14:paraId="42D4A459" w14:textId="77777777" w:rsidR="00652B8E" w:rsidRPr="006175E3" w:rsidRDefault="00652B8E" w:rsidP="009242EC">
      <w:pPr>
        <w:pStyle w:val="RuleQuote"/>
        <w:keepNext w:val="0"/>
        <w:rPr>
          <w:i w:val="0"/>
          <w:iCs w:val="0"/>
        </w:rPr>
      </w:pPr>
      <w:r>
        <w:t>Правила 36.1(iii) и 63.1(iii).  Это ведомство или организация должны иметь в своем распоряжении или постоянно обеспечивать доступ, по крайней мере, к минимуму документации, упомянутому в правиле 34, для целей поиска в соответствии с Административной инструкцией.</w:t>
      </w:r>
    </w:p>
    <w:p w14:paraId="72B1D2A1" w14:textId="77777777" w:rsidR="00652B8E" w:rsidRDefault="00652B8E" w:rsidP="009242EC">
      <w:pPr>
        <w:pStyle w:val="RuleQuote"/>
        <w:keepNext w:val="0"/>
        <w:ind w:left="0"/>
        <w:rPr>
          <w:i w:val="0"/>
        </w:rPr>
      </w:pPr>
      <w:r>
        <w:rPr>
          <w:i w:val="0"/>
        </w:rPr>
        <w:lastRenderedPageBreak/>
        <w:t xml:space="preserve">В отчет о системе УК входит </w:t>
      </w:r>
      <w:r w:rsidRPr="00603FC4">
        <w:rPr>
          <w:i w:val="0"/>
        </w:rPr>
        <w:t>предоставляемая ЕАПВ информация</w:t>
      </w:r>
      <w:r>
        <w:rPr>
          <w:i w:val="0"/>
        </w:rPr>
        <w:t xml:space="preserve"> об имеющейся инфраструктуре, обеспечивающей наличие, доступность, надлежащее расположение и хранение, по крайней мере, минимума документации, указанной в правиле 34, для целей поиска и экспертизы в соответствии с пунктом 21.15(iv) Руководства.  </w:t>
      </w:r>
    </w:p>
    <w:p w14:paraId="2AEA64B3" w14:textId="77777777" w:rsidR="00652B8E" w:rsidRDefault="00652B8E" w:rsidP="009242EC">
      <w:pPr>
        <w:pStyle w:val="RuleQuote"/>
        <w:ind w:hanging="567"/>
        <w:rPr>
          <w:i w:val="0"/>
        </w:rPr>
      </w:pPr>
      <w:r>
        <w:rPr>
          <w:i w:val="0"/>
        </w:rPr>
        <w:t xml:space="preserve">Прочая информация, выходящая за рамки отчета о системе УК: </w:t>
      </w:r>
    </w:p>
    <w:p w14:paraId="31B7C777" w14:textId="6814DAF4" w:rsidR="00652B8E" w:rsidRPr="00AC3291" w:rsidRDefault="00652B8E" w:rsidP="009242EC">
      <w:pPr>
        <w:pStyle w:val="RuleQuote"/>
        <w:ind w:left="0"/>
        <w:rPr>
          <w:i w:val="0"/>
        </w:rPr>
      </w:pPr>
      <w:r w:rsidRPr="00603FC4">
        <w:rPr>
          <w:i w:val="0"/>
        </w:rPr>
        <w:t xml:space="preserve">ЕАПВ имеет полный доступ к минимуму документации, предусмотренному РСТ, для целей проведения международного поиска. Работа с фондами патентной документации в ЕАПВ ведется в электронной форме с использованием собственной поисковой системы ЕАПАТИС. Система ЕАПАТИС содержит более 94 миллионов патентных документов, включая коллекции, предусмотренные минимумом документации РСТ, а также уникальную базу данных патентной документации ЕАПВ и стран евразийского региона на русском языке. </w:t>
      </w:r>
      <w:bookmarkStart w:id="6" w:name="OLE_LINK7"/>
      <w:r>
        <w:rPr>
          <w:i w:val="0"/>
        </w:rPr>
        <w:t xml:space="preserve">В ЕАПАТИС интегрирована система машинного перевода </w:t>
      </w:r>
      <w:r>
        <w:rPr>
          <w:i w:val="0"/>
          <w:lang w:val="en-US"/>
        </w:rPr>
        <w:t>WIPO</w:t>
      </w:r>
      <w:r w:rsidRPr="000A2DA1">
        <w:rPr>
          <w:i w:val="0"/>
        </w:rPr>
        <w:t xml:space="preserve"> </w:t>
      </w:r>
      <w:r>
        <w:rPr>
          <w:i w:val="0"/>
          <w:lang w:val="en-US"/>
        </w:rPr>
        <w:t>Translate</w:t>
      </w:r>
      <w:r>
        <w:rPr>
          <w:i w:val="0"/>
        </w:rPr>
        <w:t xml:space="preserve">, с помощью которой выполняется как перевод массивов документов, так и онлайн-перевод информации из отдельных документов при их просмотре. </w:t>
      </w:r>
      <w:bookmarkEnd w:id="6"/>
      <w:r w:rsidRPr="00603FC4">
        <w:rPr>
          <w:i w:val="0"/>
        </w:rPr>
        <w:t xml:space="preserve">В ЕАПВ разработана собственная поисковая система по евразийским заявкам и патентам, содержащим последовательности аминокислот и/или нуклеотидов, с широким спектром поисковых возможностей.  При поиске используются также поисковая платформа Роспатента PatSearch, системы свободного доступа PATENTSCOPE, Espacenet, Google Patents, </w:t>
      </w:r>
      <w:r w:rsidRPr="00603FC4">
        <w:rPr>
          <w:i w:val="0"/>
          <w:lang w:val="en-US"/>
        </w:rPr>
        <w:t>NCBI</w:t>
      </w:r>
      <w:r w:rsidRPr="00603FC4">
        <w:rPr>
          <w:i w:val="0"/>
        </w:rPr>
        <w:t xml:space="preserve">, </w:t>
      </w:r>
      <w:r w:rsidRPr="00603FC4">
        <w:rPr>
          <w:i w:val="0"/>
          <w:lang w:val="en-US"/>
        </w:rPr>
        <w:t>EBI</w:t>
      </w:r>
      <w:r w:rsidRPr="00603FC4">
        <w:rPr>
          <w:i w:val="0"/>
        </w:rPr>
        <w:t xml:space="preserve"> и др. Кроме того, в ЕАПВ обеспечен доступ к специализированным базам данных, таким как CAS STNext, </w:t>
      </w:r>
      <w:r>
        <w:rPr>
          <w:i w:val="0"/>
          <w:lang w:val="en-US"/>
        </w:rPr>
        <w:t>The</w:t>
      </w:r>
      <w:r w:rsidRPr="000A2DA1">
        <w:rPr>
          <w:i w:val="0"/>
        </w:rPr>
        <w:t xml:space="preserve"> </w:t>
      </w:r>
      <w:r w:rsidRPr="00603FC4">
        <w:rPr>
          <w:i w:val="0"/>
          <w:lang w:val="en-US"/>
        </w:rPr>
        <w:t>Lens</w:t>
      </w:r>
      <w:r w:rsidRPr="00603FC4">
        <w:rPr>
          <w:i w:val="0"/>
        </w:rPr>
        <w:t xml:space="preserve">, PubMed, TKDL (база данных по традиционным знаниям). Ведется подготовка собственных поисковых баз данных и средств машинного перевода для расширенных коллекций патентных документов, которые войдут в состав минимума документации РСТ с начала 2026 года. В ЕАПВ на основе перечня источников непатентной литературы, предусмотренного правилом 34.1(b)(iii) Инструкции к РСТ, сформирован каталог интернет-ресурсов, структурированный по областям техники, который может использоваться для проведения поиска. В каталоге выделены портальные ресурсы (литература по различным областям техники), а также профильные ресурсы по отдельным отраслям знаний — химии, медицине, биотехнологиям, физике и другим, всего более 30 позиций. ЕАПВ также поддерживает и постоянно обновляет собственный массив непатентной литературы (около 4 миллионов журналов и статей), проводит работы по обеспечению полнотекстового поиска в этом массиве с помощью системы ЕАПАТИС..  В 2025 году в ЕАПВ дополнительно обеспечен доступ посредством платформы </w:t>
      </w:r>
      <w:r>
        <w:rPr>
          <w:i w:val="0"/>
        </w:rPr>
        <w:t xml:space="preserve">Государственной публичной </w:t>
      </w:r>
      <w:r w:rsidRPr="00603FC4">
        <w:rPr>
          <w:i w:val="0"/>
        </w:rPr>
        <w:t>научно-технической библиотеки России к более 150 источникам специализированной непатентной литературы в различных областях техники</w:t>
      </w:r>
      <w:r w:rsidRPr="000A2DA1">
        <w:rPr>
          <w:i w:val="0"/>
        </w:rPr>
        <w:t>.</w:t>
      </w:r>
      <w:r>
        <w:rPr>
          <w:i w:val="0"/>
        </w:rPr>
        <w:t xml:space="preserve"> </w:t>
      </w:r>
    </w:p>
    <w:p w14:paraId="726BF2E0" w14:textId="77777777" w:rsidR="00652B8E" w:rsidRPr="00652B8E" w:rsidRDefault="00652B8E" w:rsidP="009242EC">
      <w:pPr>
        <w:pStyle w:val="SectionHeading"/>
        <w:keepNext w:val="0"/>
        <w:rPr>
          <w:lang w:val="ru-RU"/>
        </w:rPr>
      </w:pPr>
      <w:r w:rsidRPr="00652B8E">
        <w:rPr>
          <w:lang w:val="ru-RU"/>
        </w:rPr>
        <w:t>2.4</w:t>
      </w:r>
      <w:r>
        <w:t> </w:t>
      </w:r>
      <w:r w:rsidRPr="00652B8E">
        <w:rPr>
          <w:lang w:val="ru-RU"/>
        </w:rPr>
        <w:t>– Управление качеством</w:t>
      </w:r>
    </w:p>
    <w:p w14:paraId="325162A1" w14:textId="77777777" w:rsidR="00652B8E" w:rsidRDefault="00652B8E" w:rsidP="009242EC">
      <w:pPr>
        <w:pStyle w:val="RuleQuote"/>
        <w:keepNext w:val="0"/>
      </w:pPr>
      <w:r>
        <w:t>Правила 36.1(iv) и 63.1(iv).  Это ведомство или организация должны иметь систему управления качеством и механизмы внутреннего контроля в соответствии с общими правилами международного поиска.</w:t>
      </w:r>
    </w:p>
    <w:p w14:paraId="774179A6" w14:textId="77777777" w:rsidR="00652B8E" w:rsidRDefault="00652B8E" w:rsidP="009242EC">
      <w:pPr>
        <w:pStyle w:val="RuleQuote"/>
        <w:keepNext w:val="0"/>
        <w:ind w:left="0"/>
        <w:rPr>
          <w:i w:val="0"/>
          <w:iCs w:val="0"/>
        </w:rPr>
      </w:pPr>
      <w:r>
        <w:rPr>
          <w:i w:val="0"/>
        </w:rPr>
        <w:t>В отчет о системе УК включаются предоставляемые ЕАПВ  сведения о действующей системе управления качеством в соответствии с главой 21 Руководства и предусмотренный пунктом 21.09 отчет о механизмах внутреннего контроля, которые более подробно описаны в пунктах 21.27–21.30 Руководства.</w:t>
      </w:r>
    </w:p>
    <w:p w14:paraId="25E4DA3B" w14:textId="77777777" w:rsidR="00652B8E" w:rsidRPr="00603FC4" w:rsidRDefault="00652B8E" w:rsidP="009242EC">
      <w:pPr>
        <w:pStyle w:val="RuleQuote"/>
        <w:ind w:left="0"/>
        <w:rPr>
          <w:i w:val="0"/>
        </w:rPr>
      </w:pPr>
      <w:r w:rsidRPr="00603FC4">
        <w:rPr>
          <w:i w:val="0"/>
        </w:rPr>
        <w:lastRenderedPageBreak/>
        <w:t>Прочая информация, помимо отчета о системе УК:</w:t>
      </w:r>
    </w:p>
    <w:p w14:paraId="5794C5E6" w14:textId="77777777" w:rsidR="00652B8E" w:rsidRPr="00603FC4" w:rsidRDefault="00652B8E" w:rsidP="009242EC">
      <w:pPr>
        <w:pStyle w:val="RuleQuote"/>
        <w:ind w:left="0"/>
        <w:rPr>
          <w:i w:val="0"/>
        </w:rPr>
      </w:pPr>
      <w:r w:rsidRPr="00603FC4">
        <w:rPr>
          <w:i w:val="0"/>
        </w:rPr>
        <w:t>В 2024 году в ЕАПВ была завершена сертификация процессов от подачи евразийских заявок до публикации евразийских патентов, что подтверждается сертификатом соответствия Системы менеджмента качества ЕАПВ требованиям стандарта ISO 9001:2015. Сертификат выдан органом по сертификации «TÜV Austria» (Вена), регистрационный номер 20100243019787. В процессе подготовки к сертификации 20 руководителей подразделений ЕАПВ и их заместителей прошли обучение по курсу «Требования и внедрение международного стандарта ISO 9001» в Академии «TÜV Austria», и 11 из них были сертифицированы в рамках специализированного курса по проведению внутренних аудитов в соответствии с ISO 9001. Система менеджмента качества, установленная в ЕАПВ, полностью соответствует требованиям Главы 21 Руководства по проведению международного поиска и международной предварительной экспертизы в рамках РСТ, и применяется в равной мере в действиях ЕАПВ как в качестве получающего и выбранного ведомства, так и в качестве МПО/ МОПЭ.</w:t>
      </w:r>
    </w:p>
    <w:p w14:paraId="18ED87B3" w14:textId="09CCEBF7" w:rsidR="00652B8E" w:rsidRPr="003B4CAA" w:rsidRDefault="00652B8E" w:rsidP="009242EC">
      <w:pPr>
        <w:pStyle w:val="RuleQuote"/>
        <w:ind w:left="0"/>
        <w:rPr>
          <w:i w:val="0"/>
          <w:iCs w:val="0"/>
        </w:rPr>
      </w:pPr>
      <w:r>
        <w:rPr>
          <w:i w:val="0"/>
        </w:rPr>
        <w:t>В</w:t>
      </w:r>
      <w:r w:rsidRPr="00603FC4">
        <w:rPr>
          <w:i w:val="0"/>
        </w:rPr>
        <w:t xml:space="preserve"> стремлении к постоянному совершенствованию патентного поиска и патентной экспертизы </w:t>
      </w:r>
      <w:r>
        <w:rPr>
          <w:i w:val="0"/>
        </w:rPr>
        <w:t>по инициативе</w:t>
      </w:r>
      <w:r w:rsidRPr="00603FC4">
        <w:rPr>
          <w:i w:val="0"/>
        </w:rPr>
        <w:t xml:space="preserve"> ЕАПВ, </w:t>
      </w:r>
      <w:r>
        <w:rPr>
          <w:i w:val="0"/>
        </w:rPr>
        <w:t xml:space="preserve">решением Административного совета ЕАПО 15 октября 2025 г. </w:t>
      </w:r>
      <w:r w:rsidRPr="00603FC4">
        <w:rPr>
          <w:i w:val="0"/>
        </w:rPr>
        <w:t>создан</w:t>
      </w:r>
      <w:r>
        <w:rPr>
          <w:i w:val="0"/>
        </w:rPr>
        <w:t>а</w:t>
      </w:r>
      <w:r w:rsidRPr="00603FC4">
        <w:rPr>
          <w:i w:val="0"/>
        </w:rPr>
        <w:t xml:space="preserve"> межведомственн</w:t>
      </w:r>
      <w:r>
        <w:rPr>
          <w:i w:val="0"/>
        </w:rPr>
        <w:t>ая</w:t>
      </w:r>
      <w:r w:rsidRPr="00603FC4">
        <w:rPr>
          <w:i w:val="0"/>
        </w:rPr>
        <w:t xml:space="preserve"> рабоч</w:t>
      </w:r>
      <w:r>
        <w:rPr>
          <w:i w:val="0"/>
        </w:rPr>
        <w:t>ая</w:t>
      </w:r>
      <w:r w:rsidRPr="00603FC4">
        <w:rPr>
          <w:i w:val="0"/>
        </w:rPr>
        <w:t xml:space="preserve"> групп</w:t>
      </w:r>
      <w:r>
        <w:rPr>
          <w:i w:val="0"/>
        </w:rPr>
        <w:t>а</w:t>
      </w:r>
      <w:r w:rsidRPr="00603FC4">
        <w:rPr>
          <w:i w:val="0"/>
        </w:rPr>
        <w:t xml:space="preserve"> по вопросам экспертизы изобретений с участием представителей государств-</w:t>
      </w:r>
      <w:r>
        <w:rPr>
          <w:i w:val="0"/>
        </w:rPr>
        <w:t xml:space="preserve">членов </w:t>
      </w:r>
      <w:r w:rsidRPr="00603FC4">
        <w:rPr>
          <w:i w:val="0"/>
        </w:rPr>
        <w:t>ЕАП</w:t>
      </w:r>
      <w:r>
        <w:rPr>
          <w:i w:val="0"/>
        </w:rPr>
        <w:t>О</w:t>
      </w:r>
      <w:r w:rsidRPr="00603FC4">
        <w:rPr>
          <w:i w:val="0"/>
        </w:rPr>
        <w:t xml:space="preserve"> в целях обеспечения высококачественного поиска, эффективных практик экспертизы, в том числе выработки решений по применению средств ИИ для поддержки работы экспертов и администрирования патентных процедур.</w:t>
      </w:r>
    </w:p>
    <w:p w14:paraId="6B7B8C7B" w14:textId="77777777" w:rsidR="00652B8E" w:rsidRPr="00652B8E" w:rsidRDefault="00652B8E" w:rsidP="009242EC">
      <w:pPr>
        <w:pStyle w:val="SectionHeading"/>
        <w:keepNext w:val="0"/>
        <w:rPr>
          <w:lang w:val="ru-RU"/>
        </w:rPr>
      </w:pPr>
      <w:r w:rsidRPr="00652B8E">
        <w:rPr>
          <w:lang w:val="ru-RU"/>
        </w:rPr>
        <w:t>3 – Сфера деятельности</w:t>
      </w:r>
    </w:p>
    <w:p w14:paraId="7DC947B3" w14:textId="77777777" w:rsidR="00652B8E" w:rsidRDefault="00652B8E" w:rsidP="009242EC">
      <w:pPr>
        <w:pStyle w:val="Question"/>
        <w:keepNext w:val="0"/>
        <w:spacing w:after="480"/>
      </w:pPr>
      <w:r>
        <w:t xml:space="preserve">(a) </w:t>
      </w:r>
      <w:r>
        <w:tab/>
        <w:t>Сфера деятельности в текущий период</w:t>
      </w:r>
    </w:p>
    <w:p w14:paraId="2DD08DBF" w14:textId="2E426130" w:rsidR="00652B8E" w:rsidRPr="00365539" w:rsidRDefault="00652B8E" w:rsidP="009242EC">
      <w:pPr>
        <w:pStyle w:val="Question"/>
        <w:keepNext w:val="0"/>
        <w:spacing w:after="480"/>
      </w:pPr>
      <w:r>
        <w:rPr>
          <w:b w:val="0"/>
        </w:rPr>
        <w:t>С информацией о получающих ведомствах, для которых данное ведомство или межправительственная организация являются компетентным Международным поисковым органом и Органом международной предварительной экспертизы, языке (языках), на котором (которых) предлагаются услуги, и другими сведениями о сфере деятельности можно ознакомиться в Руководстве РСТ для заявителя по следующ</w:t>
      </w:r>
      <w:r w:rsidR="009242EC">
        <w:rPr>
          <w:b w:val="0"/>
        </w:rPr>
        <w:t>им</w:t>
      </w:r>
      <w:r>
        <w:rPr>
          <w:b w:val="0"/>
        </w:rPr>
        <w:t xml:space="preserve"> ссылк</w:t>
      </w:r>
      <w:r w:rsidR="009242EC">
        <w:rPr>
          <w:b w:val="0"/>
          <w:lang w:val="en-US"/>
        </w:rPr>
        <w:t>a</w:t>
      </w:r>
      <w:r w:rsidR="009242EC">
        <w:rPr>
          <w:b w:val="0"/>
        </w:rPr>
        <w:t>м</w:t>
      </w:r>
      <w:r>
        <w:rPr>
          <w:b w:val="0"/>
        </w:rPr>
        <w:t xml:space="preserve">:  </w:t>
      </w:r>
      <w:bookmarkStart w:id="7" w:name="_Hlk215085102"/>
      <w:r w:rsidR="003B4CAA" w:rsidRPr="00EE11FB">
        <w:rPr>
          <w:rStyle w:val="Hyperlink"/>
          <w:szCs w:val="20"/>
          <w:lang w:val="en-US"/>
        </w:rPr>
        <w:fldChar w:fldCharType="begin"/>
      </w:r>
      <w:r w:rsidR="003B4CAA" w:rsidRPr="00EE11FB">
        <w:rPr>
          <w:rStyle w:val="Hyperlink"/>
          <w:szCs w:val="20"/>
          <w:lang w:val="en-US"/>
        </w:rPr>
        <w:instrText>HYPERLINK</w:instrText>
      </w:r>
      <w:r w:rsidR="003B4CAA" w:rsidRPr="00EE11FB">
        <w:rPr>
          <w:rStyle w:val="Hyperlink"/>
          <w:szCs w:val="20"/>
        </w:rPr>
        <w:instrText xml:space="preserve"> "</w:instrText>
      </w:r>
      <w:r w:rsidR="003B4CAA" w:rsidRPr="00EE11FB">
        <w:rPr>
          <w:rStyle w:val="Hyperlink"/>
          <w:szCs w:val="20"/>
          <w:lang w:val="en-US"/>
        </w:rPr>
        <w:instrText>https</w:instrText>
      </w:r>
      <w:r w:rsidR="003B4CAA" w:rsidRPr="00EE11FB">
        <w:rPr>
          <w:rStyle w:val="Hyperlink"/>
          <w:szCs w:val="20"/>
        </w:rPr>
        <w:instrText>://</w:instrText>
      </w:r>
      <w:r w:rsidR="003B4CAA" w:rsidRPr="00EE11FB">
        <w:rPr>
          <w:rStyle w:val="Hyperlink"/>
          <w:szCs w:val="20"/>
          <w:lang w:val="en-US"/>
        </w:rPr>
        <w:instrText>pctlegal</w:instrText>
      </w:r>
      <w:r w:rsidR="003B4CAA" w:rsidRPr="00EE11FB">
        <w:rPr>
          <w:rStyle w:val="Hyperlink"/>
          <w:szCs w:val="20"/>
        </w:rPr>
        <w:instrText>.</w:instrText>
      </w:r>
      <w:r w:rsidR="003B4CAA" w:rsidRPr="00EE11FB">
        <w:rPr>
          <w:rStyle w:val="Hyperlink"/>
          <w:szCs w:val="20"/>
          <w:lang w:val="en-US"/>
        </w:rPr>
        <w:instrText>wipo</w:instrText>
      </w:r>
      <w:r w:rsidR="003B4CAA" w:rsidRPr="00EE11FB">
        <w:rPr>
          <w:rStyle w:val="Hyperlink"/>
          <w:szCs w:val="20"/>
        </w:rPr>
        <w:instrText>.</w:instrText>
      </w:r>
      <w:r w:rsidR="003B4CAA" w:rsidRPr="00EE11FB">
        <w:rPr>
          <w:rStyle w:val="Hyperlink"/>
          <w:szCs w:val="20"/>
          <w:lang w:val="en-US"/>
        </w:rPr>
        <w:instrText>int</w:instrText>
      </w:r>
      <w:r w:rsidR="003B4CAA" w:rsidRPr="00EE11FB">
        <w:rPr>
          <w:rStyle w:val="Hyperlink"/>
          <w:szCs w:val="20"/>
        </w:rPr>
        <w:instrText>/</w:instrText>
      </w:r>
      <w:r w:rsidR="003B4CAA" w:rsidRPr="00EE11FB">
        <w:rPr>
          <w:rStyle w:val="Hyperlink"/>
          <w:szCs w:val="20"/>
          <w:lang w:val="en-US"/>
        </w:rPr>
        <w:instrText>eGuide</w:instrText>
      </w:r>
      <w:r w:rsidR="003B4CAA" w:rsidRPr="00EE11FB">
        <w:rPr>
          <w:rStyle w:val="Hyperlink"/>
          <w:szCs w:val="20"/>
        </w:rPr>
        <w:instrText>/</w:instrText>
      </w:r>
      <w:r w:rsidR="003B4CAA" w:rsidRPr="00EE11FB">
        <w:rPr>
          <w:rStyle w:val="Hyperlink"/>
          <w:szCs w:val="20"/>
          <w:lang w:val="en-US"/>
        </w:rPr>
        <w:instrText>view</w:instrText>
      </w:r>
      <w:r w:rsidR="003B4CAA" w:rsidRPr="00EE11FB">
        <w:rPr>
          <w:rStyle w:val="Hyperlink"/>
          <w:szCs w:val="20"/>
        </w:rPr>
        <w:instrText>-</w:instrText>
      </w:r>
      <w:r w:rsidR="003B4CAA" w:rsidRPr="00EE11FB">
        <w:rPr>
          <w:rStyle w:val="Hyperlink"/>
          <w:szCs w:val="20"/>
          <w:lang w:val="en-US"/>
        </w:rPr>
        <w:instrText>doc</w:instrText>
      </w:r>
      <w:r w:rsidR="003B4CAA" w:rsidRPr="00EE11FB">
        <w:rPr>
          <w:rStyle w:val="Hyperlink"/>
          <w:szCs w:val="20"/>
        </w:rPr>
        <w:instrText>.</w:instrText>
      </w:r>
      <w:r w:rsidR="003B4CAA" w:rsidRPr="00EE11FB">
        <w:rPr>
          <w:rStyle w:val="Hyperlink"/>
          <w:szCs w:val="20"/>
          <w:lang w:val="en-US"/>
        </w:rPr>
        <w:instrText>xhtml</w:instrText>
      </w:r>
      <w:r w:rsidR="003B4CAA" w:rsidRPr="00EE11FB">
        <w:rPr>
          <w:rStyle w:val="Hyperlink"/>
          <w:szCs w:val="20"/>
        </w:rPr>
        <w:instrText>?</w:instrText>
      </w:r>
      <w:r w:rsidR="003B4CAA" w:rsidRPr="00EE11FB">
        <w:rPr>
          <w:rStyle w:val="Hyperlink"/>
          <w:szCs w:val="20"/>
          <w:lang w:val="en-US"/>
        </w:rPr>
        <w:instrText>doc</w:instrText>
      </w:r>
      <w:r w:rsidR="003B4CAA" w:rsidRPr="00EE11FB">
        <w:rPr>
          <w:rStyle w:val="Hyperlink"/>
          <w:szCs w:val="20"/>
        </w:rPr>
        <w:instrText>-</w:instrText>
      </w:r>
      <w:r w:rsidR="003B4CAA" w:rsidRPr="00EE11FB">
        <w:rPr>
          <w:rStyle w:val="Hyperlink"/>
          <w:szCs w:val="20"/>
          <w:lang w:val="en-US"/>
        </w:rPr>
        <w:instrText>code</w:instrText>
      </w:r>
      <w:r w:rsidR="003B4CAA" w:rsidRPr="00EE11FB">
        <w:rPr>
          <w:rStyle w:val="Hyperlink"/>
          <w:szCs w:val="20"/>
        </w:rPr>
        <w:instrText>=EA&amp;</w:instrText>
      </w:r>
      <w:r w:rsidR="003B4CAA" w:rsidRPr="00EE11FB">
        <w:rPr>
          <w:rStyle w:val="Hyperlink"/>
          <w:szCs w:val="20"/>
          <w:lang w:val="en-US"/>
        </w:rPr>
        <w:instrText>doc</w:instrText>
      </w:r>
      <w:r w:rsidR="003B4CAA" w:rsidRPr="00EE11FB">
        <w:rPr>
          <w:rStyle w:val="Hyperlink"/>
          <w:szCs w:val="20"/>
        </w:rPr>
        <w:instrText>-</w:instrText>
      </w:r>
      <w:r w:rsidR="003B4CAA" w:rsidRPr="00EE11FB">
        <w:rPr>
          <w:rStyle w:val="Hyperlink"/>
          <w:szCs w:val="20"/>
          <w:lang w:val="en-US"/>
        </w:rPr>
        <w:instrText>lang</w:instrText>
      </w:r>
      <w:r w:rsidR="003B4CAA" w:rsidRPr="00EE11FB">
        <w:rPr>
          <w:rStyle w:val="Hyperlink"/>
          <w:szCs w:val="20"/>
        </w:rPr>
        <w:instrText>=</w:instrText>
      </w:r>
      <w:r w:rsidR="003B4CAA" w:rsidRPr="00EE11FB">
        <w:rPr>
          <w:rStyle w:val="Hyperlink"/>
          <w:szCs w:val="20"/>
          <w:lang w:val="en-US"/>
        </w:rPr>
        <w:instrText>en</w:instrText>
      </w:r>
      <w:r w:rsidR="003B4CAA" w:rsidRPr="00EE11FB">
        <w:rPr>
          <w:rStyle w:val="Hyperlink"/>
          <w:szCs w:val="20"/>
        </w:rPr>
        <w:instrText>#</w:instrText>
      </w:r>
      <w:r w:rsidR="003B4CAA" w:rsidRPr="00EE11FB">
        <w:rPr>
          <w:rStyle w:val="Hyperlink"/>
          <w:szCs w:val="20"/>
          <w:lang w:val="en-US"/>
        </w:rPr>
        <w:instrText>ISA</w:instrText>
      </w:r>
      <w:r w:rsidR="003B4CAA" w:rsidRPr="00EE11FB">
        <w:rPr>
          <w:rStyle w:val="Hyperlink"/>
          <w:szCs w:val="20"/>
        </w:rPr>
        <w:instrText>"</w:instrText>
      </w:r>
      <w:r w:rsidR="001A0A08" w:rsidRPr="00EE11FB">
        <w:rPr>
          <w:rStyle w:val="Hyperlink"/>
          <w:szCs w:val="20"/>
          <w:lang w:val="en-US"/>
        </w:rPr>
      </w:r>
      <w:r w:rsidR="003B4CAA" w:rsidRPr="00EE11FB">
        <w:rPr>
          <w:rStyle w:val="Hyperlink"/>
          <w:szCs w:val="20"/>
          <w:lang w:val="en-US"/>
        </w:rPr>
        <w:fldChar w:fldCharType="separate"/>
      </w:r>
      <w:r w:rsidR="003B4CAA" w:rsidRPr="00EE11FB">
        <w:rPr>
          <w:rStyle w:val="Hyperlink"/>
          <w:b w:val="0"/>
          <w:szCs w:val="20"/>
          <w:lang w:val="en-US"/>
        </w:rPr>
        <w:t>https</w:t>
      </w:r>
      <w:r w:rsidR="003B4CAA" w:rsidRPr="00EE11FB">
        <w:rPr>
          <w:rStyle w:val="Hyperlink"/>
          <w:b w:val="0"/>
          <w:szCs w:val="20"/>
        </w:rPr>
        <w:t>://</w:t>
      </w:r>
      <w:r w:rsidR="003B4CAA" w:rsidRPr="00EE11FB">
        <w:rPr>
          <w:rStyle w:val="Hyperlink"/>
          <w:b w:val="0"/>
          <w:szCs w:val="20"/>
          <w:lang w:val="en-US"/>
        </w:rPr>
        <w:t>pctlegal</w:t>
      </w:r>
      <w:r w:rsidR="003B4CAA" w:rsidRPr="00EE11FB">
        <w:rPr>
          <w:rStyle w:val="Hyperlink"/>
          <w:b w:val="0"/>
          <w:szCs w:val="20"/>
        </w:rPr>
        <w:t>.</w:t>
      </w:r>
      <w:r w:rsidR="003B4CAA" w:rsidRPr="00EE11FB">
        <w:rPr>
          <w:rStyle w:val="Hyperlink"/>
          <w:b w:val="0"/>
          <w:szCs w:val="20"/>
          <w:lang w:val="en-US"/>
        </w:rPr>
        <w:t>wipo</w:t>
      </w:r>
      <w:r w:rsidR="003B4CAA" w:rsidRPr="00EE11FB">
        <w:rPr>
          <w:rStyle w:val="Hyperlink"/>
          <w:b w:val="0"/>
          <w:szCs w:val="20"/>
        </w:rPr>
        <w:t>.</w:t>
      </w:r>
      <w:r w:rsidR="003B4CAA" w:rsidRPr="00EE11FB">
        <w:rPr>
          <w:rStyle w:val="Hyperlink"/>
          <w:b w:val="0"/>
          <w:szCs w:val="20"/>
          <w:lang w:val="en-US"/>
        </w:rPr>
        <w:t>int</w:t>
      </w:r>
      <w:r w:rsidR="003B4CAA" w:rsidRPr="00EE11FB">
        <w:rPr>
          <w:rStyle w:val="Hyperlink"/>
          <w:b w:val="0"/>
          <w:szCs w:val="20"/>
        </w:rPr>
        <w:t>/</w:t>
      </w:r>
      <w:r w:rsidR="003B4CAA" w:rsidRPr="00EE11FB">
        <w:rPr>
          <w:rStyle w:val="Hyperlink"/>
          <w:b w:val="0"/>
          <w:szCs w:val="20"/>
          <w:lang w:val="en-US"/>
        </w:rPr>
        <w:t>eGuide</w:t>
      </w:r>
      <w:r w:rsidR="003B4CAA" w:rsidRPr="00EE11FB">
        <w:rPr>
          <w:rStyle w:val="Hyperlink"/>
          <w:b w:val="0"/>
          <w:szCs w:val="20"/>
        </w:rPr>
        <w:t>/</w:t>
      </w:r>
      <w:r w:rsidR="003B4CAA" w:rsidRPr="00EE11FB">
        <w:rPr>
          <w:rStyle w:val="Hyperlink"/>
          <w:b w:val="0"/>
          <w:szCs w:val="20"/>
          <w:lang w:val="en-US"/>
        </w:rPr>
        <w:t>view</w:t>
      </w:r>
      <w:r w:rsidR="003B4CAA" w:rsidRPr="00EE11FB">
        <w:rPr>
          <w:rStyle w:val="Hyperlink"/>
          <w:b w:val="0"/>
          <w:szCs w:val="20"/>
        </w:rPr>
        <w:t>-</w:t>
      </w:r>
      <w:r w:rsidR="003B4CAA" w:rsidRPr="00EE11FB">
        <w:rPr>
          <w:rStyle w:val="Hyperlink"/>
          <w:b w:val="0"/>
          <w:szCs w:val="20"/>
          <w:lang w:val="en-US"/>
        </w:rPr>
        <w:t>doc</w:t>
      </w:r>
      <w:r w:rsidR="003B4CAA" w:rsidRPr="00EE11FB">
        <w:rPr>
          <w:rStyle w:val="Hyperlink"/>
          <w:b w:val="0"/>
          <w:szCs w:val="20"/>
        </w:rPr>
        <w:t>.</w:t>
      </w:r>
      <w:r w:rsidR="003B4CAA" w:rsidRPr="00EE11FB">
        <w:rPr>
          <w:rStyle w:val="Hyperlink"/>
          <w:b w:val="0"/>
          <w:szCs w:val="20"/>
          <w:lang w:val="en-US"/>
        </w:rPr>
        <w:t>xhtml</w:t>
      </w:r>
      <w:r w:rsidR="003B4CAA" w:rsidRPr="00EE11FB">
        <w:rPr>
          <w:rStyle w:val="Hyperlink"/>
          <w:b w:val="0"/>
          <w:szCs w:val="20"/>
        </w:rPr>
        <w:t>?</w:t>
      </w:r>
      <w:r w:rsidR="003B4CAA" w:rsidRPr="00EE11FB">
        <w:rPr>
          <w:rStyle w:val="Hyperlink"/>
          <w:b w:val="0"/>
          <w:szCs w:val="20"/>
          <w:lang w:val="en-US"/>
        </w:rPr>
        <w:t>doc</w:t>
      </w:r>
      <w:r w:rsidR="003B4CAA" w:rsidRPr="00EE11FB">
        <w:rPr>
          <w:rStyle w:val="Hyperlink"/>
          <w:b w:val="0"/>
          <w:szCs w:val="20"/>
        </w:rPr>
        <w:t>-</w:t>
      </w:r>
      <w:r w:rsidR="003B4CAA" w:rsidRPr="00EE11FB">
        <w:rPr>
          <w:rStyle w:val="Hyperlink"/>
          <w:b w:val="0"/>
          <w:szCs w:val="20"/>
          <w:lang w:val="en-US"/>
        </w:rPr>
        <w:t>code</w:t>
      </w:r>
      <w:r w:rsidR="003B4CAA" w:rsidRPr="00EE11FB">
        <w:rPr>
          <w:rStyle w:val="Hyperlink"/>
          <w:b w:val="0"/>
          <w:szCs w:val="20"/>
        </w:rPr>
        <w:t>=</w:t>
      </w:r>
      <w:r w:rsidR="003B4CAA" w:rsidRPr="00EE11FB">
        <w:rPr>
          <w:rStyle w:val="Hyperlink"/>
          <w:b w:val="0"/>
          <w:szCs w:val="20"/>
          <w:lang w:val="en-US"/>
        </w:rPr>
        <w:t>EA</w:t>
      </w:r>
      <w:r w:rsidR="003B4CAA" w:rsidRPr="00EE11FB">
        <w:rPr>
          <w:rStyle w:val="Hyperlink"/>
          <w:b w:val="0"/>
          <w:szCs w:val="20"/>
        </w:rPr>
        <w:t>&amp;</w:t>
      </w:r>
      <w:r w:rsidR="003B4CAA" w:rsidRPr="00EE11FB">
        <w:rPr>
          <w:rStyle w:val="Hyperlink"/>
          <w:b w:val="0"/>
          <w:szCs w:val="20"/>
          <w:lang w:val="en-US"/>
        </w:rPr>
        <w:t>doc</w:t>
      </w:r>
      <w:r w:rsidR="003B4CAA" w:rsidRPr="00EE11FB">
        <w:rPr>
          <w:rStyle w:val="Hyperlink"/>
          <w:b w:val="0"/>
          <w:szCs w:val="20"/>
        </w:rPr>
        <w:t>-</w:t>
      </w:r>
      <w:r w:rsidR="003B4CAA" w:rsidRPr="00EE11FB">
        <w:rPr>
          <w:rStyle w:val="Hyperlink"/>
          <w:b w:val="0"/>
          <w:szCs w:val="20"/>
          <w:lang w:val="en-US"/>
        </w:rPr>
        <w:t>lang</w:t>
      </w:r>
      <w:r w:rsidR="003B4CAA" w:rsidRPr="00EE11FB">
        <w:rPr>
          <w:rStyle w:val="Hyperlink"/>
          <w:b w:val="0"/>
          <w:szCs w:val="20"/>
        </w:rPr>
        <w:t>=</w:t>
      </w:r>
      <w:r w:rsidR="003B4CAA" w:rsidRPr="00EE11FB">
        <w:rPr>
          <w:rStyle w:val="Hyperlink"/>
          <w:b w:val="0"/>
          <w:szCs w:val="20"/>
          <w:lang w:val="en-US"/>
        </w:rPr>
        <w:t>en</w:t>
      </w:r>
      <w:r w:rsidR="003B4CAA" w:rsidRPr="00EE11FB">
        <w:rPr>
          <w:rStyle w:val="Hyperlink"/>
          <w:b w:val="0"/>
          <w:szCs w:val="20"/>
        </w:rPr>
        <w:t>#</w:t>
      </w:r>
      <w:r w:rsidR="003B4CAA" w:rsidRPr="00EE11FB">
        <w:rPr>
          <w:rStyle w:val="Hyperlink"/>
          <w:b w:val="0"/>
          <w:szCs w:val="20"/>
          <w:lang w:val="en-US"/>
        </w:rPr>
        <w:t>ISA</w:t>
      </w:r>
      <w:r w:rsidR="003B4CAA" w:rsidRPr="00EE11FB">
        <w:rPr>
          <w:rStyle w:val="Hyperlink"/>
          <w:szCs w:val="20"/>
          <w:lang w:val="en-US"/>
        </w:rPr>
        <w:fldChar w:fldCharType="end"/>
      </w:r>
      <w:r w:rsidR="009242EC" w:rsidRPr="009242EC">
        <w:rPr>
          <w:b w:val="0"/>
          <w:bCs w:val="0"/>
        </w:rPr>
        <w:t xml:space="preserve"> и</w:t>
      </w:r>
      <w:r w:rsidR="009242EC">
        <w:rPr>
          <w:b w:val="0"/>
          <w:bCs w:val="0"/>
        </w:rPr>
        <w:t xml:space="preserve"> </w:t>
      </w:r>
      <w:hyperlink r:id="rId12" w:anchor="IPEA" w:history="1">
        <w:r w:rsidR="003B4CAA" w:rsidRPr="00EE11FB">
          <w:rPr>
            <w:rStyle w:val="Hyperlink"/>
            <w:b w:val="0"/>
            <w:szCs w:val="20"/>
            <w:lang w:val="en-US"/>
          </w:rPr>
          <w:t>https</w:t>
        </w:r>
        <w:r w:rsidR="003B4CAA" w:rsidRPr="006250B3">
          <w:rPr>
            <w:rStyle w:val="Hyperlink"/>
            <w:b w:val="0"/>
            <w:szCs w:val="20"/>
          </w:rPr>
          <w:t>://</w:t>
        </w:r>
        <w:r w:rsidR="003B4CAA" w:rsidRPr="00EE11FB">
          <w:rPr>
            <w:rStyle w:val="Hyperlink"/>
            <w:b w:val="0"/>
            <w:szCs w:val="20"/>
            <w:lang w:val="en-US"/>
          </w:rPr>
          <w:t>pctlegal</w:t>
        </w:r>
        <w:r w:rsidR="003B4CAA" w:rsidRPr="006250B3">
          <w:rPr>
            <w:rStyle w:val="Hyperlink"/>
            <w:b w:val="0"/>
            <w:szCs w:val="20"/>
          </w:rPr>
          <w:t>.</w:t>
        </w:r>
        <w:r w:rsidR="003B4CAA" w:rsidRPr="00EE11FB">
          <w:rPr>
            <w:rStyle w:val="Hyperlink"/>
            <w:b w:val="0"/>
            <w:szCs w:val="20"/>
            <w:lang w:val="en-US"/>
          </w:rPr>
          <w:t>wipo</w:t>
        </w:r>
        <w:r w:rsidR="003B4CAA" w:rsidRPr="006250B3">
          <w:rPr>
            <w:rStyle w:val="Hyperlink"/>
            <w:b w:val="0"/>
            <w:szCs w:val="20"/>
          </w:rPr>
          <w:t>.</w:t>
        </w:r>
        <w:r w:rsidR="003B4CAA" w:rsidRPr="00EE11FB">
          <w:rPr>
            <w:rStyle w:val="Hyperlink"/>
            <w:b w:val="0"/>
            <w:szCs w:val="20"/>
            <w:lang w:val="en-US"/>
          </w:rPr>
          <w:t>int</w:t>
        </w:r>
        <w:r w:rsidR="003B4CAA" w:rsidRPr="006250B3">
          <w:rPr>
            <w:rStyle w:val="Hyperlink"/>
            <w:b w:val="0"/>
            <w:szCs w:val="20"/>
          </w:rPr>
          <w:t>/</w:t>
        </w:r>
        <w:r w:rsidR="003B4CAA" w:rsidRPr="00EE11FB">
          <w:rPr>
            <w:rStyle w:val="Hyperlink"/>
            <w:b w:val="0"/>
            <w:szCs w:val="20"/>
            <w:lang w:val="en-US"/>
          </w:rPr>
          <w:t>eGuide</w:t>
        </w:r>
        <w:r w:rsidR="003B4CAA" w:rsidRPr="006250B3">
          <w:rPr>
            <w:rStyle w:val="Hyperlink"/>
            <w:b w:val="0"/>
            <w:szCs w:val="20"/>
          </w:rPr>
          <w:t>/</w:t>
        </w:r>
        <w:r w:rsidR="003B4CAA" w:rsidRPr="00EE11FB">
          <w:rPr>
            <w:rStyle w:val="Hyperlink"/>
            <w:b w:val="0"/>
            <w:szCs w:val="20"/>
            <w:lang w:val="en-US"/>
          </w:rPr>
          <w:t>view</w:t>
        </w:r>
        <w:r w:rsidR="003B4CAA" w:rsidRPr="006250B3">
          <w:rPr>
            <w:rStyle w:val="Hyperlink"/>
            <w:b w:val="0"/>
            <w:szCs w:val="20"/>
          </w:rPr>
          <w:t>-</w:t>
        </w:r>
        <w:r w:rsidR="003B4CAA" w:rsidRPr="00EE11FB">
          <w:rPr>
            <w:rStyle w:val="Hyperlink"/>
            <w:b w:val="0"/>
            <w:szCs w:val="20"/>
            <w:lang w:val="en-US"/>
          </w:rPr>
          <w:t>doc</w:t>
        </w:r>
        <w:r w:rsidR="003B4CAA" w:rsidRPr="006250B3">
          <w:rPr>
            <w:rStyle w:val="Hyperlink"/>
            <w:b w:val="0"/>
            <w:szCs w:val="20"/>
          </w:rPr>
          <w:t>.</w:t>
        </w:r>
        <w:r w:rsidR="003B4CAA" w:rsidRPr="00EE11FB">
          <w:rPr>
            <w:rStyle w:val="Hyperlink"/>
            <w:b w:val="0"/>
            <w:szCs w:val="20"/>
            <w:lang w:val="en-US"/>
          </w:rPr>
          <w:t>xhtml</w:t>
        </w:r>
        <w:r w:rsidR="003B4CAA" w:rsidRPr="006250B3">
          <w:rPr>
            <w:rStyle w:val="Hyperlink"/>
            <w:b w:val="0"/>
            <w:szCs w:val="20"/>
          </w:rPr>
          <w:t>?</w:t>
        </w:r>
        <w:r w:rsidR="003B4CAA" w:rsidRPr="00EE11FB">
          <w:rPr>
            <w:rStyle w:val="Hyperlink"/>
            <w:b w:val="0"/>
            <w:szCs w:val="20"/>
            <w:lang w:val="en-US"/>
          </w:rPr>
          <w:t>doc</w:t>
        </w:r>
        <w:r w:rsidR="003B4CAA" w:rsidRPr="006250B3">
          <w:rPr>
            <w:rStyle w:val="Hyperlink"/>
            <w:b w:val="0"/>
            <w:szCs w:val="20"/>
          </w:rPr>
          <w:t>-</w:t>
        </w:r>
        <w:r w:rsidR="003B4CAA" w:rsidRPr="00EE11FB">
          <w:rPr>
            <w:rStyle w:val="Hyperlink"/>
            <w:b w:val="0"/>
            <w:szCs w:val="20"/>
            <w:lang w:val="en-US"/>
          </w:rPr>
          <w:t>code</w:t>
        </w:r>
        <w:r w:rsidR="003B4CAA" w:rsidRPr="006250B3">
          <w:rPr>
            <w:rStyle w:val="Hyperlink"/>
            <w:b w:val="0"/>
            <w:szCs w:val="20"/>
          </w:rPr>
          <w:t>=</w:t>
        </w:r>
        <w:r w:rsidR="003B4CAA" w:rsidRPr="00EE11FB">
          <w:rPr>
            <w:rStyle w:val="Hyperlink"/>
            <w:b w:val="0"/>
            <w:szCs w:val="20"/>
            <w:lang w:val="en-US"/>
          </w:rPr>
          <w:t>EA</w:t>
        </w:r>
        <w:r w:rsidR="003B4CAA" w:rsidRPr="006250B3">
          <w:rPr>
            <w:rStyle w:val="Hyperlink"/>
            <w:b w:val="0"/>
            <w:szCs w:val="20"/>
          </w:rPr>
          <w:t>&amp;</w:t>
        </w:r>
        <w:r w:rsidR="003B4CAA" w:rsidRPr="00EE11FB">
          <w:rPr>
            <w:rStyle w:val="Hyperlink"/>
            <w:b w:val="0"/>
            <w:szCs w:val="20"/>
            <w:lang w:val="en-US"/>
          </w:rPr>
          <w:t>doc</w:t>
        </w:r>
        <w:r w:rsidR="003B4CAA" w:rsidRPr="006250B3">
          <w:rPr>
            <w:rStyle w:val="Hyperlink"/>
            <w:b w:val="0"/>
            <w:szCs w:val="20"/>
          </w:rPr>
          <w:t>-</w:t>
        </w:r>
        <w:r w:rsidR="003B4CAA" w:rsidRPr="00EE11FB">
          <w:rPr>
            <w:rStyle w:val="Hyperlink"/>
            <w:b w:val="0"/>
            <w:szCs w:val="20"/>
            <w:lang w:val="en-US"/>
          </w:rPr>
          <w:t>lang</w:t>
        </w:r>
        <w:r w:rsidR="003B4CAA" w:rsidRPr="006250B3">
          <w:rPr>
            <w:rStyle w:val="Hyperlink"/>
            <w:b w:val="0"/>
            <w:szCs w:val="20"/>
          </w:rPr>
          <w:t>=</w:t>
        </w:r>
        <w:r w:rsidR="003B4CAA" w:rsidRPr="00EE11FB">
          <w:rPr>
            <w:rStyle w:val="Hyperlink"/>
            <w:b w:val="0"/>
            <w:szCs w:val="20"/>
            <w:lang w:val="en-US"/>
          </w:rPr>
          <w:t>en</w:t>
        </w:r>
        <w:r w:rsidR="003B4CAA" w:rsidRPr="006250B3">
          <w:rPr>
            <w:rStyle w:val="Hyperlink"/>
            <w:b w:val="0"/>
            <w:szCs w:val="20"/>
          </w:rPr>
          <w:t>#</w:t>
        </w:r>
        <w:r w:rsidR="003B4CAA" w:rsidRPr="00EE11FB">
          <w:rPr>
            <w:rStyle w:val="Hyperlink"/>
            <w:b w:val="0"/>
            <w:szCs w:val="20"/>
            <w:lang w:val="en-US"/>
          </w:rPr>
          <w:t>IPEA</w:t>
        </w:r>
      </w:hyperlink>
      <w:bookmarkEnd w:id="7"/>
      <w:r w:rsidR="00365539" w:rsidRPr="00365539">
        <w:rPr>
          <w:b w:val="0"/>
          <w:bCs w:val="0"/>
        </w:rPr>
        <w:t>.</w:t>
      </w:r>
    </w:p>
    <w:p w14:paraId="43F7381F" w14:textId="15851B9B" w:rsidR="00652B8E" w:rsidRPr="003B4CAA" w:rsidRDefault="00652B8E" w:rsidP="009242EC">
      <w:pPr>
        <w:pStyle w:val="Question"/>
        <w:keepNext w:val="0"/>
        <w:spacing w:after="480"/>
      </w:pPr>
      <w:r>
        <w:t>(b)  Планируемые изменения в сфере деятельности Органа, такие как принимающие ведомства, для которых Орган является компетентным, и предлагаемые языки (при наличии таковых):</w:t>
      </w:r>
    </w:p>
    <w:p w14:paraId="7E30E808" w14:textId="77777777" w:rsidR="00652B8E" w:rsidRPr="00652B8E" w:rsidRDefault="00652B8E" w:rsidP="009242EC">
      <w:pPr>
        <w:pStyle w:val="SectionHeading"/>
        <w:rPr>
          <w:lang w:val="ru-RU"/>
        </w:rPr>
      </w:pPr>
      <w:r w:rsidRPr="00652B8E">
        <w:rPr>
          <w:lang w:val="ru-RU"/>
        </w:rPr>
        <w:t>4 – Прочее</w:t>
      </w:r>
    </w:p>
    <w:p w14:paraId="354274E4" w14:textId="77777777" w:rsidR="00652B8E" w:rsidRPr="00652B8E" w:rsidRDefault="00652B8E" w:rsidP="009242EC">
      <w:pPr>
        <w:rPr>
          <w:lang w:val="ru-RU"/>
        </w:rPr>
      </w:pPr>
      <w:r w:rsidRPr="00652B8E">
        <w:rPr>
          <w:lang w:val="ru-RU"/>
        </w:rPr>
        <w:t xml:space="preserve">Любая дополнительная информация, имеющая отношение к продлению назначения в качестве Международного поискового органа и Органа международной предварительной экспертизы.  </w:t>
      </w:r>
    </w:p>
    <w:p w14:paraId="518B1D94" w14:textId="77777777" w:rsidR="00652B8E" w:rsidRPr="00652B8E" w:rsidRDefault="00652B8E" w:rsidP="009242EC">
      <w:pPr>
        <w:rPr>
          <w:lang w:val="ru-RU"/>
        </w:rPr>
      </w:pPr>
    </w:p>
    <w:p w14:paraId="60FA8CEE" w14:textId="77777777" w:rsidR="00652B8E" w:rsidRPr="00652B8E" w:rsidRDefault="00652B8E" w:rsidP="009242EC">
      <w:pPr>
        <w:rPr>
          <w:lang w:val="ru-RU"/>
        </w:rPr>
      </w:pPr>
      <w:r w:rsidRPr="00652B8E">
        <w:rPr>
          <w:lang w:val="ru-RU"/>
        </w:rPr>
        <w:t>Евразийское ведомство является компетентным МПО и ОМПЭ в отношении всех Получающих ведомств государств-членов ЕАПО: Туркменистана (ТМ), Республики Беларусь (</w:t>
      </w:r>
      <w:r w:rsidRPr="00603FC4">
        <w:t>BY</w:t>
      </w:r>
      <w:r w:rsidRPr="00652B8E">
        <w:rPr>
          <w:lang w:val="ru-RU"/>
        </w:rPr>
        <w:t>), Республики Таджикистан (</w:t>
      </w:r>
      <w:r w:rsidRPr="00603FC4">
        <w:t>TJ</w:t>
      </w:r>
      <w:r w:rsidRPr="00652B8E">
        <w:rPr>
          <w:lang w:val="ru-RU"/>
        </w:rPr>
        <w:t>), Российской Федерации (</w:t>
      </w:r>
      <w:r w:rsidRPr="00603FC4">
        <w:t>RU</w:t>
      </w:r>
      <w:r w:rsidRPr="00652B8E">
        <w:rPr>
          <w:lang w:val="ru-RU"/>
        </w:rPr>
        <w:t xml:space="preserve">), Республики </w:t>
      </w:r>
      <w:r w:rsidRPr="00652B8E">
        <w:rPr>
          <w:lang w:val="ru-RU"/>
        </w:rPr>
        <w:lastRenderedPageBreak/>
        <w:t>Казахстан (</w:t>
      </w:r>
      <w:r w:rsidRPr="00603FC4">
        <w:t>KZ</w:t>
      </w:r>
      <w:r w:rsidRPr="00652B8E">
        <w:rPr>
          <w:lang w:val="ru-RU"/>
        </w:rPr>
        <w:t>), Азербайджанской Республики (</w:t>
      </w:r>
      <w:r w:rsidRPr="00603FC4">
        <w:t>AZ</w:t>
      </w:r>
      <w:r w:rsidRPr="00652B8E">
        <w:rPr>
          <w:lang w:val="ru-RU"/>
        </w:rPr>
        <w:t>), Кыргызской Республики (</w:t>
      </w:r>
      <w:r w:rsidRPr="00603FC4">
        <w:t>KG</w:t>
      </w:r>
      <w:r w:rsidRPr="00652B8E">
        <w:rPr>
          <w:lang w:val="ru-RU"/>
        </w:rPr>
        <w:t>), Республики Армения (АМ),  а также в отношении международных заявок, поданных ЕАПВ как в Получающие ведомство.</w:t>
      </w:r>
    </w:p>
    <w:p w14:paraId="06FD8252" w14:textId="77777777" w:rsidR="00652B8E" w:rsidRPr="00652B8E" w:rsidRDefault="00652B8E" w:rsidP="009242EC">
      <w:pPr>
        <w:rPr>
          <w:lang w:val="ru-RU"/>
        </w:rPr>
      </w:pPr>
    </w:p>
    <w:p w14:paraId="467D40EE" w14:textId="77777777" w:rsidR="00652B8E" w:rsidRPr="00652B8E" w:rsidRDefault="00652B8E" w:rsidP="009242EC">
      <w:pPr>
        <w:rPr>
          <w:lang w:val="ru-RU"/>
        </w:rPr>
      </w:pPr>
      <w:r w:rsidRPr="00652B8E">
        <w:rPr>
          <w:lang w:val="ru-RU"/>
        </w:rPr>
        <w:t>ЕАПВ активно участвует в мероприятиях ВОИС, направленных на продвижение и популяризацию системы РСТ в евразийском регионе. В частности, в 2025 году представители ЕАПВ в качестве спикеров приняли участие в серии вебинаров ВОИС, посвящённых различным аспектам системы РСТ, в том числе процедурам проведения международного поиска и международной предварительной экспертизы.</w:t>
      </w:r>
    </w:p>
    <w:p w14:paraId="4E30CCB1" w14:textId="77777777" w:rsidR="00652B8E" w:rsidRPr="003B4CAA" w:rsidRDefault="00652B8E" w:rsidP="00652B8E">
      <w:pPr>
        <w:pStyle w:val="SectionHeading"/>
        <w:jc w:val="both"/>
        <w:rPr>
          <w:lang w:val="ru-RU"/>
        </w:rPr>
      </w:pPr>
    </w:p>
    <w:p w14:paraId="17C17725" w14:textId="74047D96" w:rsidR="009242EC" w:rsidRPr="009242EC" w:rsidRDefault="009242EC" w:rsidP="009242EC">
      <w:pPr>
        <w:jc w:val="right"/>
      </w:pPr>
      <w:r>
        <w:t>[</w:t>
      </w:r>
      <w:r w:rsidRPr="009B467E">
        <w:rPr>
          <w:lang w:val="ru-RU"/>
        </w:rPr>
        <w:t>Конец приложения и документа]</w:t>
      </w:r>
    </w:p>
    <w:p w14:paraId="0CD487C4" w14:textId="77777777" w:rsidR="002326AB" w:rsidRPr="009564AB" w:rsidRDefault="002326AB" w:rsidP="002326AB">
      <w:pPr>
        <w:spacing w:after="220"/>
        <w:rPr>
          <w:lang w:val="ru-RU"/>
        </w:rPr>
      </w:pPr>
    </w:p>
    <w:sectPr w:rsidR="002326AB" w:rsidRPr="009564AB" w:rsidSect="008956A4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562" w:right="1138" w:bottom="1411" w:left="1411" w:header="504" w:footer="1022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6EA738" w14:textId="77777777" w:rsidR="00574416" w:rsidRDefault="00574416">
      <w:r>
        <w:separator/>
      </w:r>
    </w:p>
  </w:endnote>
  <w:endnote w:type="continuationSeparator" w:id="0">
    <w:p w14:paraId="0BE29FEC" w14:textId="77777777" w:rsidR="00574416" w:rsidRDefault="00574416" w:rsidP="003B38C1">
      <w:r>
        <w:separator/>
      </w:r>
    </w:p>
    <w:p w14:paraId="101DE034" w14:textId="77777777" w:rsidR="00574416" w:rsidRPr="003B38C1" w:rsidRDefault="00574416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513837C7" w14:textId="77777777" w:rsidR="00574416" w:rsidRPr="003B38C1" w:rsidRDefault="00574416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 xml:space="preserve">[Endnote </w:t>
      </w:r>
      <w:proofErr w:type="gramStart"/>
      <w:r w:rsidRPr="003B38C1">
        <w:rPr>
          <w:sz w:val="17"/>
          <w:szCs w:val="17"/>
        </w:rPr>
        <w:t>continued on</w:t>
      </w:r>
      <w:proofErr w:type="gramEnd"/>
      <w:r w:rsidRPr="003B38C1">
        <w:rPr>
          <w:sz w:val="17"/>
          <w:szCs w:val="17"/>
        </w:rPr>
        <w:t xml:space="preserve">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1A679" w14:textId="77777777" w:rsidR="00761CD8" w:rsidRDefault="004B44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22C2826" wp14:editId="030D203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583882019" name="Text Box 2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973579" w14:textId="77777777" w:rsidR="004B446A" w:rsidRPr="004B446A" w:rsidRDefault="004B446A" w:rsidP="004B4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B4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2C282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WIPO FOR OFFICIAL USE ONLY " style="position:absolute;margin-left:0;margin-top:0;width:123.1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" filled="f" stroked="f">
              <v:textbox style="mso-fit-shape-to-text:t" inset="0,0,0,15pt">
                <w:txbxContent>
                  <w:p w14:paraId="4B973579" w14:textId="77777777" w:rsidR="004B446A" w:rsidRPr="004B446A" w:rsidRDefault="004B446A" w:rsidP="004B4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B44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2B439" w14:textId="77777777" w:rsidR="00761CD8" w:rsidRDefault="004B44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99A5CE3" wp14:editId="21EA48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295262773" name="Text Box 3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C1562D" w14:textId="77777777" w:rsidR="004B446A" w:rsidRPr="004B446A" w:rsidRDefault="004B446A" w:rsidP="004B4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B4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9A5CE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WIPO FOR OFFICIAL USE ONLY " style="position:absolute;margin-left:0;margin-top:0;width:123.1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" filled="f" stroked="f">
              <v:textbox style="mso-fit-shape-to-text:t" inset="0,0,0,15pt">
                <w:txbxContent>
                  <w:p w14:paraId="17C1562D" w14:textId="77777777" w:rsidR="004B446A" w:rsidRPr="004B446A" w:rsidRDefault="004B446A" w:rsidP="004B4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B44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4152D" w14:textId="77777777" w:rsidR="00761CD8" w:rsidRDefault="004B446A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3DB3EE4" wp14:editId="7D0889B1">
              <wp:simplePos x="898497" y="9883471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564005" cy="345440"/>
              <wp:effectExtent l="0" t="0" r="17145" b="0"/>
              <wp:wrapNone/>
              <wp:docPr id="1882641965" name="Text Box 1" descr="WIPO FOR OFFICIAL USE ONLY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400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6EEABC" w14:textId="77777777" w:rsidR="004B446A" w:rsidRPr="004B446A" w:rsidRDefault="004B446A" w:rsidP="004B446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</w:pPr>
                          <w:r w:rsidRPr="004B446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</w:rPr>
                            <w:t xml:space="preserve">WIPO FOR OFFICIAL USE ONLY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DB3E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WIPO FOR OFFICIAL USE ONLY " style="position:absolute;margin-left:0;margin-top:0;width:123.1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" filled="f" stroked="f">
              <v:textbox style="mso-fit-shape-to-text:t" inset="0,0,0,15pt">
                <w:txbxContent>
                  <w:p w14:paraId="656EEABC" w14:textId="77777777" w:rsidR="004B446A" w:rsidRPr="004B446A" w:rsidRDefault="004B446A" w:rsidP="004B446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</w:pPr>
                    <w:r w:rsidRPr="004B446A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</w:rPr>
                      <w:t xml:space="preserve">WIPO FOR OFFICIAL USE ONLY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D6E470" w14:textId="77777777" w:rsidR="00574416" w:rsidRDefault="00574416">
      <w:r>
        <w:separator/>
      </w:r>
    </w:p>
  </w:footnote>
  <w:footnote w:type="continuationSeparator" w:id="0">
    <w:p w14:paraId="3BF7516D" w14:textId="77777777" w:rsidR="00574416" w:rsidRDefault="00574416" w:rsidP="008B60B2">
      <w:r>
        <w:separator/>
      </w:r>
    </w:p>
    <w:p w14:paraId="19FB8583" w14:textId="77777777" w:rsidR="00574416" w:rsidRPr="00ED77FB" w:rsidRDefault="00574416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6467E45" w14:textId="77777777" w:rsidR="00574416" w:rsidRPr="00ED77FB" w:rsidRDefault="00574416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 xml:space="preserve">[Footnote </w:t>
      </w:r>
      <w:proofErr w:type="gramStart"/>
      <w:r w:rsidRPr="00ED77FB">
        <w:rPr>
          <w:sz w:val="17"/>
          <w:szCs w:val="17"/>
        </w:rPr>
        <w:t>continued on</w:t>
      </w:r>
      <w:proofErr w:type="gramEnd"/>
      <w:r w:rsidRPr="00ED77FB">
        <w:rPr>
          <w:sz w:val="17"/>
          <w:szCs w:val="17"/>
        </w:rPr>
        <w:t xml:space="preserve">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A6DF" w14:textId="77777777" w:rsidR="00586897" w:rsidRDefault="00586897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8A83C4" w14:textId="7F7C0E37" w:rsidR="008956A4" w:rsidRDefault="008956A4" w:rsidP="008956A4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5E01" w14:textId="77777777" w:rsidR="008956A4" w:rsidRDefault="008956A4" w:rsidP="00916DFA">
    <w:pPr>
      <w:jc w:val="right"/>
      <w:rPr>
        <w:lang w:val="fr-FR"/>
      </w:rPr>
    </w:pPr>
  </w:p>
  <w:p w14:paraId="1EADCF4C" w14:textId="255D5B62" w:rsidR="00916DFA" w:rsidRPr="00263EE7" w:rsidRDefault="00916DFA" w:rsidP="00916DFA">
    <w:pPr>
      <w:jc w:val="right"/>
    </w:pPr>
    <w:r w:rsidRPr="00AA5F79">
      <w:rPr>
        <w:lang w:val="fr-FR"/>
      </w:rPr>
      <w:t>PCT</w:t>
    </w:r>
    <w:r w:rsidRPr="002D7CC3">
      <w:rPr>
        <w:lang w:val="ru-RU"/>
      </w:rPr>
      <w:t>/</w:t>
    </w:r>
    <w:r w:rsidRPr="00AA5F79">
      <w:rPr>
        <w:lang w:val="fr-FR"/>
      </w:rPr>
      <w:t>CTC</w:t>
    </w:r>
    <w:r w:rsidRPr="002D7CC3">
      <w:rPr>
        <w:lang w:val="ru-RU"/>
      </w:rPr>
      <w:t>/3</w:t>
    </w:r>
    <w:r w:rsidR="00B5536D">
      <w:t>3</w:t>
    </w:r>
    <w:r w:rsidRPr="002D7CC3">
      <w:rPr>
        <w:lang w:val="ru-RU"/>
      </w:rPr>
      <w:t>/</w:t>
    </w:r>
    <w:r w:rsidR="00303E14">
      <w:t>8</w:t>
    </w:r>
  </w:p>
  <w:p w14:paraId="0E830BDE" w14:textId="0CF64ECF" w:rsidR="00916DFA" w:rsidRDefault="00916DFA" w:rsidP="00916DFA">
    <w:pPr>
      <w:pStyle w:val="Header"/>
      <w:jc w:val="right"/>
    </w:pPr>
    <w:r>
      <w:rPr>
        <w:lang w:val="ru-RU"/>
      </w:rPr>
      <w:t>Приложение</w:t>
    </w:r>
    <w:r w:rsidRPr="002D7CC3">
      <w:rPr>
        <w:lang w:val="ru-RU"/>
      </w:rPr>
      <w:t xml:space="preserve">, </w:t>
    </w:r>
    <w:r>
      <w:rPr>
        <w:lang w:val="ru-RU"/>
      </w:rPr>
      <w:t>стр.</w:t>
    </w:r>
    <w:sdt>
      <w:sdtPr>
        <w:id w:val="487606558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79F1BD6B" w14:textId="77777777" w:rsidR="00D07C78" w:rsidRDefault="00D07C78" w:rsidP="00477D6B">
    <w:pPr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A23E9" w14:textId="163E5C1E" w:rsidR="008956A4" w:rsidRDefault="008956A4" w:rsidP="008956A4">
    <w:pPr>
      <w:pStyle w:val="Header"/>
      <w:jc w:val="right"/>
    </w:pPr>
    <w:r>
      <w:t>PCT/CTC/33/</w:t>
    </w:r>
    <w:r w:rsidR="00303E14">
      <w:t>8</w:t>
    </w:r>
  </w:p>
  <w:p w14:paraId="7A3763B3" w14:textId="5D965FE4" w:rsidR="008956A4" w:rsidRDefault="008956A4" w:rsidP="008956A4">
    <w:pPr>
      <w:pStyle w:val="Header"/>
      <w:jc w:val="right"/>
    </w:pPr>
    <w:r>
      <w:rPr>
        <w:lang w:val="ru-RU"/>
      </w:rPr>
      <w:t>ПРИЛОЖЕНИЕ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5833139">
    <w:abstractNumId w:val="2"/>
  </w:num>
  <w:num w:numId="2" w16cid:durableId="1130896600">
    <w:abstractNumId w:val="4"/>
  </w:num>
  <w:num w:numId="3" w16cid:durableId="1310986793">
    <w:abstractNumId w:val="0"/>
  </w:num>
  <w:num w:numId="4" w16cid:durableId="1556547374">
    <w:abstractNumId w:val="5"/>
  </w:num>
  <w:num w:numId="5" w16cid:durableId="1511680175">
    <w:abstractNumId w:val="1"/>
  </w:num>
  <w:num w:numId="6" w16cid:durableId="1008404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416"/>
    <w:rsid w:val="000355FF"/>
    <w:rsid w:val="00043CAA"/>
    <w:rsid w:val="00056816"/>
    <w:rsid w:val="00057B0F"/>
    <w:rsid w:val="00072AC7"/>
    <w:rsid w:val="00075432"/>
    <w:rsid w:val="000968ED"/>
    <w:rsid w:val="000A3D97"/>
    <w:rsid w:val="000D46FE"/>
    <w:rsid w:val="000F36DA"/>
    <w:rsid w:val="000F5E56"/>
    <w:rsid w:val="000F7D93"/>
    <w:rsid w:val="001362EE"/>
    <w:rsid w:val="001647D5"/>
    <w:rsid w:val="001832A6"/>
    <w:rsid w:val="001863D4"/>
    <w:rsid w:val="00192A3D"/>
    <w:rsid w:val="001A0A08"/>
    <w:rsid w:val="001C62FA"/>
    <w:rsid w:val="001D4107"/>
    <w:rsid w:val="00203D24"/>
    <w:rsid w:val="0021217E"/>
    <w:rsid w:val="002326AB"/>
    <w:rsid w:val="00243430"/>
    <w:rsid w:val="002634C4"/>
    <w:rsid w:val="00263EE7"/>
    <w:rsid w:val="002928D3"/>
    <w:rsid w:val="002F1FE6"/>
    <w:rsid w:val="002F4E68"/>
    <w:rsid w:val="00303E14"/>
    <w:rsid w:val="00312F7F"/>
    <w:rsid w:val="00325271"/>
    <w:rsid w:val="00361450"/>
    <w:rsid w:val="00365539"/>
    <w:rsid w:val="00366ADD"/>
    <w:rsid w:val="003673CF"/>
    <w:rsid w:val="003845C1"/>
    <w:rsid w:val="00397B79"/>
    <w:rsid w:val="003A6F89"/>
    <w:rsid w:val="003B38C1"/>
    <w:rsid w:val="003B4CAA"/>
    <w:rsid w:val="003C34E9"/>
    <w:rsid w:val="003F54A7"/>
    <w:rsid w:val="00423E3E"/>
    <w:rsid w:val="00427AF4"/>
    <w:rsid w:val="004479AB"/>
    <w:rsid w:val="004647DA"/>
    <w:rsid w:val="00474062"/>
    <w:rsid w:val="00477D6B"/>
    <w:rsid w:val="004B446A"/>
    <w:rsid w:val="005019FF"/>
    <w:rsid w:val="00523D75"/>
    <w:rsid w:val="0052652C"/>
    <w:rsid w:val="0053057A"/>
    <w:rsid w:val="00556076"/>
    <w:rsid w:val="00560A29"/>
    <w:rsid w:val="00574416"/>
    <w:rsid w:val="005851C8"/>
    <w:rsid w:val="00586897"/>
    <w:rsid w:val="005C6649"/>
    <w:rsid w:val="00605827"/>
    <w:rsid w:val="006250B3"/>
    <w:rsid w:val="00646050"/>
    <w:rsid w:val="00652B8E"/>
    <w:rsid w:val="006713CA"/>
    <w:rsid w:val="00676C5C"/>
    <w:rsid w:val="00686A2F"/>
    <w:rsid w:val="00690AE3"/>
    <w:rsid w:val="006C322C"/>
    <w:rsid w:val="006F7742"/>
    <w:rsid w:val="0070049D"/>
    <w:rsid w:val="00720EFD"/>
    <w:rsid w:val="007543DD"/>
    <w:rsid w:val="00761CD8"/>
    <w:rsid w:val="007854AF"/>
    <w:rsid w:val="00793A7C"/>
    <w:rsid w:val="007A398A"/>
    <w:rsid w:val="007D1613"/>
    <w:rsid w:val="007E4593"/>
    <w:rsid w:val="007E4C0E"/>
    <w:rsid w:val="00824216"/>
    <w:rsid w:val="008956A4"/>
    <w:rsid w:val="008A134B"/>
    <w:rsid w:val="008B2CC1"/>
    <w:rsid w:val="008B60B2"/>
    <w:rsid w:val="0090731E"/>
    <w:rsid w:val="00916DFA"/>
    <w:rsid w:val="00916EE2"/>
    <w:rsid w:val="009242EC"/>
    <w:rsid w:val="00925D57"/>
    <w:rsid w:val="00932B35"/>
    <w:rsid w:val="00951331"/>
    <w:rsid w:val="009564AB"/>
    <w:rsid w:val="00966A22"/>
    <w:rsid w:val="0096722F"/>
    <w:rsid w:val="00980843"/>
    <w:rsid w:val="009852C6"/>
    <w:rsid w:val="009E2791"/>
    <w:rsid w:val="009E3F6F"/>
    <w:rsid w:val="009F499F"/>
    <w:rsid w:val="00A02CF6"/>
    <w:rsid w:val="00A37342"/>
    <w:rsid w:val="00A42DAF"/>
    <w:rsid w:val="00A45BD8"/>
    <w:rsid w:val="00A869B7"/>
    <w:rsid w:val="00A90F0A"/>
    <w:rsid w:val="00AC205C"/>
    <w:rsid w:val="00AC3291"/>
    <w:rsid w:val="00AF0A6B"/>
    <w:rsid w:val="00B03204"/>
    <w:rsid w:val="00B05A69"/>
    <w:rsid w:val="00B5536D"/>
    <w:rsid w:val="00B75281"/>
    <w:rsid w:val="00B92F1F"/>
    <w:rsid w:val="00B9734B"/>
    <w:rsid w:val="00BA2A04"/>
    <w:rsid w:val="00BA30E2"/>
    <w:rsid w:val="00BC039A"/>
    <w:rsid w:val="00C11BFE"/>
    <w:rsid w:val="00C5068F"/>
    <w:rsid w:val="00C86D74"/>
    <w:rsid w:val="00CD04F1"/>
    <w:rsid w:val="00CF681A"/>
    <w:rsid w:val="00D07C78"/>
    <w:rsid w:val="00D43C78"/>
    <w:rsid w:val="00D45252"/>
    <w:rsid w:val="00D64550"/>
    <w:rsid w:val="00D71B4D"/>
    <w:rsid w:val="00D93D55"/>
    <w:rsid w:val="00DD7B7F"/>
    <w:rsid w:val="00E15015"/>
    <w:rsid w:val="00E335FE"/>
    <w:rsid w:val="00E35192"/>
    <w:rsid w:val="00E820EE"/>
    <w:rsid w:val="00EA7D6E"/>
    <w:rsid w:val="00EB2F76"/>
    <w:rsid w:val="00EC4E49"/>
    <w:rsid w:val="00EC5B23"/>
    <w:rsid w:val="00ED77FB"/>
    <w:rsid w:val="00EE11FB"/>
    <w:rsid w:val="00EE45FA"/>
    <w:rsid w:val="00F043DE"/>
    <w:rsid w:val="00F66152"/>
    <w:rsid w:val="00F9165B"/>
    <w:rsid w:val="00FC4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4D7366"/>
  <w15:docId w15:val="{9BCF510A-FDC7-41F8-B673-38535D8E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B2F76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uiPriority w:val="99"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link w:val="ONUMEChar"/>
    <w:uiPriority w:val="99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ONUMEChar">
    <w:name w:val="ONUM E Char"/>
    <w:basedOn w:val="DefaultParagraphFont"/>
    <w:link w:val="ONUME"/>
    <w:uiPriority w:val="99"/>
    <w:locked/>
    <w:rsid w:val="00574416"/>
    <w:rPr>
      <w:rFonts w:ascii="Arial" w:eastAsia="SimSun" w:hAnsi="Arial" w:cs="Arial"/>
      <w:sz w:val="22"/>
      <w:lang w:val="en-US" w:eastAsia="zh-CN"/>
    </w:rPr>
  </w:style>
  <w:style w:type="character" w:customStyle="1" w:styleId="SectionHeadingChar">
    <w:name w:val="Section Heading Char"/>
    <w:link w:val="SectionHeading"/>
    <w:locked/>
    <w:rsid w:val="00652B8E"/>
    <w:rPr>
      <w:rFonts w:ascii="Arial" w:hAnsi="Arial" w:cs="Arial"/>
      <w:b/>
      <w:bCs/>
      <w:caps/>
      <w:sz w:val="22"/>
      <w:szCs w:val="26"/>
      <w:lang w:eastAsia="zh-CN"/>
    </w:rPr>
  </w:style>
  <w:style w:type="paragraph" w:customStyle="1" w:styleId="SectionHeading">
    <w:name w:val="Section Heading"/>
    <w:basedOn w:val="Heading3"/>
    <w:next w:val="Normal"/>
    <w:link w:val="SectionHeadingChar"/>
    <w:rsid w:val="00652B8E"/>
    <w:pPr>
      <w:keepLines/>
      <w:pBdr>
        <w:top w:val="single" w:sz="4" w:space="1" w:color="auto"/>
      </w:pBdr>
      <w:spacing w:before="360" w:after="200" w:line="480" w:lineRule="auto"/>
    </w:pPr>
    <w:rPr>
      <w:rFonts w:eastAsia="Times New Roman"/>
      <w:b/>
      <w:caps/>
      <w:u w:val="none"/>
      <w:lang w:val="fr-CH"/>
    </w:rPr>
  </w:style>
  <w:style w:type="paragraph" w:customStyle="1" w:styleId="RuleQuote">
    <w:name w:val="Rule Quote"/>
    <w:basedOn w:val="Normal"/>
    <w:qFormat/>
    <w:rsid w:val="00652B8E"/>
    <w:pPr>
      <w:keepNext/>
      <w:keepLines/>
      <w:spacing w:after="240"/>
      <w:ind w:left="567" w:right="567"/>
    </w:pPr>
    <w:rPr>
      <w:bCs/>
      <w:i/>
      <w:iCs/>
      <w:lang w:val="ru-RU"/>
    </w:rPr>
  </w:style>
  <w:style w:type="paragraph" w:customStyle="1" w:styleId="Question">
    <w:name w:val="Question"/>
    <w:basedOn w:val="BodyText"/>
    <w:next w:val="Answer"/>
    <w:qFormat/>
    <w:rsid w:val="00652B8E"/>
    <w:pPr>
      <w:keepNext/>
      <w:keepLines/>
    </w:pPr>
    <w:rPr>
      <w:b/>
      <w:bCs/>
      <w:szCs w:val="22"/>
      <w:lang w:val="ru-RU"/>
    </w:rPr>
  </w:style>
  <w:style w:type="paragraph" w:customStyle="1" w:styleId="Answer">
    <w:name w:val="Answer"/>
    <w:basedOn w:val="BodyText"/>
    <w:qFormat/>
    <w:rsid w:val="00652B8E"/>
    <w:pPr>
      <w:ind w:left="567"/>
    </w:pPr>
    <w:rPr>
      <w:lang w:val="ru-RU"/>
    </w:rPr>
  </w:style>
  <w:style w:type="character" w:styleId="Hyperlink">
    <w:name w:val="Hyperlink"/>
    <w:basedOn w:val="DefaultParagraphFont"/>
    <w:uiPriority w:val="99"/>
    <w:unhideWhenUsed/>
    <w:rsid w:val="00652B8E"/>
    <w:rPr>
      <w:color w:val="0000FF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16DFA"/>
    <w:rPr>
      <w:rFonts w:ascii="Arial" w:eastAsia="SimSun" w:hAnsi="Arial" w:cs="Arial"/>
      <w:sz w:val="22"/>
      <w:lang w:val="en-US" w:eastAsia="zh-CN"/>
    </w:rPr>
  </w:style>
  <w:style w:type="character" w:styleId="FollowedHyperlink">
    <w:name w:val="FollowedHyperlink"/>
    <w:basedOn w:val="DefaultParagraphFont"/>
    <w:semiHidden/>
    <w:unhideWhenUsed/>
    <w:rsid w:val="00EC5B23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ctlegal.wipo.int/eGuide/view-doc.xhtml?doc-code=EA&amp;doc-lang=en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wipo.int/documents/d/pct-system/docs-en-official-notices-officialnotices.pdf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PCT\PCT_CTC_33%20(R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213A0F-668A-4526-AD0D-85F37F83D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PCT_CTC_33 (R).dotm</Template>
  <TotalTime>2</TotalTime>
  <Pages>7</Pages>
  <Words>1498</Words>
  <Characters>11285</Characters>
  <Application>Microsoft Office Word</Application>
  <DocSecurity>0</DocSecurity>
  <Lines>296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PCT/CTC/33/</vt:lpstr>
    </vt:vector>
  </TitlesOfParts>
  <Company>WIPO</Company>
  <LinksUpToDate>false</LinksUpToDate>
  <CharactersWithSpaces>12649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PCT/CTC/33/8</dc:title>
  <dc:creator>NOVRUZOVA Elnara</dc:creator>
  <cp:keywords/>
  <cp:lastModifiedBy>RICHARDSON Michael</cp:lastModifiedBy>
  <cp:revision>8</cp:revision>
  <cp:lastPrinted>2025-12-02T13:28:00Z</cp:lastPrinted>
  <dcterms:created xsi:type="dcterms:W3CDTF">2025-12-05T14:07:00Z</dcterms:created>
  <dcterms:modified xsi:type="dcterms:W3CDTF">2025-12-19T16:11:00Z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a289146d-2b85-4014-a331-a59cdf7050d6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lassificationContentMarkingFooterShapeIds">
    <vt:lpwstr>7036d62d,5e681f23,11995a35</vt:lpwstr>
  </property>
  <property fmtid="{D5CDD505-2E9C-101B-9397-08002B2CF9AE}" pid="9" name="ClassificationContentMarkingFooterFontProps">
    <vt:lpwstr>#000000,10,Calibri</vt:lpwstr>
  </property>
  <property fmtid="{D5CDD505-2E9C-101B-9397-08002B2CF9AE}" pid="10" name="ClassificationContentMarkingFooterText">
    <vt:lpwstr>WIPO FOR OFFICIAL USE ONLY </vt:lpwstr>
  </property>
  <property fmtid="{D5CDD505-2E9C-101B-9397-08002B2CF9AE}" pid="11" name="MSIP_Label_bfc084f7-b690-4c43-8ee6-d475b6d3461d_Enabled">
    <vt:lpwstr>true</vt:lpwstr>
  </property>
  <property fmtid="{D5CDD505-2E9C-101B-9397-08002B2CF9AE}" pid="12" name="MSIP_Label_bfc084f7-b690-4c43-8ee6-d475b6d3461d_SetDate">
    <vt:lpwstr>2025-11-13T09:21:59Z</vt:lpwstr>
  </property>
  <property fmtid="{D5CDD505-2E9C-101B-9397-08002B2CF9AE}" pid="13" name="MSIP_Label_bfc084f7-b690-4c43-8ee6-d475b6d3461d_Method">
    <vt:lpwstr>Standard</vt:lpwstr>
  </property>
  <property fmtid="{D5CDD505-2E9C-101B-9397-08002B2CF9AE}" pid="14" name="MSIP_Label_bfc084f7-b690-4c43-8ee6-d475b6d3461d_Name">
    <vt:lpwstr>FOR OFFICIAL USE ONLY</vt:lpwstr>
  </property>
  <property fmtid="{D5CDD505-2E9C-101B-9397-08002B2CF9AE}" pid="15" name="MSIP_Label_bfc084f7-b690-4c43-8ee6-d475b6d3461d_SiteId">
    <vt:lpwstr>faa31b06-8ccc-48c9-867f-f7510dd11c02</vt:lpwstr>
  </property>
  <property fmtid="{D5CDD505-2E9C-101B-9397-08002B2CF9AE}" pid="16" name="MSIP_Label_bfc084f7-b690-4c43-8ee6-d475b6d3461d_ActionId">
    <vt:lpwstr>d3938f18-cbb1-4b92-83cb-4169895e0f59</vt:lpwstr>
  </property>
  <property fmtid="{D5CDD505-2E9C-101B-9397-08002B2CF9AE}" pid="17" name="MSIP_Label_bfc084f7-b690-4c43-8ee6-d475b6d3461d_ContentBits">
    <vt:lpwstr>2</vt:lpwstr>
  </property>
  <property fmtid="{D5CDD505-2E9C-101B-9397-08002B2CF9AE}" pid="18" name="MSIP_Label_bfc084f7-b690-4c43-8ee6-d475b6d3461d_Tag">
    <vt:lpwstr>10, 3, 0, 1</vt:lpwstr>
  </property>
</Properties>
</file>