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E012" w14:textId="5CE99602" w:rsidR="008B2CC1" w:rsidRPr="00F043DE" w:rsidRDefault="00EA2BCE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82CAC36" wp14:editId="5CD25AAA">
            <wp:extent cx="2793998" cy="1301750"/>
            <wp:effectExtent l="0" t="0" r="698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28" cy="131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CC424" w14:textId="3DE30AE8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7</w:t>
      </w:r>
    </w:p>
    <w:p w14:paraId="6C2D7C5B" w14:textId="299EF720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китайский/английский</w:t>
      </w:r>
    </w:p>
    <w:bookmarkEnd w:id="1"/>
    <w:p w14:paraId="2808A2C0" w14:textId="73B2B38C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19 декабря 2025 года</w:t>
      </w:r>
    </w:p>
    <w:bookmarkEnd w:id="2"/>
    <w:p w14:paraId="6E58649B" w14:textId="1A70C7AD" w:rsidR="008B2CC1" w:rsidRPr="00720EFD" w:rsidRDefault="00761CD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Договор о патентной кооперации (PCT)</w:t>
      </w:r>
      <w:r>
        <w:rPr>
          <w:caps w:val="0"/>
          <w:sz w:val="28"/>
        </w:rPr>
        <w:cr/>
        <w:t>Комитет по техническому сотрудничеству</w:t>
      </w:r>
    </w:p>
    <w:p w14:paraId="50188BBD" w14:textId="35E7EA40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58B5AE32" w14:textId="5396642D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4CE89A84" w14:textId="668B8BCA" w:rsidR="008B2CC1" w:rsidRPr="003845C1" w:rsidRDefault="006B489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ПРОДЛЕНИЕ НАЗНАЧЕНИЯ НАЦИОНАЛЬНОГО УПРАВЛЕНИЯ ИНТЕЛЛЕКТУАЛЬНОЙ СОБСТВЕННОСТИ КИТАЯ В КАЧЕСТВЕ МЕЖДУНАРОДНОГО ПОИСКОВОГО ОРГАНА И ОРГАНА МЕЖДУНАРОДНОЙ ПРЕДВАРИТЕЛЬНОЙ ЭКСПЕРТИЗЫ В РАМКАХ РСТ</w:t>
      </w:r>
    </w:p>
    <w:p w14:paraId="127C9871" w14:textId="5109850E" w:rsidR="002928D3" w:rsidRPr="00F9165B" w:rsidRDefault="006B4896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6F7ECDC8" w14:textId="5C139C85" w:rsidR="006B2C5A" w:rsidRPr="006B2C5A" w:rsidRDefault="00844386" w:rsidP="006B2C5A">
      <w:pPr>
        <w:pStyle w:val="ONUME"/>
      </w:pPr>
      <w:r>
        <w:t>Все действующие международные органы были назначены Ассамблеей РСТ на срок, заканчивающийся 31 декабря 2027 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 PCT/CTC/33/INF/1.</w:t>
      </w:r>
    </w:p>
    <w:p w14:paraId="54B860C7" w14:textId="64F2B9BA" w:rsidR="006B2C5A" w:rsidRPr="006B2C5A" w:rsidRDefault="006B2C5A" w:rsidP="006B2C5A">
      <w:pPr>
        <w:pStyle w:val="ONUME"/>
      </w:pPr>
      <w:r>
        <w:t>27 ноября 2025 года Национальное управление интеллектуальной собственности Китая подало заявление о продлении своего назначения, которое воспроизводится в приложении к настоящему документу.</w:t>
      </w:r>
    </w:p>
    <w:p w14:paraId="4A9994E1" w14:textId="1EA5CCCF" w:rsidR="0065287E" w:rsidRPr="006B2C5A" w:rsidRDefault="006B2C5A" w:rsidP="006B2C5A">
      <w:pPr>
        <w:pStyle w:val="ONUME"/>
        <w:ind w:left="5533"/>
        <w:rPr>
          <w:i/>
        </w:rPr>
      </w:pPr>
      <w:r>
        <w:rPr>
          <w:i/>
        </w:rPr>
        <w:t>Комитету предлагается высказать свое мнение по данному вопросу.</w:t>
      </w:r>
    </w:p>
    <w:p w14:paraId="08B30D21" w14:textId="77777777" w:rsidR="00346ECC" w:rsidRDefault="006B2C5A" w:rsidP="0065287E">
      <w:pPr>
        <w:pStyle w:val="Endofdocument-Annex"/>
        <w:sectPr w:rsidR="00346ECC" w:rsidSect="002C42E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/>
        <w:t>[Приложение следует]</w:t>
      </w:r>
    </w:p>
    <w:p w14:paraId="7B069AFC" w14:textId="77777777" w:rsidR="00346ECC" w:rsidRDefault="00346ECC" w:rsidP="00346ECC">
      <w:pPr>
        <w:pStyle w:val="Heading2"/>
        <w:jc w:val="center"/>
      </w:pPr>
      <w:r>
        <w:lastRenderedPageBreak/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4774B9DF" w14:textId="77777777" w:rsidR="00346ECC" w:rsidRPr="00346ECC" w:rsidRDefault="00346ECC" w:rsidP="00346ECC">
      <w:pPr>
        <w:pStyle w:val="SectionHeading"/>
      </w:pPr>
      <w:r>
        <w:t>1 – ОБЩИЕ СВЕДЕНИЯ</w:t>
      </w:r>
    </w:p>
    <w:p w14:paraId="16307282" w14:textId="77777777" w:rsidR="00170144" w:rsidRDefault="00346ECC" w:rsidP="00170144">
      <w:pPr>
        <w:pStyle w:val="Question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640B7175" w14:textId="1A4CFA71" w:rsidR="00346ECC" w:rsidRPr="00170144" w:rsidRDefault="00170144" w:rsidP="00170144">
      <w:pPr>
        <w:pStyle w:val="Answer"/>
      </w:pPr>
      <w:r>
        <w:t>Национальное управление интеллектуальной собственности Китая</w:t>
      </w:r>
    </w:p>
    <w:p w14:paraId="260C805B" w14:textId="77777777" w:rsidR="00346ECC" w:rsidRDefault="00346ECC" w:rsidP="00170144">
      <w:pPr>
        <w:pStyle w:val="Question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2093DB80" w14:textId="606B6EC8" w:rsidR="00170144" w:rsidRPr="00170144" w:rsidRDefault="00170144" w:rsidP="00170144">
      <w:pPr>
        <w:pStyle w:val="Answer"/>
      </w:pPr>
      <w:r>
        <w:t>ЛЯН Юй, liangyu@cnipa.gov.cn</w:t>
      </w:r>
    </w:p>
    <w:p w14:paraId="6358795E" w14:textId="6708CD10" w:rsidR="00170144" w:rsidRDefault="00170144" w:rsidP="00170144">
      <w:pPr>
        <w:pStyle w:val="Answer"/>
      </w:pPr>
      <w:r>
        <w:t>ВАН Вэйвэй, wangweiwei_2@cnipa.gov.cn</w:t>
      </w:r>
    </w:p>
    <w:p w14:paraId="7665C6C0" w14:textId="137EBFB9" w:rsidR="00170144" w:rsidRPr="00D65E50" w:rsidRDefault="00170144" w:rsidP="00170144">
      <w:pPr>
        <w:pStyle w:val="Answer"/>
      </w:pPr>
      <w:r>
        <w:t>ФУ Аньчжи, fuanzhi@cnipa.gov.cn</w:t>
      </w:r>
    </w:p>
    <w:p w14:paraId="48A4D749" w14:textId="77777777" w:rsidR="00346ECC" w:rsidRDefault="00346ECC" w:rsidP="00346ECC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76E3D625" w14:textId="3A821B22" w:rsidR="00346ECC" w:rsidRPr="009E2BDD" w:rsidRDefault="009E2BDD" w:rsidP="00346ECC">
      <w:pPr>
        <w:pStyle w:val="Answer"/>
        <w:rPr>
          <w:iCs/>
        </w:rPr>
      </w:pPr>
      <w:r>
        <w:t>27 ноября 2025 года</w:t>
      </w:r>
    </w:p>
    <w:p w14:paraId="1D9B4659" w14:textId="77777777" w:rsidR="00346ECC" w:rsidRPr="00346ECC" w:rsidRDefault="00346ECC" w:rsidP="00346ECC">
      <w:pPr>
        <w:pStyle w:val="SectionHeading"/>
      </w:pPr>
      <w:r>
        <w:t>2 – Минимум требований для назначения</w:t>
      </w:r>
    </w:p>
    <w:p w14:paraId="68E69660" w14:textId="6737C972" w:rsidR="00346ECC" w:rsidRPr="00DB2158" w:rsidRDefault="00346ECC" w:rsidP="00346ECC">
      <w:r>
        <w:t>В дополнение к ежегодному отчету ведомства или организации о системе управления качеством за 2025 год («отчет о системе УК»</w:t>
      </w:r>
      <w:r w:rsidR="00BA77A9">
        <w:t>,</w:t>
      </w:r>
      <w:r>
        <w:t xml:space="preserve"> </w:t>
      </w:r>
      <w:bookmarkStart w:id="6" w:name="_Hlk215576586"/>
      <w:r w:rsidR="009E2BDD">
        <w:rPr>
          <w:rStyle w:val="Hyperlink"/>
          <w:highlight w:val="yellow"/>
        </w:rPr>
        <w:fldChar w:fldCharType="begin"/>
      </w:r>
      <w:r w:rsidR="009E2BDD">
        <w:rPr>
          <w:rStyle w:val="Hyperlink"/>
          <w:highlight w:val="yellow"/>
        </w:rPr>
        <w:instrText>HYPERLINK "https://www.wipo.int/en/web/pct-system/quality/authorities%23CN"</w:instrText>
      </w:r>
      <w:r w:rsidR="0014600A">
        <w:rPr>
          <w:rStyle w:val="Hyperlink"/>
          <w:highlight w:val="yellow"/>
        </w:rPr>
      </w:r>
      <w:r w:rsidR="009E2BDD">
        <w:rPr>
          <w:rStyle w:val="Hyperlink"/>
          <w:highlight w:val="yellow"/>
        </w:rPr>
        <w:fldChar w:fldCharType="separate"/>
      </w:r>
      <w:r>
        <w:rPr>
          <w:rStyle w:val="Hyperlink"/>
        </w:rPr>
        <w:t>https://www.wipo.int/en/web/pct-system/quality/authorities#</w:t>
      </w:r>
      <w:bookmarkEnd w:id="6"/>
      <w:r>
        <w:rPr>
          <w:rStyle w:val="Hyperlink"/>
        </w:rPr>
        <w:t>CN</w:t>
      </w:r>
      <w:r w:rsidR="009E2BDD">
        <w:rPr>
          <w:rStyle w:val="Hyperlink"/>
          <w:highlight w:val="yellow"/>
        </w:rPr>
        <w:fldChar w:fldCharType="end"/>
      </w:r>
      <w:r w:rsidRPr="00BA77A9">
        <w:rPr>
          <w:iCs/>
        </w:rPr>
        <w:t>)</w:t>
      </w:r>
      <w:r>
        <w:t>, подготовленному в соответствии с пунктами 21.31 и 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7123DD1A" w14:textId="77777777" w:rsidR="00346ECC" w:rsidRPr="00346ECC" w:rsidRDefault="00346ECC" w:rsidP="003A7301">
      <w:pPr>
        <w:pStyle w:val="SectionHeading"/>
        <w:keepNext w:val="0"/>
        <w:keepLines w:val="0"/>
      </w:pPr>
      <w:r>
        <w:t>2.1 – ВОЗМОЖНОСТИ ДЛЯ ПРОВЕДЕНИЯ ПОИСКА И ЭКСПЕРТИЗЫ</w:t>
      </w:r>
    </w:p>
    <w:p w14:paraId="07E634CC" w14:textId="7BEAB1C2" w:rsidR="00346ECC" w:rsidRDefault="00346ECC" w:rsidP="003A7301">
      <w:pPr>
        <w:pStyle w:val="RuleQuote"/>
        <w:keepNext w:val="0"/>
        <w:keepLines w:val="0"/>
      </w:pPr>
      <w:r>
        <w:t>Правила 36.1(i) и 63.1(i).  Национальное ведомство или межправительственная организация должны иметь по крайней мере 100</w:t>
      </w:r>
      <w:r w:rsidR="00EA2BCE">
        <w:rPr>
          <w:lang w:val="en-US"/>
        </w:rPr>
        <w:t> </w:t>
      </w:r>
      <w:r>
        <w:t>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25841D73" w14:textId="73B50583" w:rsidR="00346ECC" w:rsidRPr="00446105" w:rsidRDefault="00346ECC" w:rsidP="003A7301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 Орган также указывает следующую информацию о количестве сотрудников, обладающих квалификацией для проведения поиска и экспертизы.</w:t>
      </w:r>
    </w:p>
    <w:p w14:paraId="586A861D" w14:textId="77777777" w:rsidR="00346ECC" w:rsidRDefault="00346ECC" w:rsidP="00346ECC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данные об уровне их квалификации."/>
      </w:tblPr>
      <w:tblGrid>
        <w:gridCol w:w="3012"/>
        <w:gridCol w:w="1664"/>
        <w:gridCol w:w="1517"/>
        <w:gridCol w:w="2386"/>
      </w:tblGrid>
      <w:tr w:rsidR="00346ECC" w14:paraId="77515EDE" w14:textId="77777777" w:rsidTr="00740C0E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EF5D" w14:textId="77777777" w:rsidR="00346ECC" w:rsidRDefault="00346ECC" w:rsidP="00D65E50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7AAF" w14:textId="77777777" w:rsidR="00346ECC" w:rsidRDefault="00346ECC" w:rsidP="00D65E50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Число сотрудников (в пересчете на полную занятость)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262" w14:textId="77777777" w:rsidR="00346ECC" w:rsidRDefault="00346ECC" w:rsidP="00D65E50">
            <w:pPr>
              <w:keepNext/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4608" w14:textId="77777777" w:rsidR="00346ECC" w:rsidRDefault="00346ECC" w:rsidP="00740C0E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Профессиональная специализация</w:t>
            </w:r>
          </w:p>
        </w:tc>
      </w:tr>
      <w:tr w:rsidR="00DE485C" w14:paraId="68C04309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32C" w14:textId="77777777" w:rsidR="00DE485C" w:rsidRDefault="00DE485C" w:rsidP="00D65E50">
            <w:pPr>
              <w:keepNext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0AA" w14:textId="6FEA2568" w:rsidR="00DE485C" w:rsidRDefault="00DE485C" w:rsidP="00D65E50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2858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DA5" w14:textId="561D65CC" w:rsidR="00DE485C" w:rsidRDefault="00DE485C" w:rsidP="00D65E50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3C26" w14:textId="40D715D5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10,56%</w:t>
            </w:r>
          </w:p>
        </w:tc>
      </w:tr>
      <w:tr w:rsidR="00DE485C" w14:paraId="4916657D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A2E" w14:textId="166D543D" w:rsidR="00DE485C" w:rsidRDefault="00DE485C" w:rsidP="00D65E50">
            <w:pPr>
              <w:keepNext/>
              <w:suppressAutoHyphens/>
              <w:rPr>
                <w:rFonts w:eastAsia="Times New Roman"/>
                <w:szCs w:val="22"/>
              </w:rPr>
            </w:pPr>
            <w:r>
              <w:t>Электричество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E7E" w14:textId="04AA05A4" w:rsidR="00DE485C" w:rsidRDefault="00DE485C" w:rsidP="00D65E50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3169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211" w14:textId="75B25EB8" w:rsidR="00DE485C" w:rsidRDefault="00DE485C" w:rsidP="00D65E50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7,72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4EF" w14:textId="56E89E25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28,74%</w:t>
            </w:r>
          </w:p>
        </w:tc>
      </w:tr>
      <w:tr w:rsidR="00DE485C" w14:paraId="6AE810DC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1B5" w14:textId="58187947" w:rsidR="00DE485C" w:rsidRDefault="007B17F0" w:rsidP="003A7301">
            <w:pPr>
              <w:suppressAutoHyphens/>
              <w:rPr>
                <w:szCs w:val="22"/>
              </w:rPr>
            </w:pPr>
            <w:r>
              <w:t>Связь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2F7" w14:textId="09A71C8E" w:rsidR="00DE485C" w:rsidRPr="00AE1E51" w:rsidRDefault="00DE485C" w:rsidP="00DE485C">
            <w:pPr>
              <w:keepNext/>
              <w:keepLines/>
              <w:suppressAutoHyphens/>
              <w:jc w:val="center"/>
            </w:pPr>
            <w:r>
              <w:t>1473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FFE" w14:textId="05A9F8AC" w:rsidR="00DE485C" w:rsidRPr="00AE1E51" w:rsidRDefault="00DE485C" w:rsidP="00DE485C">
            <w:pPr>
              <w:keepNext/>
              <w:keepLines/>
              <w:suppressAutoHyphens/>
              <w:jc w:val="right"/>
            </w:pPr>
            <w:r>
              <w:t>9,0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38E" w14:textId="64B59F72" w:rsidR="00DE485C" w:rsidRPr="00AE1E51" w:rsidRDefault="00DE485C" w:rsidP="00DE485C">
            <w:pPr>
              <w:keepNext/>
              <w:keepLines/>
              <w:suppressAutoHyphens/>
              <w:jc w:val="right"/>
            </w:pPr>
            <w:r>
              <w:t>27,46%</w:t>
            </w:r>
          </w:p>
        </w:tc>
      </w:tr>
      <w:tr w:rsidR="00DE485C" w14:paraId="640E6F5D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8E9" w14:textId="2FACD89B" w:rsidR="00DE485C" w:rsidRDefault="00DE485C" w:rsidP="003A7301">
            <w:pPr>
              <w:suppressAutoHyphens/>
              <w:rPr>
                <w:szCs w:val="22"/>
              </w:rPr>
            </w:pPr>
            <w:r>
              <w:t>Медицина и фармацевтика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512" w14:textId="0E30B65C" w:rsidR="00DE485C" w:rsidRPr="005B6F49" w:rsidRDefault="00DE485C" w:rsidP="00DE485C">
            <w:pPr>
              <w:keepNext/>
              <w:keepLines/>
              <w:suppressAutoHyphens/>
              <w:jc w:val="center"/>
            </w:pPr>
            <w:r>
              <w:t>892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6BE" w14:textId="25E8CCBD" w:rsidR="00DE485C" w:rsidRPr="005B6F49" w:rsidRDefault="00DE485C" w:rsidP="00DE485C">
            <w:pPr>
              <w:keepNext/>
              <w:keepLines/>
              <w:suppressAutoHyphens/>
              <w:jc w:val="right"/>
            </w:pPr>
            <w:r>
              <w:t>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3BF" w14:textId="6F032F52" w:rsidR="00DE485C" w:rsidRPr="005B6F49" w:rsidRDefault="00DE485C" w:rsidP="00DE485C">
            <w:pPr>
              <w:keepNext/>
              <w:keepLines/>
              <w:suppressAutoHyphens/>
              <w:jc w:val="right"/>
            </w:pPr>
            <w:r>
              <w:t>6,24%</w:t>
            </w:r>
          </w:p>
        </w:tc>
      </w:tr>
      <w:tr w:rsidR="00DE485C" w14:paraId="35CEA9B7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3CE1" w14:textId="02D7CC09" w:rsidR="00DE485C" w:rsidRDefault="007B17F0" w:rsidP="003A7301">
            <w:pPr>
              <w:suppressAutoHyphens/>
              <w:rPr>
                <w:rFonts w:eastAsia="Times New Roman"/>
                <w:szCs w:val="22"/>
              </w:rPr>
            </w:pPr>
            <w:r>
              <w:t>Оптоэлектроника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716" w14:textId="7DD09C2B" w:rsidR="00DE485C" w:rsidRDefault="00DE485C" w:rsidP="00DE485C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866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0DD" w14:textId="6B4E6F04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160" w14:textId="3B05CCA9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5,23%</w:t>
            </w:r>
          </w:p>
        </w:tc>
      </w:tr>
      <w:tr w:rsidR="00DE485C" w14:paraId="43B3776C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A327" w14:textId="77777777" w:rsidR="00DE485C" w:rsidRDefault="00DE485C" w:rsidP="003A7301">
            <w:pPr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88E" w14:textId="6AFF1AFF" w:rsidR="00DE485C" w:rsidRDefault="00DE485C" w:rsidP="00DE485C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2671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42D" w14:textId="66FAB586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E19" w14:textId="3B12B1D8" w:rsidR="00DE485C" w:rsidRDefault="00DE485C" w:rsidP="00DE485C">
            <w:pPr>
              <w:keepNext/>
              <w:keepLines/>
              <w:suppressAutoHyphens/>
              <w:jc w:val="right"/>
              <w:rPr>
                <w:rFonts w:eastAsia="Times New Roman"/>
                <w:szCs w:val="22"/>
              </w:rPr>
            </w:pPr>
            <w:r>
              <w:t>14,60%</w:t>
            </w:r>
          </w:p>
        </w:tc>
      </w:tr>
      <w:tr w:rsidR="00DE485C" w14:paraId="09F00644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91B" w14:textId="2BBB2826" w:rsidR="00DE485C" w:rsidRDefault="00DE485C" w:rsidP="003A7301">
            <w:pPr>
              <w:suppressAutoHyphens/>
              <w:rPr>
                <w:szCs w:val="22"/>
              </w:rPr>
            </w:pPr>
            <w:r>
              <w:t>Материалы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AEA" w14:textId="57BB974E" w:rsidR="00DE485C" w:rsidRPr="0029683C" w:rsidRDefault="00DE485C" w:rsidP="00DE485C">
            <w:pPr>
              <w:keepNext/>
              <w:keepLines/>
              <w:suppressAutoHyphens/>
              <w:jc w:val="center"/>
            </w:pPr>
            <w:r>
              <w:t>2134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F23" w14:textId="4C5B4CE5" w:rsidR="00DE485C" w:rsidRPr="0029683C" w:rsidRDefault="00DE485C" w:rsidP="00DE485C">
            <w:pPr>
              <w:keepNext/>
              <w:keepLines/>
              <w:suppressAutoHyphens/>
              <w:jc w:val="right"/>
            </w:pPr>
            <w:r>
              <w:t>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A2B" w14:textId="65A1CC59" w:rsidR="00DE485C" w:rsidRPr="0029683C" w:rsidRDefault="00DE485C" w:rsidP="00DE485C">
            <w:pPr>
              <w:keepNext/>
              <w:keepLines/>
              <w:suppressAutoHyphens/>
              <w:jc w:val="right"/>
            </w:pPr>
            <w:r>
              <w:t>7,16%</w:t>
            </w:r>
          </w:p>
        </w:tc>
      </w:tr>
      <w:tr w:rsidR="00DE485C" w14:paraId="3C694AA2" w14:textId="77777777" w:rsidTr="00740C0E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4B44" w14:textId="77777777" w:rsidR="00DE485C" w:rsidRDefault="00DE485C" w:rsidP="00DE485C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229" w14:textId="52A8701D" w:rsidR="00DE485C" w:rsidRDefault="00DE485C" w:rsidP="00DE485C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t>14 063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C4C" w14:textId="77777777" w:rsidR="00DE485C" w:rsidRDefault="00DE485C" w:rsidP="00DE485C">
            <w:pPr>
              <w:suppressAutoHyphens/>
              <w:jc w:val="right"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B71" w14:textId="7A066C51" w:rsidR="00DE485C" w:rsidRDefault="00DE485C" w:rsidP="00DE485C">
            <w:pPr>
              <w:suppressAutoHyphens/>
              <w:jc w:val="right"/>
              <w:rPr>
                <w:rFonts w:eastAsia="Times New Roman"/>
                <w:i/>
                <w:iCs/>
                <w:szCs w:val="22"/>
              </w:rPr>
            </w:pPr>
            <w:r>
              <w:t>100%</w:t>
            </w:r>
          </w:p>
        </w:tc>
      </w:tr>
    </w:tbl>
    <w:p w14:paraId="0317719A" w14:textId="77777777" w:rsidR="00EA2BCE" w:rsidRDefault="00EA2BCE" w:rsidP="00133B70">
      <w:pPr>
        <w:pStyle w:val="RuleQuote"/>
        <w:keepNext w:val="0"/>
        <w:keepLines w:val="0"/>
        <w:ind w:left="0"/>
        <w:rPr>
          <w:i w:val="0"/>
          <w:lang w:val="en-US"/>
        </w:rPr>
      </w:pPr>
    </w:p>
    <w:p w14:paraId="2E61059E" w14:textId="220C3334" w:rsidR="00346ECC" w:rsidRPr="00446105" w:rsidRDefault="00346ECC" w:rsidP="00133B70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и приведенной выше таблицы (необязательно):</w:t>
      </w:r>
    </w:p>
    <w:p w14:paraId="5B2143EE" w14:textId="77777777" w:rsidR="00346ECC" w:rsidRDefault="00346ECC" w:rsidP="00133B70">
      <w:pPr>
        <w:pStyle w:val="Question"/>
        <w:keepNext w:val="0"/>
        <w:keepLines w:val="0"/>
        <w:spacing w:before="240" w:after="480"/>
        <w:rPr>
          <w:rFonts w:eastAsia="Times New Roman"/>
          <w:kern w:val="32"/>
          <w:szCs w:val="32"/>
        </w:rPr>
      </w:pPr>
    </w:p>
    <w:p w14:paraId="2637F0E2" w14:textId="77777777" w:rsidR="00346ECC" w:rsidRPr="00346ECC" w:rsidRDefault="00346ECC" w:rsidP="00133B70">
      <w:pPr>
        <w:pStyle w:val="SectionHeading"/>
        <w:keepNext w:val="0"/>
        <w:keepLines w:val="0"/>
      </w:pPr>
      <w:r>
        <w:t>2.2 – МИНИМУМ ДОКУМЕНТАЦИИ – ПРЕДОСТАВЛЕНИЕ ДЛЯ ОЗНАКОМЛЕНИЯ</w:t>
      </w:r>
    </w:p>
    <w:p w14:paraId="4B20C566" w14:textId="77777777" w:rsidR="00346ECC" w:rsidRDefault="00346ECC" w:rsidP="00133B70">
      <w:pPr>
        <w:pStyle w:val="RuleQuote"/>
        <w:keepNext w:val="0"/>
        <w:keepLines w:val="0"/>
      </w:pPr>
      <w:r>
        <w:t>Правила 36.1(ii) и 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4341B5D8" w14:textId="1D846F85" w:rsidR="00346ECC" w:rsidRPr="00C81827" w:rsidRDefault="00346ECC" w:rsidP="00133B70">
      <w:pPr>
        <w:pStyle w:val="RuleQuote"/>
        <w:keepNext w:val="0"/>
        <w:keepLines w:val="0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0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4AE9E680" w14:textId="15DEF31F" w:rsidR="00346ECC" w:rsidRDefault="00346ECC" w:rsidP="00133B70">
      <w:pPr>
        <w:pStyle w:val="Question"/>
        <w:keepNext w:val="0"/>
        <w:keepLines w:val="0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0144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опубликована в Бюллетене РСТ по адресу: </w:t>
      </w:r>
      <w:hyperlink r:id="rId11" w:anchor="page=185" w:history="1">
        <w:r>
          <w:rPr>
            <w:rStyle w:val="Hyperlink"/>
            <w:b w:val="0"/>
          </w:rPr>
          <w:t>https://www.wipo.int/documents/d/pct-system/docs-en-official-notices-officialnotices.pdf#page=185</w:t>
        </w:r>
      </w:hyperlink>
      <w:r>
        <w:rPr>
          <w:rStyle w:val="Hyperlink"/>
          <w:b w:val="0"/>
        </w:rPr>
        <w:t>.</w:t>
      </w:r>
    </w:p>
    <w:p w14:paraId="0A3C9DD6" w14:textId="2075DCA5" w:rsidR="00EA2BCE" w:rsidRDefault="00EA2BCE">
      <w:r>
        <w:br w:type="page"/>
      </w:r>
    </w:p>
    <w:p w14:paraId="527FCC58" w14:textId="77777777" w:rsidR="00346ECC" w:rsidRDefault="00346ECC" w:rsidP="00346ECC">
      <w:pPr>
        <w:pStyle w:val="Answer"/>
        <w:ind w:left="0"/>
      </w:pPr>
      <w:r>
        <w:lastRenderedPageBreak/>
        <w:t>Либо:</w:t>
      </w:r>
    </w:p>
    <w:p w14:paraId="0BCF2F41" w14:textId="77777777" w:rsidR="00346ECC" w:rsidRPr="00935C61" w:rsidRDefault="00A4481E" w:rsidP="00346ECC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ECC">
            <w:rPr>
              <w:rFonts w:ascii="MS Gothic" w:eastAsia="MS Gothic" w:hAnsi="MS Gothic" w:hint="eastAsia"/>
            </w:rPr>
            <w:t>☐</w:t>
          </w:r>
        </w:sdtContent>
      </w:sdt>
      <w:r w:rsidR="00281286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26547794" w14:textId="77777777" w:rsidR="00346ECC" w:rsidRPr="00B01040" w:rsidRDefault="00346ECC" w:rsidP="00346ECC"/>
    <w:p w14:paraId="70F102FA" w14:textId="77777777" w:rsidR="00346ECC" w:rsidRPr="00EB5554" w:rsidRDefault="00346ECC" w:rsidP="003A7301">
      <w:pPr>
        <w:pStyle w:val="SectionHeading"/>
      </w:pPr>
      <w:r>
        <w:t>2.3 – МИНИМУМ ДОКУМЕНТАЦИИ – ДОСТУП</w:t>
      </w:r>
    </w:p>
    <w:p w14:paraId="690C31B2" w14:textId="77777777" w:rsidR="00346ECC" w:rsidRPr="006175E3" w:rsidRDefault="00346ECC" w:rsidP="003A7301">
      <w:pPr>
        <w:pStyle w:val="RuleQuote"/>
        <w:keepNext w:val="0"/>
        <w:keepLines w:val="0"/>
        <w:rPr>
          <w:i w:val="0"/>
          <w:iCs w:val="0"/>
        </w:rPr>
      </w:pPr>
      <w:r>
        <w:t>Правила 36.1(iii) и 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13DB63B1" w14:textId="77777777" w:rsidR="00346ECC" w:rsidRDefault="00346ECC" w:rsidP="003A7301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628C3199" w14:textId="5DCD9459" w:rsidR="00346ECC" w:rsidRPr="00446105" w:rsidRDefault="00346ECC" w:rsidP="003A7301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(необязательно):</w:t>
      </w:r>
    </w:p>
    <w:p w14:paraId="3757B28B" w14:textId="77777777" w:rsidR="00346ECC" w:rsidRPr="000F337A" w:rsidRDefault="00346ECC" w:rsidP="003A7301">
      <w:pPr>
        <w:pStyle w:val="RuleQuote"/>
        <w:keepNext w:val="0"/>
        <w:keepLines w:val="0"/>
        <w:ind w:left="0"/>
        <w:rPr>
          <w:i w:val="0"/>
          <w:iCs w:val="0"/>
        </w:rPr>
      </w:pPr>
    </w:p>
    <w:p w14:paraId="3A6950EB" w14:textId="77777777" w:rsidR="00346ECC" w:rsidRPr="00346ECC" w:rsidRDefault="00346ECC" w:rsidP="00346ECC">
      <w:pPr>
        <w:pStyle w:val="SectionHeading"/>
        <w:keepNext w:val="0"/>
      </w:pPr>
      <w:r>
        <w:t>2.4 – УПРАВЛЕНИЕ КАЧЕСТВОМ</w:t>
      </w:r>
    </w:p>
    <w:p w14:paraId="755219B7" w14:textId="77777777" w:rsidR="00346ECC" w:rsidRDefault="00346ECC" w:rsidP="00346ECC">
      <w:pPr>
        <w:pStyle w:val="RuleQuote"/>
        <w:keepNext w:val="0"/>
      </w:pPr>
      <w:r>
        <w:t>Правила 36.1(iv) и 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69B17338" w14:textId="77777777" w:rsidR="00346ECC" w:rsidRDefault="00346ECC" w:rsidP="00346ECC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579E215B" w14:textId="2FFC4D56" w:rsidR="00346ECC" w:rsidRPr="00446105" w:rsidRDefault="00346ECC" w:rsidP="00EA2BCE">
      <w:pPr>
        <w:pStyle w:val="RuleQuote"/>
        <w:keepNext w:val="0"/>
        <w:keepLines w:val="0"/>
        <w:widowControl w:val="0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(необязательно):</w:t>
      </w:r>
    </w:p>
    <w:p w14:paraId="68727D1E" w14:textId="2D281BA9" w:rsidR="00EA2BCE" w:rsidRDefault="00EA2BCE">
      <w:pPr>
        <w:rPr>
          <w:bCs/>
        </w:rPr>
      </w:pPr>
      <w:r>
        <w:rPr>
          <w:i/>
          <w:iCs/>
        </w:rPr>
        <w:br w:type="page"/>
      </w:r>
    </w:p>
    <w:p w14:paraId="0B36D8AB" w14:textId="77777777" w:rsidR="00346ECC" w:rsidRPr="00346ECC" w:rsidRDefault="00346ECC" w:rsidP="00346ECC">
      <w:pPr>
        <w:pStyle w:val="SectionHeading"/>
        <w:keepNext w:val="0"/>
      </w:pPr>
      <w:r>
        <w:t>3 – СФЕРА ДЕЯТЕЛЬНОСТИ</w:t>
      </w:r>
    </w:p>
    <w:p w14:paraId="5222D9C2" w14:textId="2C085C28" w:rsidR="00346ECC" w:rsidRDefault="00346ECC" w:rsidP="00346ECC">
      <w:pPr>
        <w:pStyle w:val="Question"/>
        <w:keepNext w:val="0"/>
        <w:spacing w:after="480"/>
      </w:pPr>
      <w:r>
        <w:t>(a)</w:t>
      </w:r>
      <w:r>
        <w:tab/>
        <w:t>Сфера деятельности в текущий период</w:t>
      </w:r>
    </w:p>
    <w:p w14:paraId="1E08C5D0" w14:textId="5A7D3971" w:rsidR="00346ECC" w:rsidRPr="00DC4533" w:rsidRDefault="00346ECC" w:rsidP="00346ECC">
      <w:pPr>
        <w:pStyle w:val="Question"/>
        <w:keepNext w:val="0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следующей ссылке:  </w:t>
      </w:r>
      <w:bookmarkStart w:id="7" w:name="_Hlk215085102"/>
      <w:r w:rsidR="009E2BDD" w:rsidRPr="00170144">
        <w:rPr>
          <w:rStyle w:val="Hyperlink"/>
          <w:b w:val="0"/>
        </w:rPr>
        <w:fldChar w:fldCharType="begin"/>
      </w:r>
      <w:r w:rsidR="009E2BDD" w:rsidRPr="00170144">
        <w:rPr>
          <w:rStyle w:val="Hyperlink"/>
          <w:b w:val="0"/>
        </w:rPr>
        <w:instrText>HYPERLINK "https://pctlegal.wipo.int/eGuide/view-doc.xhtml?doc-code=CN&amp;doc-lang=en%23ISA"</w:instrText>
      </w:r>
      <w:r w:rsidR="0014600A" w:rsidRPr="00170144">
        <w:rPr>
          <w:rStyle w:val="Hyperlink"/>
          <w:b w:val="0"/>
        </w:rPr>
      </w:r>
      <w:r w:rsidR="009E2BDD" w:rsidRPr="00170144">
        <w:rPr>
          <w:rStyle w:val="Hyperlink"/>
          <w:b w:val="0"/>
        </w:rPr>
        <w:fldChar w:fldCharType="separate"/>
      </w:r>
      <w:r>
        <w:rPr>
          <w:rStyle w:val="Hyperlink"/>
          <w:b w:val="0"/>
        </w:rPr>
        <w:t>https://pctlegal.wipo.int/eGuide/view-doc.xhtml?doc-code=CN&amp;doc-lang=en#ISA</w:t>
      </w:r>
      <w:r w:rsidR="009E2BDD" w:rsidRPr="00170144">
        <w:rPr>
          <w:rStyle w:val="Hyperlink"/>
          <w:b w:val="0"/>
        </w:rPr>
        <w:fldChar w:fldCharType="end"/>
      </w:r>
      <w:r>
        <w:rPr>
          <w:b w:val="0"/>
        </w:rPr>
        <w:t xml:space="preserve"> и </w:t>
      </w:r>
      <w:hyperlink r:id="rId12" w:anchor="IPEA" w:history="1">
        <w:r>
          <w:rPr>
            <w:rStyle w:val="Hyperlink"/>
            <w:b w:val="0"/>
          </w:rPr>
          <w:t>https://pctlegal.wipo.int/eGuide/view-doc.xhtml?doc-code=CN&amp;doc-lang=en#IPEA</w:t>
        </w:r>
      </w:hyperlink>
      <w:bookmarkEnd w:id="7"/>
      <w:r>
        <w:rPr>
          <w:b w:val="0"/>
        </w:rPr>
        <w:t>.</w:t>
      </w:r>
    </w:p>
    <w:p w14:paraId="51998A56" w14:textId="7AEAF5DB" w:rsidR="00346ECC" w:rsidRDefault="00346ECC" w:rsidP="00346ECC">
      <w:pPr>
        <w:pStyle w:val="Question"/>
        <w:keepNext w:val="0"/>
        <w:spacing w:after="480"/>
      </w:pPr>
      <w:r>
        <w:t>(b)</w:t>
      </w:r>
      <w:r w:rsidR="00EA2BCE" w:rsidRPr="00EA2BCE">
        <w:tab/>
      </w:r>
      <w:r>
        <w:t>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0A5CF3EA" w14:textId="77777777" w:rsidR="00346ECC" w:rsidRPr="006A5881" w:rsidRDefault="00346ECC" w:rsidP="00346ECC">
      <w:pPr>
        <w:pStyle w:val="Answer"/>
      </w:pPr>
    </w:p>
    <w:p w14:paraId="2B06165A" w14:textId="77777777" w:rsidR="00346ECC" w:rsidRPr="00346ECC" w:rsidRDefault="00346ECC" w:rsidP="00346ECC">
      <w:pPr>
        <w:pStyle w:val="SectionHeading"/>
      </w:pPr>
      <w:r>
        <w:t>4 – ПРОЧЕЕ</w:t>
      </w:r>
    </w:p>
    <w:p w14:paraId="239432F8" w14:textId="77777777" w:rsidR="00346ECC" w:rsidRDefault="00346ECC" w:rsidP="00346ECC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07741762" w14:textId="77777777" w:rsidR="00346ECC" w:rsidRPr="00FA0CBE" w:rsidRDefault="00346ECC" w:rsidP="00346ECC"/>
    <w:p w14:paraId="0BB1C26D" w14:textId="77777777" w:rsidR="00346ECC" w:rsidRPr="00EA2BCE" w:rsidRDefault="00346ECC" w:rsidP="003A7301">
      <w:pPr>
        <w:pStyle w:val="SectionHeading"/>
        <w:keepNext w:val="0"/>
        <w:keepLines w:val="0"/>
      </w:pPr>
    </w:p>
    <w:p w14:paraId="43985585" w14:textId="589C273F" w:rsidR="0065287E" w:rsidRPr="00E64639" w:rsidRDefault="00E64639" w:rsidP="00E64639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65287E" w:rsidRPr="00E64639" w:rsidSect="00346ECC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1B97" w14:textId="77777777" w:rsidR="000B41AC" w:rsidRDefault="000B41AC">
      <w:r>
        <w:separator/>
      </w:r>
    </w:p>
  </w:endnote>
  <w:endnote w:type="continuationSeparator" w:id="0">
    <w:p w14:paraId="5BB614DE" w14:textId="77777777" w:rsidR="000B41AC" w:rsidRDefault="000B41AC" w:rsidP="003B38C1">
      <w:r>
        <w:separator/>
      </w:r>
    </w:p>
    <w:p w14:paraId="734B6781" w14:textId="77777777" w:rsidR="000B41AC" w:rsidRPr="00EA2BCE" w:rsidRDefault="000B41AC" w:rsidP="003B38C1">
      <w:pPr>
        <w:spacing w:after="60"/>
        <w:rPr>
          <w:sz w:val="17"/>
          <w:lang w:val="en-US"/>
        </w:rPr>
      </w:pPr>
      <w:r w:rsidRPr="00EA2BCE">
        <w:rPr>
          <w:sz w:val="17"/>
          <w:lang w:val="en-US"/>
        </w:rPr>
        <w:t>[Endnote continued from previous page]</w:t>
      </w:r>
    </w:p>
  </w:endnote>
  <w:endnote w:type="continuationNotice" w:id="1">
    <w:p w14:paraId="4C6BE0C4" w14:textId="77777777" w:rsidR="000B41AC" w:rsidRPr="00EA2BCE" w:rsidRDefault="000B41AC" w:rsidP="003B38C1">
      <w:pPr>
        <w:spacing w:before="60"/>
        <w:jc w:val="right"/>
        <w:rPr>
          <w:sz w:val="17"/>
          <w:szCs w:val="17"/>
          <w:lang w:val="en-US"/>
        </w:rPr>
      </w:pPr>
      <w:r w:rsidRPr="00EA2BCE">
        <w:rPr>
          <w:sz w:val="17"/>
          <w:szCs w:val="17"/>
          <w:lang w:val="en-US"/>
        </w:rPr>
        <w:t xml:space="preserve">[Endnote </w:t>
      </w:r>
      <w:proofErr w:type="gramStart"/>
      <w:r w:rsidRPr="00EA2BCE">
        <w:rPr>
          <w:sz w:val="17"/>
          <w:szCs w:val="17"/>
          <w:lang w:val="en-US"/>
        </w:rPr>
        <w:t>continued on</w:t>
      </w:r>
      <w:proofErr w:type="gramEnd"/>
      <w:r w:rsidRPr="00EA2BCE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2DBA" w14:textId="77777777" w:rsidR="000B41AC" w:rsidRDefault="000B41AC">
      <w:r>
        <w:separator/>
      </w:r>
    </w:p>
  </w:footnote>
  <w:footnote w:type="continuationSeparator" w:id="0">
    <w:p w14:paraId="3DAB52D9" w14:textId="77777777" w:rsidR="000B41AC" w:rsidRDefault="000B41AC" w:rsidP="008B60B2">
      <w:r>
        <w:separator/>
      </w:r>
    </w:p>
    <w:p w14:paraId="7096133D" w14:textId="77777777" w:rsidR="000B41AC" w:rsidRPr="00EA2BCE" w:rsidRDefault="000B41AC" w:rsidP="008B60B2">
      <w:pPr>
        <w:spacing w:after="60"/>
        <w:rPr>
          <w:sz w:val="17"/>
          <w:szCs w:val="17"/>
          <w:lang w:val="en-US"/>
        </w:rPr>
      </w:pPr>
      <w:r w:rsidRPr="00EA2BC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96B2B32" w14:textId="77777777" w:rsidR="000B41AC" w:rsidRPr="00EA2BCE" w:rsidRDefault="000B41AC" w:rsidP="008B60B2">
      <w:pPr>
        <w:spacing w:before="60"/>
        <w:jc w:val="right"/>
        <w:rPr>
          <w:sz w:val="17"/>
          <w:szCs w:val="17"/>
          <w:lang w:val="en-US"/>
        </w:rPr>
      </w:pPr>
      <w:r w:rsidRPr="00EA2BCE">
        <w:rPr>
          <w:sz w:val="17"/>
          <w:szCs w:val="17"/>
          <w:lang w:val="en-US"/>
        </w:rPr>
        <w:t xml:space="preserve">[Footnote </w:t>
      </w:r>
      <w:proofErr w:type="gramStart"/>
      <w:r w:rsidRPr="00EA2BCE">
        <w:rPr>
          <w:sz w:val="17"/>
          <w:szCs w:val="17"/>
          <w:lang w:val="en-US"/>
        </w:rPr>
        <w:t>continued on</w:t>
      </w:r>
      <w:proofErr w:type="gramEnd"/>
      <w:r w:rsidRPr="00EA2BCE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4423" w14:textId="1BCF27A0" w:rsidR="00D07C78" w:rsidRPr="002326AB" w:rsidRDefault="002C42E8" w:rsidP="00477D6B">
    <w:pPr>
      <w:jc w:val="right"/>
      <w:rPr>
        <w:caps/>
      </w:rPr>
    </w:pPr>
    <w:bookmarkStart w:id="5" w:name="Code2"/>
    <w:bookmarkEnd w:id="5"/>
    <w:r>
      <w:rPr>
        <w:caps/>
      </w:rPr>
      <w:t>PCT/CTC/32/1 Prov.</w:t>
    </w:r>
  </w:p>
  <w:p w14:paraId="53A5E3DB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1E232D0A" w14:textId="77777777" w:rsidR="00D07C78" w:rsidRDefault="00D07C78" w:rsidP="00477D6B">
    <w:pPr>
      <w:jc w:val="right"/>
    </w:pPr>
  </w:p>
  <w:p w14:paraId="4683A25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24C2" w14:textId="6BCF0C20" w:rsidR="00346ECC" w:rsidRPr="00346ECC" w:rsidRDefault="00346ECC" w:rsidP="00477D6B">
    <w:pPr>
      <w:jc w:val="right"/>
      <w:rPr>
        <w:caps/>
      </w:rPr>
    </w:pPr>
    <w:r>
      <w:rPr>
        <w:caps/>
      </w:rPr>
      <w:t>PCT/CTC/33/7</w:t>
    </w:r>
  </w:p>
  <w:p w14:paraId="0FEC79B3" w14:textId="31FFFEC9" w:rsidR="00346ECC" w:rsidRPr="00346ECC" w:rsidRDefault="00346ECC" w:rsidP="00477D6B">
    <w:pPr>
      <w:jc w:val="right"/>
    </w:pPr>
    <w:r>
      <w:t>Приложение, стр. </w:t>
    </w:r>
    <w:r w:rsidRPr="00170144">
      <w:fldChar w:fldCharType="begin"/>
    </w:r>
    <w:r w:rsidRPr="00170144">
      <w:instrText xml:space="preserve"> PAGE  \* MERGEFORMAT </w:instrText>
    </w:r>
    <w:r w:rsidRPr="00170144">
      <w:fldChar w:fldCharType="separate"/>
    </w:r>
    <w:r w:rsidRPr="00170144">
      <w:t>2</w:t>
    </w:r>
    <w:r w:rsidRPr="00170144">
      <w:fldChar w:fldCharType="end"/>
    </w:r>
  </w:p>
  <w:p w14:paraId="7E058A69" w14:textId="77777777" w:rsidR="00346ECC" w:rsidRPr="00346ECC" w:rsidRDefault="00346ECC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F273" w14:textId="0837D887" w:rsidR="00346ECC" w:rsidRDefault="00346ECC" w:rsidP="00346ECC">
    <w:pPr>
      <w:pStyle w:val="Header"/>
      <w:jc w:val="right"/>
    </w:pPr>
    <w:r>
      <w:t>PCT/CTC/33/7</w:t>
    </w:r>
  </w:p>
  <w:p w14:paraId="5ED3BFE9" w14:textId="1DBFE119" w:rsidR="00346ECC" w:rsidRDefault="00346ECC" w:rsidP="00346ECC">
    <w:pPr>
      <w:pStyle w:val="Header"/>
      <w:jc w:val="right"/>
    </w:pPr>
    <w:r>
      <w:t>ПРИЛОЖЕНИЕ</w:t>
    </w:r>
  </w:p>
  <w:p w14:paraId="77563198" w14:textId="77777777" w:rsidR="00346ECC" w:rsidRDefault="00346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587113">
    <w:abstractNumId w:val="2"/>
  </w:num>
  <w:num w:numId="2" w16cid:durableId="1186745830">
    <w:abstractNumId w:val="4"/>
  </w:num>
  <w:num w:numId="3" w16cid:durableId="1862816447">
    <w:abstractNumId w:val="0"/>
  </w:num>
  <w:num w:numId="4" w16cid:durableId="1564607243">
    <w:abstractNumId w:val="5"/>
  </w:num>
  <w:num w:numId="5" w16cid:durableId="13192343">
    <w:abstractNumId w:val="1"/>
  </w:num>
  <w:num w:numId="6" w16cid:durableId="71973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E8"/>
    <w:rsid w:val="00043CAA"/>
    <w:rsid w:val="00056816"/>
    <w:rsid w:val="00075432"/>
    <w:rsid w:val="000968ED"/>
    <w:rsid w:val="000A3D97"/>
    <w:rsid w:val="000B41AC"/>
    <w:rsid w:val="000D46FE"/>
    <w:rsid w:val="000F131D"/>
    <w:rsid w:val="000F5E56"/>
    <w:rsid w:val="0013190D"/>
    <w:rsid w:val="00133B1D"/>
    <w:rsid w:val="00133B70"/>
    <w:rsid w:val="001362EE"/>
    <w:rsid w:val="0014600A"/>
    <w:rsid w:val="00162434"/>
    <w:rsid w:val="001647D5"/>
    <w:rsid w:val="00170144"/>
    <w:rsid w:val="001832A6"/>
    <w:rsid w:val="001A0D26"/>
    <w:rsid w:val="001D4107"/>
    <w:rsid w:val="00203D24"/>
    <w:rsid w:val="0021217E"/>
    <w:rsid w:val="002326AB"/>
    <w:rsid w:val="00243430"/>
    <w:rsid w:val="00262667"/>
    <w:rsid w:val="002634C4"/>
    <w:rsid w:val="00281286"/>
    <w:rsid w:val="002928D3"/>
    <w:rsid w:val="002B3371"/>
    <w:rsid w:val="002C42E8"/>
    <w:rsid w:val="002F1FE6"/>
    <w:rsid w:val="002F4E68"/>
    <w:rsid w:val="00305EE7"/>
    <w:rsid w:val="00312F7F"/>
    <w:rsid w:val="00346ECC"/>
    <w:rsid w:val="00361450"/>
    <w:rsid w:val="003673CF"/>
    <w:rsid w:val="0037161A"/>
    <w:rsid w:val="003845C1"/>
    <w:rsid w:val="003970DC"/>
    <w:rsid w:val="003A6F89"/>
    <w:rsid w:val="003A7301"/>
    <w:rsid w:val="003B38C1"/>
    <w:rsid w:val="003C34E9"/>
    <w:rsid w:val="00423E3E"/>
    <w:rsid w:val="00427AF4"/>
    <w:rsid w:val="00446105"/>
    <w:rsid w:val="004608BB"/>
    <w:rsid w:val="004647DA"/>
    <w:rsid w:val="00464CF2"/>
    <w:rsid w:val="00474062"/>
    <w:rsid w:val="004741DC"/>
    <w:rsid w:val="00477D6B"/>
    <w:rsid w:val="005019FF"/>
    <w:rsid w:val="0053057A"/>
    <w:rsid w:val="00556076"/>
    <w:rsid w:val="00556AB5"/>
    <w:rsid w:val="00560A29"/>
    <w:rsid w:val="00596ED9"/>
    <w:rsid w:val="005C6649"/>
    <w:rsid w:val="005D01ED"/>
    <w:rsid w:val="00605827"/>
    <w:rsid w:val="00646050"/>
    <w:rsid w:val="0065287E"/>
    <w:rsid w:val="006713CA"/>
    <w:rsid w:val="00676C5C"/>
    <w:rsid w:val="006B2C5A"/>
    <w:rsid w:val="006B4896"/>
    <w:rsid w:val="006F7742"/>
    <w:rsid w:val="0070049D"/>
    <w:rsid w:val="00720EFD"/>
    <w:rsid w:val="00761CD8"/>
    <w:rsid w:val="00774A6C"/>
    <w:rsid w:val="007854AF"/>
    <w:rsid w:val="007900E4"/>
    <w:rsid w:val="00793A7C"/>
    <w:rsid w:val="007A398A"/>
    <w:rsid w:val="007B17F0"/>
    <w:rsid w:val="007D1613"/>
    <w:rsid w:val="007E4C0E"/>
    <w:rsid w:val="00834F4F"/>
    <w:rsid w:val="00844386"/>
    <w:rsid w:val="00871239"/>
    <w:rsid w:val="008A134B"/>
    <w:rsid w:val="008B2CC1"/>
    <w:rsid w:val="008B60B2"/>
    <w:rsid w:val="0090731E"/>
    <w:rsid w:val="00916EE2"/>
    <w:rsid w:val="00966A22"/>
    <w:rsid w:val="0096722F"/>
    <w:rsid w:val="00980843"/>
    <w:rsid w:val="009C02A2"/>
    <w:rsid w:val="009E2791"/>
    <w:rsid w:val="009E2BDD"/>
    <w:rsid w:val="009E3F6F"/>
    <w:rsid w:val="009F499F"/>
    <w:rsid w:val="00A37342"/>
    <w:rsid w:val="00A42DAF"/>
    <w:rsid w:val="00A45BD8"/>
    <w:rsid w:val="00A54A83"/>
    <w:rsid w:val="00A869B7"/>
    <w:rsid w:val="00A90F0A"/>
    <w:rsid w:val="00AC205C"/>
    <w:rsid w:val="00AD10DA"/>
    <w:rsid w:val="00AF0A6B"/>
    <w:rsid w:val="00B05A69"/>
    <w:rsid w:val="00B64A0D"/>
    <w:rsid w:val="00B75281"/>
    <w:rsid w:val="00B85F63"/>
    <w:rsid w:val="00B92F1F"/>
    <w:rsid w:val="00B9734B"/>
    <w:rsid w:val="00BA30E2"/>
    <w:rsid w:val="00BA77A9"/>
    <w:rsid w:val="00BF1DEB"/>
    <w:rsid w:val="00C05D93"/>
    <w:rsid w:val="00C11BFE"/>
    <w:rsid w:val="00C5068F"/>
    <w:rsid w:val="00C5141C"/>
    <w:rsid w:val="00C86D74"/>
    <w:rsid w:val="00CD04F1"/>
    <w:rsid w:val="00CF681A"/>
    <w:rsid w:val="00D07C78"/>
    <w:rsid w:val="00D45252"/>
    <w:rsid w:val="00D65E50"/>
    <w:rsid w:val="00D71B4D"/>
    <w:rsid w:val="00D93D55"/>
    <w:rsid w:val="00D961CE"/>
    <w:rsid w:val="00DA76F0"/>
    <w:rsid w:val="00DC4069"/>
    <w:rsid w:val="00DD7B7F"/>
    <w:rsid w:val="00DE485C"/>
    <w:rsid w:val="00E15015"/>
    <w:rsid w:val="00E26F53"/>
    <w:rsid w:val="00E335FE"/>
    <w:rsid w:val="00E478EC"/>
    <w:rsid w:val="00E64639"/>
    <w:rsid w:val="00EA2BCE"/>
    <w:rsid w:val="00EA7D6E"/>
    <w:rsid w:val="00EB2F76"/>
    <w:rsid w:val="00EB5554"/>
    <w:rsid w:val="00EC4E49"/>
    <w:rsid w:val="00EC68D9"/>
    <w:rsid w:val="00ED77FB"/>
    <w:rsid w:val="00EE45FA"/>
    <w:rsid w:val="00EF7771"/>
    <w:rsid w:val="00F043DE"/>
    <w:rsid w:val="00F30615"/>
    <w:rsid w:val="00F65BE3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1B027"/>
  <w15:docId w15:val="{B1329381-69D6-4F7E-9E54-5B664FCA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ectionHeadingChar">
    <w:name w:val="Section Heading Char"/>
    <w:link w:val="SectionHeading"/>
    <w:locked/>
    <w:rsid w:val="00346ECC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rsid w:val="00346ECC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346ECC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346ECC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346ECC"/>
    <w:pPr>
      <w:ind w:left="567"/>
    </w:pPr>
  </w:style>
  <w:style w:type="character" w:styleId="Hyperlink">
    <w:name w:val="Hyperlink"/>
    <w:basedOn w:val="DefaultParagraphFont"/>
    <w:uiPriority w:val="99"/>
    <w:unhideWhenUsed/>
    <w:rsid w:val="00346ECC"/>
    <w:rPr>
      <w:color w:val="0000FF" w:themeColor="hyperlink"/>
      <w:u w:val="single"/>
    </w:rPr>
  </w:style>
  <w:style w:type="table" w:styleId="TableGrid">
    <w:name w:val="Table Grid"/>
    <w:basedOn w:val="TableNormal"/>
    <w:rsid w:val="0034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6ECC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9E2B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ctlegal.wipo.int/eGuide/view-doc.xhtml?doc-code=CN&amp;doc-lang=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documents/d/pct-system/docs-en-official-notices-officialnotic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export/sites/www/pct/en/docs/circulars/2024/1672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32 (E)</Template>
  <TotalTime>1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PCT/CTC/33/7</vt:lpstr>
    </vt:vector>
  </TitlesOfParts>
  <Company>WIPO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PCT/CTC/33/7</dc:title>
  <dc:subject>EXTENSION OF APPOINTMENT OF THE CHINA NATIONAL INTELLECTUAL PROPERTY ADMINISTRATION AS AN INTERNATIONAL SEARCHING AND PRELIMINARY EXAMINING AUTHORITY UNDER THE PCT</dc:subject>
  <dc:creator>MARLOW Thomas</dc:creator>
  <cp:keywords>FOR OFFICIAL USE ONLY</cp:keywords>
  <cp:lastModifiedBy>MARLOW Thomas</cp:lastModifiedBy>
  <cp:revision>2</cp:revision>
  <cp:lastPrinted>2011-02-15T11:56:00Z</cp:lastPrinted>
  <dcterms:created xsi:type="dcterms:W3CDTF">2026-01-06T16:09:00Z</dcterms:created>
  <dcterms:modified xsi:type="dcterms:W3CDTF">2026-01-06T16:09:00Z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2025-12-05T11:29:26Z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50b40c36-b22a-4f50-85ba-8856845ec32d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