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380" w14:textId="6D82AAC2" w:rsidR="008B2CC1" w:rsidRPr="008B2CC1" w:rsidRDefault="00F50604" w:rsidP="00761D20">
      <w:pPr>
        <w:pBdr>
          <w:bottom w:val="single" w:sz="4" w:space="11" w:color="auto"/>
        </w:pBdr>
        <w:spacing w:after="120"/>
        <w:ind w:right="-57"/>
        <w:jc w:val="right"/>
      </w:pPr>
      <w:r w:rsidRPr="0042194C">
        <w:rPr>
          <w:noProof/>
          <w:lang w:val="en-US"/>
        </w:rPr>
        <w:drawing>
          <wp:inline distT="0" distB="0" distL="0" distR="0" wp14:anchorId="48DDCF22" wp14:editId="29C743A6">
            <wp:extent cx="3246120" cy="152590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8">
                      <a:extLst>
                        <a:ext uri="{28A0092B-C50C-407E-A947-70E740481C1C}">
                          <a14:useLocalDpi xmlns:a14="http://schemas.microsoft.com/office/drawing/2010/main" val="0"/>
                        </a:ext>
                      </a:extLst>
                    </a:blip>
                    <a:srcRect t="6425"/>
                    <a:stretch>
                      <a:fillRect/>
                    </a:stretch>
                  </pic:blipFill>
                  <pic:spPr bwMode="auto">
                    <a:xfrm>
                      <a:off x="0" y="0"/>
                      <a:ext cx="3246120" cy="1525905"/>
                    </a:xfrm>
                    <a:prstGeom prst="rect">
                      <a:avLst/>
                    </a:prstGeom>
                    <a:noFill/>
                    <a:ln>
                      <a:noFill/>
                    </a:ln>
                    <a:extLst>
                      <a:ext uri="{53640926-AAD7-44D8-BBD7-CCE9431645EC}">
                        <a14:shadowObscured xmlns:a14="http://schemas.microsoft.com/office/drawing/2010/main"/>
                      </a:ext>
                    </a:extLst>
                  </pic:spPr>
                </pic:pic>
              </a:graphicData>
            </a:graphic>
          </wp:inline>
        </w:drawing>
      </w:r>
    </w:p>
    <w:p w14:paraId="24D5CDCF" w14:textId="45D940BC" w:rsidR="00472A6E" w:rsidRDefault="00927287" w:rsidP="00472A6E">
      <w:pPr>
        <w:jc w:val="right"/>
        <w:rPr>
          <w:rFonts w:ascii="Arial Black" w:hAnsi="Arial Black"/>
          <w:caps/>
          <w:sz w:val="15"/>
        </w:rPr>
      </w:pPr>
      <w:r>
        <w:rPr>
          <w:rFonts w:ascii="Arial Black" w:hAnsi="Arial Black"/>
          <w:caps/>
          <w:sz w:val="15"/>
        </w:rPr>
        <w:t>PCT/CTC/33/</w:t>
      </w:r>
      <w:bookmarkStart w:id="0" w:name="Code"/>
      <w:bookmarkEnd w:id="0"/>
      <w:r>
        <w:rPr>
          <w:rFonts w:ascii="Arial Black" w:hAnsi="Arial Black"/>
          <w:caps/>
          <w:sz w:val="15"/>
        </w:rPr>
        <w:t>6</w:t>
      </w:r>
    </w:p>
    <w:p w14:paraId="39453C8A" w14:textId="08EE6EA2" w:rsidR="008B2CC1" w:rsidRPr="008B2CC1" w:rsidRDefault="00472A6E" w:rsidP="00472A6E">
      <w:pPr>
        <w:jc w:val="right"/>
      </w:pPr>
      <w:r>
        <w:rPr>
          <w:rFonts w:ascii="Arial Black" w:hAnsi="Arial Black"/>
          <w:caps/>
          <w:sz w:val="15"/>
        </w:rPr>
        <w:t xml:space="preserve">ОРИГИНАЛ: </w:t>
      </w:r>
      <w:bookmarkStart w:id="1" w:name="Original"/>
      <w:r>
        <w:rPr>
          <w:rFonts w:ascii="Arial Black" w:hAnsi="Arial Black"/>
          <w:caps/>
          <w:sz w:val="15"/>
        </w:rPr>
        <w:t>АНГЛИЙСКИЙ/ИСПАНСКИЙ</w:t>
      </w:r>
    </w:p>
    <w:bookmarkEnd w:id="1"/>
    <w:p w14:paraId="303058C5" w14:textId="537DE134" w:rsidR="008B2CC1" w:rsidRPr="008B2CC1" w:rsidRDefault="00472A6E" w:rsidP="00472A6E">
      <w:pPr>
        <w:spacing w:after="1200"/>
        <w:jc w:val="right"/>
      </w:pPr>
      <w:r>
        <w:rPr>
          <w:rFonts w:ascii="Arial Black" w:hAnsi="Arial Black"/>
          <w:caps/>
          <w:sz w:val="15"/>
        </w:rPr>
        <w:t xml:space="preserve">Дата: </w:t>
      </w:r>
      <w:bookmarkStart w:id="2" w:name="Date"/>
      <w:r>
        <w:rPr>
          <w:rFonts w:ascii="Arial Black" w:hAnsi="Arial Black"/>
          <w:caps/>
          <w:sz w:val="15"/>
        </w:rPr>
        <w:t>19 декабря 2025 года</w:t>
      </w:r>
    </w:p>
    <w:bookmarkEnd w:id="2"/>
    <w:p w14:paraId="49CA40DA" w14:textId="77777777" w:rsidR="00927287" w:rsidRPr="00340193" w:rsidRDefault="00927287" w:rsidP="00927287">
      <w:pPr>
        <w:rPr>
          <w:b/>
          <w:sz w:val="28"/>
          <w:szCs w:val="28"/>
        </w:rPr>
      </w:pPr>
      <w:r>
        <w:rPr>
          <w:b/>
          <w:sz w:val="28"/>
        </w:rPr>
        <w:t>Договор о патентной кооперации (PCT)</w:t>
      </w:r>
    </w:p>
    <w:p w14:paraId="6F26C961" w14:textId="43226B42" w:rsidR="00B67CDC" w:rsidRPr="00BF5A8E" w:rsidRDefault="00927287" w:rsidP="00927287">
      <w:pPr>
        <w:pStyle w:val="Heading1"/>
        <w:spacing w:before="0" w:after="480"/>
        <w:rPr>
          <w:sz w:val="28"/>
        </w:rPr>
      </w:pPr>
      <w:r>
        <w:rPr>
          <w:caps w:val="0"/>
          <w:sz w:val="28"/>
        </w:rPr>
        <w:t>Комитет по техническому сотрудничеству</w:t>
      </w:r>
    </w:p>
    <w:p w14:paraId="3E087471" w14:textId="77777777" w:rsidR="005B2EAE" w:rsidRDefault="00927287" w:rsidP="005B2EAE">
      <w:pPr>
        <w:outlineLvl w:val="1"/>
        <w:rPr>
          <w:b/>
          <w:sz w:val="24"/>
          <w:szCs w:val="24"/>
        </w:rPr>
      </w:pPr>
      <w:r>
        <w:rPr>
          <w:b/>
          <w:sz w:val="24"/>
        </w:rPr>
        <w:t>Тридцать третья сессия</w:t>
      </w:r>
    </w:p>
    <w:p w14:paraId="6567E399" w14:textId="77777777" w:rsidR="00B67CDC" w:rsidRPr="00B67CDC" w:rsidRDefault="00927287" w:rsidP="00472A6E">
      <w:pPr>
        <w:spacing w:after="720"/>
        <w:outlineLvl w:val="1"/>
        <w:rPr>
          <w:b/>
          <w:sz w:val="24"/>
          <w:szCs w:val="24"/>
        </w:rPr>
      </w:pPr>
      <w:r>
        <w:rPr>
          <w:b/>
          <w:sz w:val="24"/>
        </w:rPr>
        <w:t>Женева, 2–6 февраля 2026 года</w:t>
      </w:r>
    </w:p>
    <w:p w14:paraId="31F49E2E" w14:textId="2C5457AC" w:rsidR="00C64925" w:rsidRDefault="000E0AF6" w:rsidP="007A4A43">
      <w:pPr>
        <w:rPr>
          <w:caps/>
          <w:sz w:val="24"/>
        </w:rPr>
      </w:pPr>
      <w:bookmarkStart w:id="3" w:name="TitleOfDoc"/>
      <w:r>
        <w:rPr>
          <w:caps/>
          <w:sz w:val="24"/>
        </w:rPr>
        <w:t>ПРОДЛЕНИЕ НАЗНАЧЕНИЯ НАЦИОНАЛЬНОГО ИНСТИТУТА ПРОМЫШЛЕННОЙ СОБСТВЕННОСТИ ЧИЛИ В КАЧЕСТВЕ МЕЖДУНАРОДНОГО ПОИСКОВОГО ОРГАНА И ОРГАНА МЕЖДУНАРОДНОЙ ПРЕДВАРИТЕЛЬНОЙ ЭКСПЕРТИЗЫ В РАМКАХ PCT</w:t>
      </w:r>
    </w:p>
    <w:p w14:paraId="2A13E0C3" w14:textId="77777777" w:rsidR="000E0AF6" w:rsidRPr="003845C1" w:rsidRDefault="000E0AF6" w:rsidP="000E0AF6">
      <w:pPr>
        <w:rPr>
          <w:caps/>
          <w:sz w:val="24"/>
        </w:rPr>
      </w:pPr>
    </w:p>
    <w:p w14:paraId="76529572" w14:textId="4154D2A8" w:rsidR="008B2CC1" w:rsidRPr="008B2CC1" w:rsidRDefault="002411F5" w:rsidP="00472A6E">
      <w:pPr>
        <w:spacing w:after="1040"/>
        <w:rPr>
          <w:i/>
        </w:rPr>
      </w:pPr>
      <w:bookmarkStart w:id="4" w:name="Prepared"/>
      <w:bookmarkEnd w:id="3"/>
      <w:bookmarkEnd w:id="4"/>
      <w:r>
        <w:rPr>
          <w:i/>
        </w:rPr>
        <w:t xml:space="preserve">Документ подготовлен Международным бюро </w:t>
      </w:r>
    </w:p>
    <w:p w14:paraId="5C38CBA8" w14:textId="5CC99D99" w:rsidR="002411F5" w:rsidRPr="00036AB6" w:rsidRDefault="00B80E0A" w:rsidP="002411F5">
      <w:pPr>
        <w:pStyle w:val="ONUMFS"/>
      </w:pPr>
      <w:r>
        <w:t>Все действующие Международные органы были назначены Ассамблеей PCT на срок, заканчивающийся 31 декабря 2027 года. До истечения данного срока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 Информация об этой процедуре и роли Комитета приводится в документе PCT/CTC/33/INF/1.</w:t>
      </w:r>
    </w:p>
    <w:p w14:paraId="09E9C5E0" w14:textId="5D26BF0F" w:rsidR="002411F5" w:rsidRPr="00036AB6" w:rsidRDefault="002411F5" w:rsidP="002411F5">
      <w:pPr>
        <w:pStyle w:val="ONUMFS"/>
      </w:pPr>
      <w:r>
        <w:t>Девятнадцатого ноября 2025 года Национальный институт промышленной собственности Чили (INAPI) подал заявление о продлении своего назначения, которое воспроизводится в приложении к настоящему документу.</w:t>
      </w:r>
    </w:p>
    <w:p w14:paraId="7859BB00" w14:textId="77777777" w:rsidR="00C64925" w:rsidRPr="00C64925" w:rsidRDefault="002411F5" w:rsidP="00C64925">
      <w:pPr>
        <w:pStyle w:val="ONUMFS"/>
        <w:ind w:left="5534"/>
      </w:pPr>
      <w:r>
        <w:rPr>
          <w:i/>
        </w:rPr>
        <w:t>Комитету предлагается высказать свое мнение по данному вопросу.</w:t>
      </w:r>
    </w:p>
    <w:p w14:paraId="352150F5" w14:textId="6DC6A2A0" w:rsidR="002411F5" w:rsidRPr="00036AB6" w:rsidRDefault="002411F5" w:rsidP="00C64925">
      <w:pPr>
        <w:pStyle w:val="ONUMFS"/>
        <w:numPr>
          <w:ilvl w:val="0"/>
          <w:numId w:val="0"/>
        </w:numPr>
        <w:ind w:left="5534"/>
        <w:sectPr w:rsidR="002411F5" w:rsidRPr="00036AB6" w:rsidSect="002411F5">
          <w:headerReference w:type="default" r:id="rId9"/>
          <w:endnotePr>
            <w:numFmt w:val="decimal"/>
          </w:endnotePr>
          <w:pgSz w:w="11907" w:h="16840" w:code="9"/>
          <w:pgMar w:top="567" w:right="1134" w:bottom="1418" w:left="1418" w:header="510" w:footer="1021" w:gutter="0"/>
          <w:cols w:space="720"/>
          <w:titlePg/>
          <w:docGrid w:linePitch="299"/>
        </w:sectPr>
      </w:pPr>
      <w:r>
        <w:t>[Приложение следует]</w:t>
      </w:r>
    </w:p>
    <w:p w14:paraId="25D65433" w14:textId="77777777" w:rsidR="00246D42" w:rsidRDefault="00246D42" w:rsidP="00246D42">
      <w:pPr>
        <w:pStyle w:val="Heading2"/>
        <w:jc w:val="center"/>
      </w:pPr>
      <w:r>
        <w:lastRenderedPageBreak/>
        <w:t>Заявление о продлении назначения в качестве Международного поискового органа и Органа международной предварительной экспертизы в рамках РСТ</w:t>
      </w:r>
    </w:p>
    <w:p w14:paraId="2A68EE96" w14:textId="7A456DE9" w:rsidR="00246D42" w:rsidRDefault="00246D42" w:rsidP="00246D42">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1 – ОБЩИЕ СВЕДЕНИЯ</w:t>
      </w:r>
    </w:p>
    <w:p w14:paraId="095FEFB8" w14:textId="77777777" w:rsidR="000E0AF6" w:rsidRDefault="000E0AF6" w:rsidP="000E0AF6">
      <w:pPr>
        <w:keepNext/>
        <w:keepLines/>
        <w:pBdr>
          <w:top w:val="nil"/>
          <w:left w:val="nil"/>
          <w:bottom w:val="nil"/>
          <w:right w:val="nil"/>
          <w:between w:val="nil"/>
        </w:pBdr>
        <w:spacing w:after="480"/>
        <w:rPr>
          <w:b/>
          <w:color w:val="000000"/>
        </w:rPr>
      </w:pPr>
      <w:r>
        <w:rPr>
          <w:b/>
          <w:color w:val="000000"/>
        </w:rPr>
        <w:t>(a)</w:t>
      </w:r>
      <w:r>
        <w:rPr>
          <w:b/>
          <w:color w:val="000000"/>
        </w:rPr>
        <w:tab/>
        <w:t xml:space="preserve">Название ведомства или межправительственной организации: </w:t>
      </w:r>
    </w:p>
    <w:p w14:paraId="407C2875" w14:textId="6F1FA679" w:rsidR="000E0AF6" w:rsidRPr="008A52BF" w:rsidRDefault="000E0AF6" w:rsidP="000E0AF6">
      <w:pPr>
        <w:keepNext/>
        <w:keepLines/>
        <w:pBdr>
          <w:top w:val="nil"/>
          <w:left w:val="nil"/>
          <w:bottom w:val="nil"/>
          <w:right w:val="nil"/>
          <w:between w:val="nil"/>
        </w:pBdr>
        <w:spacing w:after="480"/>
        <w:rPr>
          <w:bCs/>
          <w:color w:val="000000" w:themeColor="text1"/>
        </w:rPr>
      </w:pPr>
      <w:r>
        <w:rPr>
          <w:color w:val="000000" w:themeColor="text1"/>
        </w:rPr>
        <w:t>НАЦИОНАЛЬНЫЙ ИНСТИТУТ ПРОМЫШЛЕННОЙ СОБСТВЕННОСТИ ЧИЛИ (INAPI)</w:t>
      </w:r>
    </w:p>
    <w:p w14:paraId="7628D656" w14:textId="77777777" w:rsidR="000E0AF6" w:rsidRDefault="000E0AF6" w:rsidP="000E0AF6">
      <w:pPr>
        <w:keepNext/>
        <w:keepLines/>
        <w:pBdr>
          <w:top w:val="nil"/>
          <w:left w:val="nil"/>
          <w:bottom w:val="nil"/>
          <w:right w:val="nil"/>
          <w:between w:val="nil"/>
        </w:pBdr>
        <w:spacing w:after="480"/>
        <w:rPr>
          <w:b/>
          <w:color w:val="000000"/>
        </w:rPr>
      </w:pPr>
      <w:r>
        <w:rPr>
          <w:b/>
          <w:color w:val="000000"/>
        </w:rPr>
        <w:t>(b)</w:t>
      </w:r>
      <w:r>
        <w:rPr>
          <w:b/>
          <w:color w:val="000000"/>
        </w:rPr>
        <w:tab/>
        <w:t>Имя и контактная информация должностного лица, к которому можно обратиться с любыми вопросами по поводу настоящего заявления:</w:t>
      </w:r>
    </w:p>
    <w:p w14:paraId="17B3862C" w14:textId="74F6F4BD" w:rsidR="000E0AF6" w:rsidRPr="009619A9" w:rsidRDefault="000E0AF6" w:rsidP="000E0AF6">
      <w:pPr>
        <w:pBdr>
          <w:top w:val="nil"/>
          <w:left w:val="nil"/>
          <w:bottom w:val="nil"/>
          <w:right w:val="nil"/>
          <w:between w:val="nil"/>
        </w:pBdr>
        <w:spacing w:after="220"/>
        <w:jc w:val="both"/>
        <w:rPr>
          <w:color w:val="000000" w:themeColor="text1"/>
        </w:rPr>
      </w:pPr>
      <w:r>
        <w:rPr>
          <w:color w:val="000000" w:themeColor="text1"/>
        </w:rPr>
        <w:t xml:space="preserve">Генри Крю, руководитель отдела РСТ INAPI, </w:t>
      </w:r>
      <w:hyperlink r:id="rId10">
        <w:r>
          <w:rPr>
            <w:rStyle w:val="Hyperlink"/>
          </w:rPr>
          <w:t>hcrew@inapi.cl</w:t>
        </w:r>
      </w:hyperlink>
    </w:p>
    <w:p w14:paraId="5D2F133C" w14:textId="77777777" w:rsidR="000E0AF6" w:rsidRDefault="000E0AF6" w:rsidP="000E0AF6">
      <w:pPr>
        <w:keepNext/>
        <w:keepLines/>
        <w:pBdr>
          <w:top w:val="nil"/>
          <w:left w:val="nil"/>
          <w:bottom w:val="nil"/>
          <w:right w:val="nil"/>
          <w:between w:val="nil"/>
        </w:pBdr>
        <w:spacing w:after="220"/>
        <w:rPr>
          <w:b/>
          <w:color w:val="000000"/>
        </w:rPr>
      </w:pPr>
      <w:r>
        <w:rPr>
          <w:b/>
          <w:color w:val="000000"/>
        </w:rPr>
        <w:t>(b)</w:t>
      </w:r>
      <w:r>
        <w:rPr>
          <w:b/>
          <w:color w:val="000000"/>
        </w:rPr>
        <w:tab/>
        <w:t>Дата получения Генеральным директором заявления о продлении назначения:</w:t>
      </w:r>
    </w:p>
    <w:p w14:paraId="7201C90C" w14:textId="24DEC27F" w:rsidR="000E0AF6" w:rsidRPr="003F406A" w:rsidRDefault="000E0AF6" w:rsidP="000E0AF6">
      <w:pPr>
        <w:pBdr>
          <w:top w:val="nil"/>
          <w:left w:val="nil"/>
          <w:bottom w:val="nil"/>
          <w:right w:val="nil"/>
          <w:between w:val="nil"/>
        </w:pBdr>
        <w:spacing w:after="220"/>
        <w:ind w:left="567"/>
        <w:rPr>
          <w:b/>
          <w:bCs/>
          <w:i/>
          <w:color w:val="000000"/>
        </w:rPr>
      </w:pPr>
      <w:r>
        <w:t>19 ноября 2025 г</w:t>
      </w:r>
      <w:r w:rsidR="003F406A">
        <w:t>ода</w:t>
      </w:r>
    </w:p>
    <w:p w14:paraId="498AD2E9" w14:textId="30640595"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2 – МИНИМУМ ТРЕБОВАНИЙ ДЛЯ НАЗНАЧЕНИЯ</w:t>
      </w:r>
    </w:p>
    <w:p w14:paraId="6DCA10BB" w14:textId="50AB1F58" w:rsidR="000E0AF6" w:rsidRDefault="000E0AF6" w:rsidP="000E0AF6">
      <w:r>
        <w:t xml:space="preserve">В дополнение к ежегодному отчету ведомства или организации о системе управления качеством за 2025 год («отчет о системе УК», </w:t>
      </w:r>
      <w:hyperlink r:id="rId11" w:anchor="CL" w:history="1">
        <w:r>
          <w:rPr>
            <w:rStyle w:val="Hyperlink"/>
          </w:rPr>
          <w:t>https://www.wipo.int/en/web/pct-system/quality/authorities#CL</w:t>
        </w:r>
      </w:hyperlink>
      <w:r>
        <w:t>), подготовленному в соответствии с пунктами 21.31 и 21.32 Руководства по проведению международного поиска и международной предварительной экспертизы («Руководство»), Орган предоставляет следующую информацию.</w:t>
      </w:r>
    </w:p>
    <w:p w14:paraId="7BF0B8D6" w14:textId="2998523B" w:rsidR="000E0AF6" w:rsidRDefault="000E0AF6" w:rsidP="002C7718">
      <w:pPr>
        <w:keepLines/>
        <w:pBdr>
          <w:top w:val="single" w:sz="4" w:space="1" w:color="000000"/>
          <w:left w:val="nil"/>
          <w:bottom w:val="nil"/>
          <w:right w:val="nil"/>
          <w:between w:val="nil"/>
        </w:pBdr>
        <w:spacing w:before="360" w:after="200" w:line="480" w:lineRule="auto"/>
        <w:rPr>
          <w:b/>
          <w:smallCaps/>
          <w:color w:val="000000"/>
        </w:rPr>
      </w:pPr>
      <w:r>
        <w:rPr>
          <w:b/>
          <w:smallCaps/>
          <w:color w:val="000000"/>
        </w:rPr>
        <w:t>2.1 – ВОЗМОЖНОСТИ ДЛЯ ПРОВЕДЕНИЯ ПОИСКА И ЭКСПЕРТИЗЫ</w:t>
      </w:r>
    </w:p>
    <w:p w14:paraId="5CEFE0F4" w14:textId="77777777" w:rsidR="000E0AF6" w:rsidRDefault="000E0AF6" w:rsidP="002C7718">
      <w:pPr>
        <w:keepLines/>
        <w:pBdr>
          <w:top w:val="nil"/>
          <w:left w:val="nil"/>
          <w:bottom w:val="nil"/>
          <w:right w:val="nil"/>
          <w:between w:val="nil"/>
        </w:pBdr>
        <w:spacing w:after="240"/>
        <w:ind w:left="567" w:right="567"/>
        <w:rPr>
          <w:i/>
          <w:color w:val="000000"/>
        </w:rPr>
      </w:pPr>
      <w:r>
        <w:rPr>
          <w:i/>
          <w:color w:val="000000"/>
        </w:rP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14:paraId="7995CA2D" w14:textId="3C5FD040" w:rsidR="000E0AF6" w:rsidRDefault="000E0AF6" w:rsidP="002C7718">
      <w:pPr>
        <w:keepLines/>
        <w:pBdr>
          <w:top w:val="nil"/>
          <w:left w:val="nil"/>
          <w:bottom w:val="nil"/>
          <w:right w:val="nil"/>
          <w:between w:val="nil"/>
        </w:pBdr>
        <w:spacing w:after="240"/>
        <w:ind w:right="567"/>
        <w:rPr>
          <w:color w:val="000000"/>
        </w:rPr>
      </w:pPr>
      <w:r>
        <w:rPr>
          <w:color w:val="000000"/>
        </w:rPr>
        <w:t xml:space="preserve">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 21.15(i) Руководства, а также о программах обучения и повышения квалификации сотрудников, участвующих в процессе поиска и экспертизы, в соответствии с пунктом 21.15(vi).  Орган также указывает следующую информацию о количестве сотрудников, обладающих квалификацией для проведения поиска и экспертизы.  </w:t>
      </w:r>
    </w:p>
    <w:p w14:paraId="027A22E0" w14:textId="77777777" w:rsidR="000E0AF6" w:rsidRDefault="000E0AF6" w:rsidP="002C7718">
      <w:pPr>
        <w:keepNext/>
        <w:keepLines/>
        <w:pBdr>
          <w:top w:val="nil"/>
          <w:left w:val="nil"/>
          <w:bottom w:val="nil"/>
          <w:right w:val="nil"/>
          <w:between w:val="nil"/>
        </w:pBdr>
        <w:spacing w:after="480"/>
        <w:rPr>
          <w:b/>
          <w:color w:val="000000"/>
        </w:rPr>
      </w:pPr>
      <w:r>
        <w:rPr>
          <w:b/>
          <w:color w:val="000000"/>
        </w:rPr>
        <w:lastRenderedPageBreak/>
        <w:t>Количество сотрудников, обладающих квалификацией для проведения поиска и экспертизы:</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Количество сотрудников, обладающих квалификацией для проведения поиска и экспертизы"/>
        <w:tblDescription w:val="В этой таблице приведены данные о количестве экспертов (в пересчете на занятых полный рабочий день) и имеющих квалификацию для работы в технических областях механики, электротехники/электроники, химии и биотехнологии, средний стаж работы в качестве экзаменаторов в каждой из этих областей, а также данные об уровне их квалификации."/>
      </w:tblPr>
      <w:tblGrid>
        <w:gridCol w:w="3015"/>
        <w:gridCol w:w="2310"/>
        <w:gridCol w:w="2595"/>
      </w:tblGrid>
      <w:tr w:rsidR="000E0AF6" w14:paraId="30C6C9F4" w14:textId="77777777" w:rsidTr="0034074B">
        <w:trPr>
          <w:cantSplit/>
          <w:tblHeader/>
        </w:trPr>
        <w:tc>
          <w:tcPr>
            <w:tcW w:w="3015" w:type="dxa"/>
            <w:tcBorders>
              <w:top w:val="single" w:sz="4" w:space="0" w:color="000000"/>
              <w:left w:val="single" w:sz="4" w:space="0" w:color="000000"/>
              <w:bottom w:val="single" w:sz="4" w:space="0" w:color="000000"/>
              <w:right w:val="single" w:sz="4" w:space="0" w:color="000000"/>
            </w:tcBorders>
          </w:tcPr>
          <w:p w14:paraId="2298AF0A" w14:textId="77777777" w:rsidR="000E0AF6" w:rsidRDefault="000E0AF6" w:rsidP="002C7718">
            <w:pPr>
              <w:keepNext/>
              <w:keepLines/>
              <w:rPr>
                <w:b/>
              </w:rPr>
            </w:pPr>
            <w:r>
              <w:rPr>
                <w:b/>
              </w:rPr>
              <w:t>Область техники</w:t>
            </w:r>
          </w:p>
        </w:tc>
        <w:tc>
          <w:tcPr>
            <w:tcW w:w="2310" w:type="dxa"/>
            <w:tcBorders>
              <w:top w:val="single" w:sz="4" w:space="0" w:color="000000"/>
              <w:left w:val="single" w:sz="4" w:space="0" w:color="000000"/>
              <w:bottom w:val="single" w:sz="4" w:space="0" w:color="000000"/>
              <w:right w:val="single" w:sz="4" w:space="0" w:color="000000"/>
            </w:tcBorders>
          </w:tcPr>
          <w:p w14:paraId="567FC6EF" w14:textId="77777777" w:rsidR="000E0AF6" w:rsidRDefault="000E0AF6" w:rsidP="002C7718">
            <w:pPr>
              <w:keepNext/>
              <w:keepLines/>
              <w:rPr>
                <w:b/>
              </w:rPr>
            </w:pPr>
            <w:r>
              <w:rPr>
                <w:b/>
              </w:rPr>
              <w:t>Количество экспертов (в пересчете на занятых полную рабочую неделю)</w:t>
            </w:r>
          </w:p>
        </w:tc>
        <w:tc>
          <w:tcPr>
            <w:tcW w:w="2595" w:type="dxa"/>
            <w:tcBorders>
              <w:top w:val="single" w:sz="4" w:space="0" w:color="000000"/>
              <w:left w:val="single" w:sz="4" w:space="0" w:color="000000"/>
              <w:bottom w:val="single" w:sz="4" w:space="0" w:color="000000"/>
              <w:right w:val="single" w:sz="4" w:space="0" w:color="000000"/>
            </w:tcBorders>
          </w:tcPr>
          <w:p w14:paraId="7EFFA76C" w14:textId="77777777" w:rsidR="000E0AF6" w:rsidRDefault="000E0AF6" w:rsidP="002C7718">
            <w:pPr>
              <w:keepNext/>
              <w:keepLines/>
              <w:rPr>
                <w:b/>
              </w:rPr>
            </w:pPr>
            <w:r>
              <w:rPr>
                <w:b/>
              </w:rPr>
              <w:t>Средний стаж в качестве эксперта (по числу лет)</w:t>
            </w:r>
          </w:p>
        </w:tc>
      </w:tr>
      <w:tr w:rsidR="000E0AF6" w14:paraId="4BA2EF29"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553E68E3" w14:textId="77777777" w:rsidR="000E0AF6" w:rsidRDefault="000E0AF6" w:rsidP="002C7718">
            <w:pPr>
              <w:keepNext/>
              <w:keepLines/>
            </w:pPr>
            <w:r>
              <w:t>Механика</w:t>
            </w:r>
          </w:p>
        </w:tc>
        <w:tc>
          <w:tcPr>
            <w:tcW w:w="2310" w:type="dxa"/>
            <w:tcBorders>
              <w:top w:val="single" w:sz="4" w:space="0" w:color="000000"/>
              <w:left w:val="single" w:sz="4" w:space="0" w:color="000000"/>
              <w:bottom w:val="single" w:sz="4" w:space="0" w:color="000000"/>
              <w:right w:val="single" w:sz="4" w:space="0" w:color="000000"/>
            </w:tcBorders>
          </w:tcPr>
          <w:p w14:paraId="564A9EBC" w14:textId="77777777" w:rsidR="000E0AF6" w:rsidRDefault="000E0AF6" w:rsidP="002C7718">
            <w:pPr>
              <w:keepNext/>
              <w:keepLines/>
              <w:rPr>
                <w:color w:val="000000"/>
              </w:rPr>
            </w:pPr>
            <w:r>
              <w:rPr>
                <w:color w:val="000000"/>
              </w:rPr>
              <w:t>25</w:t>
            </w:r>
          </w:p>
        </w:tc>
        <w:tc>
          <w:tcPr>
            <w:tcW w:w="2595" w:type="dxa"/>
            <w:tcBorders>
              <w:top w:val="single" w:sz="4" w:space="0" w:color="000000"/>
              <w:left w:val="single" w:sz="4" w:space="0" w:color="000000"/>
              <w:bottom w:val="single" w:sz="4" w:space="0" w:color="000000"/>
              <w:right w:val="single" w:sz="4" w:space="0" w:color="000000"/>
            </w:tcBorders>
          </w:tcPr>
          <w:p w14:paraId="07B87D13" w14:textId="77777777" w:rsidR="000E0AF6" w:rsidRDefault="000E0AF6" w:rsidP="002C7718">
            <w:pPr>
              <w:keepNext/>
              <w:keepLines/>
              <w:rPr>
                <w:color w:val="000000"/>
              </w:rPr>
            </w:pPr>
            <w:r>
              <w:rPr>
                <w:color w:val="000000"/>
              </w:rPr>
              <w:t>10,3</w:t>
            </w:r>
          </w:p>
        </w:tc>
      </w:tr>
      <w:tr w:rsidR="000E0AF6" w14:paraId="3F92D643"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4BDC6A5" w14:textId="77777777" w:rsidR="000E0AF6" w:rsidRDefault="000E0AF6" w:rsidP="002C7718">
            <w:pPr>
              <w:keepNext/>
              <w:keepLines/>
            </w:pPr>
            <w:r>
              <w:t>Электричество / электронные устройства</w:t>
            </w:r>
          </w:p>
        </w:tc>
        <w:tc>
          <w:tcPr>
            <w:tcW w:w="2310" w:type="dxa"/>
            <w:tcBorders>
              <w:top w:val="single" w:sz="4" w:space="0" w:color="000000"/>
              <w:left w:val="single" w:sz="4" w:space="0" w:color="000000"/>
              <w:bottom w:val="single" w:sz="4" w:space="0" w:color="000000"/>
              <w:right w:val="single" w:sz="4" w:space="0" w:color="000000"/>
            </w:tcBorders>
          </w:tcPr>
          <w:p w14:paraId="3F7A7E1C" w14:textId="77777777" w:rsidR="000E0AF6" w:rsidRDefault="000E0AF6" w:rsidP="002C7718">
            <w:pPr>
              <w:keepNext/>
              <w:keepLines/>
              <w:rPr>
                <w:color w:val="000000"/>
              </w:rPr>
            </w:pPr>
            <w:r>
              <w:rPr>
                <w:color w:val="000000"/>
              </w:rPr>
              <w:t>14</w:t>
            </w:r>
          </w:p>
        </w:tc>
        <w:tc>
          <w:tcPr>
            <w:tcW w:w="2595" w:type="dxa"/>
            <w:tcBorders>
              <w:top w:val="single" w:sz="4" w:space="0" w:color="000000"/>
              <w:left w:val="single" w:sz="4" w:space="0" w:color="000000"/>
              <w:bottom w:val="single" w:sz="4" w:space="0" w:color="000000"/>
              <w:right w:val="single" w:sz="4" w:space="0" w:color="000000"/>
            </w:tcBorders>
          </w:tcPr>
          <w:p w14:paraId="5944CDAA" w14:textId="77777777" w:rsidR="000E0AF6" w:rsidRDefault="000E0AF6" w:rsidP="002C7718">
            <w:pPr>
              <w:keepNext/>
              <w:keepLines/>
              <w:rPr>
                <w:color w:val="000000"/>
              </w:rPr>
            </w:pPr>
            <w:r>
              <w:rPr>
                <w:color w:val="000000"/>
              </w:rPr>
              <w:t>8,5</w:t>
            </w:r>
          </w:p>
        </w:tc>
      </w:tr>
      <w:tr w:rsidR="000E0AF6" w14:paraId="26312CF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7F32AA91" w14:textId="77777777" w:rsidR="000E0AF6" w:rsidRDefault="000E0AF6" w:rsidP="002C7718">
            <w:pPr>
              <w:keepNext/>
              <w:keepLines/>
            </w:pPr>
            <w:r>
              <w:t>Лекарственные препараты</w:t>
            </w:r>
          </w:p>
        </w:tc>
        <w:tc>
          <w:tcPr>
            <w:tcW w:w="2310" w:type="dxa"/>
            <w:tcBorders>
              <w:top w:val="single" w:sz="4" w:space="0" w:color="000000"/>
              <w:left w:val="single" w:sz="4" w:space="0" w:color="000000"/>
              <w:bottom w:val="single" w:sz="4" w:space="0" w:color="000000"/>
              <w:right w:val="single" w:sz="4" w:space="0" w:color="000000"/>
            </w:tcBorders>
          </w:tcPr>
          <w:p w14:paraId="55C681E6" w14:textId="77777777" w:rsidR="000E0AF6" w:rsidRDefault="000E0AF6" w:rsidP="002C7718">
            <w:pPr>
              <w:keepNext/>
              <w:keepLines/>
              <w:rPr>
                <w:color w:val="000000"/>
              </w:rPr>
            </w:pPr>
            <w:r>
              <w:rPr>
                <w:color w:val="000000"/>
              </w:rPr>
              <w:t>24</w:t>
            </w:r>
          </w:p>
        </w:tc>
        <w:tc>
          <w:tcPr>
            <w:tcW w:w="2595" w:type="dxa"/>
            <w:tcBorders>
              <w:top w:val="single" w:sz="4" w:space="0" w:color="000000"/>
              <w:left w:val="single" w:sz="4" w:space="0" w:color="000000"/>
              <w:bottom w:val="single" w:sz="4" w:space="0" w:color="000000"/>
              <w:right w:val="single" w:sz="4" w:space="0" w:color="000000"/>
            </w:tcBorders>
          </w:tcPr>
          <w:p w14:paraId="3B722CE5" w14:textId="77777777" w:rsidR="000E0AF6" w:rsidRDefault="000E0AF6" w:rsidP="002C7718">
            <w:pPr>
              <w:keepNext/>
              <w:keepLines/>
              <w:rPr>
                <w:color w:val="000000"/>
              </w:rPr>
            </w:pPr>
            <w:r>
              <w:rPr>
                <w:color w:val="000000"/>
              </w:rPr>
              <w:t>12,6</w:t>
            </w:r>
          </w:p>
        </w:tc>
      </w:tr>
      <w:tr w:rsidR="000E0AF6" w14:paraId="45CBDA7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796455C" w14:textId="77777777" w:rsidR="000E0AF6" w:rsidRDefault="000E0AF6" w:rsidP="002C7718">
            <w:pPr>
              <w:keepNext/>
              <w:keepLines/>
            </w:pPr>
            <w:r>
              <w:t>Химия</w:t>
            </w:r>
          </w:p>
        </w:tc>
        <w:tc>
          <w:tcPr>
            <w:tcW w:w="2310" w:type="dxa"/>
            <w:tcBorders>
              <w:top w:val="single" w:sz="4" w:space="0" w:color="000000"/>
              <w:left w:val="single" w:sz="4" w:space="0" w:color="000000"/>
              <w:bottom w:val="single" w:sz="4" w:space="0" w:color="000000"/>
              <w:right w:val="single" w:sz="4" w:space="0" w:color="000000"/>
            </w:tcBorders>
          </w:tcPr>
          <w:p w14:paraId="6AEFC784" w14:textId="77777777" w:rsidR="000E0AF6" w:rsidRDefault="000E0AF6" w:rsidP="002C7718">
            <w:pPr>
              <w:keepNext/>
              <w:keepLines/>
              <w:rPr>
                <w:color w:val="000000"/>
              </w:rPr>
            </w:pPr>
            <w:r>
              <w:t>19</w:t>
            </w:r>
          </w:p>
        </w:tc>
        <w:tc>
          <w:tcPr>
            <w:tcW w:w="2595" w:type="dxa"/>
            <w:tcBorders>
              <w:top w:val="single" w:sz="4" w:space="0" w:color="000000"/>
              <w:left w:val="single" w:sz="4" w:space="0" w:color="000000"/>
              <w:bottom w:val="single" w:sz="4" w:space="0" w:color="000000"/>
              <w:right w:val="single" w:sz="4" w:space="0" w:color="000000"/>
            </w:tcBorders>
          </w:tcPr>
          <w:p w14:paraId="0BC5FEC7" w14:textId="77777777" w:rsidR="000E0AF6" w:rsidRDefault="000E0AF6" w:rsidP="002C7718">
            <w:pPr>
              <w:keepNext/>
              <w:keepLines/>
              <w:rPr>
                <w:color w:val="000000"/>
              </w:rPr>
            </w:pPr>
            <w:r>
              <w:rPr>
                <w:color w:val="000000"/>
              </w:rPr>
              <w:t>10,6</w:t>
            </w:r>
          </w:p>
        </w:tc>
      </w:tr>
      <w:tr w:rsidR="000E0AF6" w14:paraId="00F6D1DB"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38887CE4" w14:textId="77777777" w:rsidR="000E0AF6" w:rsidRDefault="000E0AF6" w:rsidP="002C7718">
            <w:pPr>
              <w:keepNext/>
              <w:keepLines/>
            </w:pPr>
            <w:r>
              <w:t>Биотехнологии</w:t>
            </w:r>
          </w:p>
        </w:tc>
        <w:tc>
          <w:tcPr>
            <w:tcW w:w="2310" w:type="dxa"/>
            <w:tcBorders>
              <w:top w:val="single" w:sz="4" w:space="0" w:color="000000"/>
              <w:left w:val="single" w:sz="4" w:space="0" w:color="000000"/>
              <w:bottom w:val="single" w:sz="4" w:space="0" w:color="000000"/>
              <w:right w:val="single" w:sz="4" w:space="0" w:color="000000"/>
            </w:tcBorders>
          </w:tcPr>
          <w:p w14:paraId="672C0E1E" w14:textId="77777777" w:rsidR="000E0AF6" w:rsidRDefault="000E0AF6" w:rsidP="002C7718">
            <w:pPr>
              <w:keepNext/>
              <w:keepLines/>
              <w:rPr>
                <w:color w:val="000000"/>
              </w:rPr>
            </w:pPr>
            <w:r>
              <w:t>25</w:t>
            </w:r>
          </w:p>
        </w:tc>
        <w:tc>
          <w:tcPr>
            <w:tcW w:w="2595" w:type="dxa"/>
            <w:tcBorders>
              <w:top w:val="single" w:sz="4" w:space="0" w:color="000000"/>
              <w:left w:val="single" w:sz="4" w:space="0" w:color="000000"/>
              <w:bottom w:val="single" w:sz="4" w:space="0" w:color="000000"/>
              <w:right w:val="single" w:sz="4" w:space="0" w:color="000000"/>
            </w:tcBorders>
          </w:tcPr>
          <w:p w14:paraId="20268631" w14:textId="77777777" w:rsidR="000E0AF6" w:rsidRDefault="000E0AF6" w:rsidP="002C7718">
            <w:pPr>
              <w:keepNext/>
              <w:keepLines/>
              <w:rPr>
                <w:color w:val="000000"/>
              </w:rPr>
            </w:pPr>
            <w:r>
              <w:rPr>
                <w:color w:val="000000"/>
              </w:rPr>
              <w:t>7,4</w:t>
            </w:r>
          </w:p>
        </w:tc>
      </w:tr>
      <w:tr w:rsidR="000E0AF6" w14:paraId="227A4FD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17DD800C" w14:textId="77777777" w:rsidR="000E0AF6" w:rsidRDefault="000E0AF6" w:rsidP="002C7718">
            <w:pPr>
              <w:keepLines/>
            </w:pPr>
            <w:r>
              <w:t>Промышленные образцы</w:t>
            </w:r>
          </w:p>
        </w:tc>
        <w:tc>
          <w:tcPr>
            <w:tcW w:w="2310" w:type="dxa"/>
            <w:tcBorders>
              <w:top w:val="single" w:sz="4" w:space="0" w:color="000000"/>
              <w:left w:val="single" w:sz="4" w:space="0" w:color="000000"/>
              <w:bottom w:val="single" w:sz="4" w:space="0" w:color="000000"/>
              <w:right w:val="single" w:sz="4" w:space="0" w:color="000000"/>
            </w:tcBorders>
          </w:tcPr>
          <w:p w14:paraId="27861CC3" w14:textId="77777777" w:rsidR="000E0AF6" w:rsidRDefault="000E0AF6" w:rsidP="002C7718">
            <w:pPr>
              <w:keepLines/>
              <w:rPr>
                <w:color w:val="000000"/>
              </w:rPr>
            </w:pPr>
            <w:r>
              <w:rPr>
                <w:color w:val="000000"/>
              </w:rPr>
              <w:t>5</w:t>
            </w:r>
          </w:p>
        </w:tc>
        <w:tc>
          <w:tcPr>
            <w:tcW w:w="2595" w:type="dxa"/>
            <w:tcBorders>
              <w:top w:val="single" w:sz="4" w:space="0" w:color="000000"/>
              <w:left w:val="single" w:sz="4" w:space="0" w:color="000000"/>
              <w:bottom w:val="single" w:sz="4" w:space="0" w:color="000000"/>
              <w:right w:val="single" w:sz="4" w:space="0" w:color="000000"/>
            </w:tcBorders>
          </w:tcPr>
          <w:p w14:paraId="5F0A1FFF" w14:textId="77777777" w:rsidR="000E0AF6" w:rsidRDefault="000E0AF6" w:rsidP="002C7718">
            <w:pPr>
              <w:keepLines/>
              <w:rPr>
                <w:color w:val="000000"/>
              </w:rPr>
            </w:pPr>
            <w:r>
              <w:rPr>
                <w:color w:val="000000"/>
              </w:rPr>
              <w:t>17,7</w:t>
            </w:r>
          </w:p>
        </w:tc>
      </w:tr>
      <w:tr w:rsidR="000E0AF6" w14:paraId="1A35E62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955D74D" w14:textId="77777777" w:rsidR="000E0AF6" w:rsidRDefault="000E0AF6" w:rsidP="002C7718">
            <w:pPr>
              <w:rPr>
                <w:i/>
              </w:rPr>
            </w:pPr>
            <w:r>
              <w:rPr>
                <w:i/>
              </w:rPr>
              <w:t>Всего</w:t>
            </w:r>
          </w:p>
        </w:tc>
        <w:tc>
          <w:tcPr>
            <w:tcW w:w="2310" w:type="dxa"/>
            <w:tcBorders>
              <w:top w:val="single" w:sz="4" w:space="0" w:color="000000"/>
              <w:left w:val="single" w:sz="4" w:space="0" w:color="000000"/>
              <w:bottom w:val="single" w:sz="4" w:space="0" w:color="000000"/>
              <w:right w:val="single" w:sz="4" w:space="0" w:color="000000"/>
            </w:tcBorders>
          </w:tcPr>
          <w:p w14:paraId="7D3189E6" w14:textId="77777777" w:rsidR="000E0AF6" w:rsidRDefault="000E0AF6" w:rsidP="002C7718">
            <w:pPr>
              <w:rPr>
                <w:i/>
                <w:color w:val="000000"/>
              </w:rPr>
            </w:pPr>
            <w:r>
              <w:rPr>
                <w:i/>
                <w:color w:val="000000"/>
              </w:rPr>
              <w:t>112</w:t>
            </w:r>
          </w:p>
        </w:tc>
        <w:tc>
          <w:tcPr>
            <w:tcW w:w="2595" w:type="dxa"/>
            <w:tcBorders>
              <w:top w:val="single" w:sz="4" w:space="0" w:color="000000"/>
              <w:left w:val="single" w:sz="4" w:space="0" w:color="000000"/>
              <w:bottom w:val="single" w:sz="4" w:space="0" w:color="000000"/>
              <w:right w:val="single" w:sz="4" w:space="0" w:color="000000"/>
            </w:tcBorders>
          </w:tcPr>
          <w:p w14:paraId="70843017" w14:textId="77777777" w:rsidR="000E0AF6" w:rsidRDefault="000E0AF6" w:rsidP="002C7718">
            <w:pPr>
              <w:rPr>
                <w:i/>
                <w:color w:val="000000"/>
              </w:rPr>
            </w:pPr>
            <w:r>
              <w:rPr>
                <w:i/>
              </w:rPr>
              <w:t>10,4</w:t>
            </w:r>
          </w:p>
        </w:tc>
      </w:tr>
    </w:tbl>
    <w:p w14:paraId="2EE56269" w14:textId="77777777" w:rsidR="00FD3318" w:rsidRDefault="00FD3318" w:rsidP="002C7718">
      <w:pPr>
        <w:keepLines/>
        <w:pBdr>
          <w:top w:val="nil"/>
          <w:left w:val="nil"/>
          <w:bottom w:val="nil"/>
          <w:right w:val="nil"/>
          <w:between w:val="nil"/>
        </w:pBdr>
        <w:spacing w:after="240"/>
        <w:ind w:right="567"/>
        <w:rPr>
          <w:color w:val="000000"/>
        </w:rPr>
      </w:pPr>
    </w:p>
    <w:p w14:paraId="20CB537E" w14:textId="7D2927B6" w:rsidR="000E0AF6" w:rsidRDefault="000E0AF6" w:rsidP="002C7718">
      <w:pPr>
        <w:keepLines/>
        <w:pBdr>
          <w:top w:val="nil"/>
          <w:left w:val="nil"/>
          <w:bottom w:val="nil"/>
          <w:right w:val="nil"/>
          <w:between w:val="nil"/>
        </w:pBdr>
        <w:spacing w:after="240"/>
        <w:ind w:right="567"/>
        <w:rPr>
          <w:color w:val="000000"/>
        </w:rPr>
      </w:pPr>
      <w:r>
        <w:rPr>
          <w:color w:val="000000"/>
        </w:rPr>
        <w:t xml:space="preserve">Прочая информация, помимо отчета о системе УК и приведенной выше таблицы (необязательно):   </w:t>
      </w:r>
    </w:p>
    <w:p w14:paraId="334EBCC6" w14:textId="36A8F241"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Ведомство задействует и штатных, и внешних экспертов, имеющих необходимую подготовку и квалификацию для проведения поиска и экспертизы заявок.  Внешние эксперты работают в основном с национальными заявками.  Штатные эксперты заняты преимущественно заявками по процедуре PCT на международной фазе, но также осуществляют экспертизу и национальных заявок, решая, рекомендовать ли выдачу патента или отказать в ней.</w:t>
      </w:r>
    </w:p>
    <w:p w14:paraId="6EACD404" w14:textId="77777777" w:rsidR="000E0AF6" w:rsidRPr="009619A9" w:rsidRDefault="000E0AF6" w:rsidP="000E0AF6">
      <w:pPr>
        <w:keepNext/>
        <w:keepLines/>
        <w:pBdr>
          <w:top w:val="nil"/>
          <w:left w:val="nil"/>
          <w:bottom w:val="nil"/>
          <w:right w:val="nil"/>
          <w:between w:val="nil"/>
        </w:pBdr>
        <w:jc w:val="both"/>
        <w:rPr>
          <w:color w:val="000000" w:themeColor="text1"/>
        </w:rPr>
      </w:pPr>
    </w:p>
    <w:p w14:paraId="774E805B" w14:textId="017D0043"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В INAPI работают 107 высококвалифицированных специалиста, которые проводят поиск и экспертизу во всех областях техники, касающихся механики, электроники, фармацевтической продукции, химии и биотехнологии, как указано в таблице выше.  Кроме того, ведомство располагает пятью специалистами, осуществляющими экспертизу промышленных образцов по существу.  Более половины из них получили послевузовское профессиональное образование (магистратура или докторантура).</w:t>
      </w:r>
    </w:p>
    <w:p w14:paraId="199F1A46"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7BFA29C" w14:textId="77777777" w:rsidR="000E0AF6" w:rsidRPr="009619A9" w:rsidRDefault="000E0AF6" w:rsidP="00FD3318">
      <w:pPr>
        <w:keepLines/>
        <w:pBdr>
          <w:top w:val="nil"/>
          <w:left w:val="nil"/>
          <w:bottom w:val="nil"/>
          <w:right w:val="nil"/>
          <w:between w:val="nil"/>
        </w:pBdr>
        <w:jc w:val="both"/>
        <w:rPr>
          <w:color w:val="000000" w:themeColor="text1"/>
          <w:u w:val="single"/>
        </w:rPr>
      </w:pPr>
      <w:r>
        <w:rPr>
          <w:color w:val="000000" w:themeColor="text1"/>
          <w:u w:val="single"/>
        </w:rPr>
        <w:t>Программы профессиональной подготовки</w:t>
      </w:r>
    </w:p>
    <w:p w14:paraId="5DCDF078" w14:textId="77777777" w:rsidR="000E0AF6" w:rsidRPr="009619A9" w:rsidRDefault="000E0AF6" w:rsidP="00FD3318">
      <w:pPr>
        <w:keepLines/>
        <w:pBdr>
          <w:top w:val="nil"/>
          <w:left w:val="nil"/>
          <w:bottom w:val="nil"/>
          <w:right w:val="nil"/>
          <w:between w:val="nil"/>
        </w:pBdr>
        <w:jc w:val="both"/>
        <w:rPr>
          <w:color w:val="000000" w:themeColor="text1"/>
        </w:rPr>
      </w:pPr>
    </w:p>
    <w:p w14:paraId="408F1578" w14:textId="137DEE80"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Первым этапом найма новых сотрудников является выявление потребностей в технических областях и составление профилей должностей.  Затем объявляется открытый прием заявок с указанием необходимой квалификации.  После этого проводится отбор кандидатов.  Кандидаты проходят полное обучение и двухэтапный отбор: начальный вводный этап, направленный на получение общих знаний и опыта в области патентов и промышленной собственности; второй этап включает в себя собственно профессиональную подготовку.  На этом этапе кандидаты работают под руководством экспертов INAPI, проводя экспертизу настоящих патентных заявок.  Контроль за всем процессом осуществляют руководители технических направлений Отдела патентной экспертизы, которые оценивают работу и способности кандидатов и отбирают тех, кто соответствует требованиям INAPI.</w:t>
      </w:r>
    </w:p>
    <w:p w14:paraId="4C376952"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4D048A2" w14:textId="1407AAF3" w:rsidR="000E0AF6" w:rsidRPr="009619A9" w:rsidRDefault="000E0AF6" w:rsidP="002C7718">
      <w:pPr>
        <w:pBdr>
          <w:top w:val="nil"/>
          <w:left w:val="nil"/>
          <w:bottom w:val="nil"/>
          <w:right w:val="nil"/>
          <w:between w:val="nil"/>
        </w:pBdr>
        <w:jc w:val="both"/>
        <w:rPr>
          <w:color w:val="000000" w:themeColor="text1"/>
        </w:rPr>
      </w:pPr>
      <w:r>
        <w:rPr>
          <w:color w:val="000000" w:themeColor="text1"/>
        </w:rPr>
        <w:t xml:space="preserve">Кандидатам, прошедшим конкурс, назначается наставник, который курирует их работу и наставляет в подготовке их первых отчетов.  Период наставничества длится один год, при этом в одной и той же технической области задействованы несколько наставников.  Результаты работы новых сотрудников оцениваются каждые четыре месяца. Кандидаты, которые в течение года или раньше продемонстрируют, что у них </w:t>
      </w:r>
      <w:r>
        <w:rPr>
          <w:color w:val="000000" w:themeColor="text1"/>
        </w:rPr>
        <w:lastRenderedPageBreak/>
        <w:t>сформировались необходимые навыки и умения для составления отчетов о поиске и экспертизе, могут приступить к самостоятельной работе.  Цель этого процесса заключается в том, чтобы за 18 месяцев все новые эксперты были подготовлены к самостоятельному проведению поиска и экспертизы без помощи наставника, как того требуют положения законодательства, соответствующие правила и руководства.</w:t>
      </w:r>
    </w:p>
    <w:p w14:paraId="457F1A29" w14:textId="76E8A990" w:rsidR="000E0AF6" w:rsidRPr="009619A9" w:rsidRDefault="000E0AF6" w:rsidP="002C7718">
      <w:pPr>
        <w:keepLines/>
        <w:pBdr>
          <w:top w:val="nil"/>
          <w:left w:val="nil"/>
          <w:bottom w:val="nil"/>
          <w:right w:val="nil"/>
          <w:between w:val="nil"/>
        </w:pBdr>
        <w:spacing w:before="240" w:after="480"/>
        <w:jc w:val="both"/>
        <w:rPr>
          <w:color w:val="000000" w:themeColor="text1"/>
        </w:rPr>
      </w:pPr>
      <w:r>
        <w:rPr>
          <w:color w:val="000000" w:themeColor="text1"/>
        </w:rPr>
        <w:t>Процедура набора и обучения персонала была разработана так, чтобы не оказывать отрицательного влияния на производительность труда в Ведомстве.  Это отражается в быстром сокращении числа ожидающих рассмотрения заявок в последние годы.</w:t>
      </w:r>
    </w:p>
    <w:p w14:paraId="381B7049" w14:textId="56E8D147"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2.2 – МИНИМУМ ДОКУМЕНТАЦИИ – ПРЕДОСТАВЛЕНИЕ ДЛЯ ОЗНАКОМЛЕНИЯ</w:t>
      </w:r>
    </w:p>
    <w:p w14:paraId="0FAF6EBF" w14:textId="73500443"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Правила 36.1(ii) и 63.1(ii).  Это ведомство или организация должны в рамках минимума документации, упомянутого в правиле 34, предоставлять для ознакомления любой патент и любую патентную заявку, выданные или опубликованные ими и, если применимо, их правопредшественником(ами), в соответствии с требованиями, установленными Административной инструкцией.</w:t>
      </w:r>
    </w:p>
    <w:p w14:paraId="58386123" w14:textId="1D581CD5"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 xml:space="preserve">Требования, указанные в Административной инструкции, изложены в </w:t>
      </w:r>
      <w:hyperlink r:id="rId12">
        <w:r>
          <w:rPr>
            <w:rStyle w:val="Hyperlink"/>
            <w:i/>
          </w:rPr>
          <w:t>циркулярном письме C. PCT 1672</w:t>
        </w:r>
      </w:hyperlink>
      <w:r>
        <w:rPr>
          <w:i/>
          <w:color w:val="000000"/>
        </w:rPr>
        <w:t xml:space="preserve"> от 19 июня 2024 года.</w:t>
      </w:r>
    </w:p>
    <w:p w14:paraId="05F36E0F" w14:textId="162F5408" w:rsidR="000E0AF6" w:rsidRDefault="000E0AF6" w:rsidP="000E0AF6">
      <w:pPr>
        <w:keepNext/>
        <w:keepLines/>
        <w:pBdr>
          <w:top w:val="nil"/>
          <w:left w:val="nil"/>
          <w:bottom w:val="nil"/>
          <w:right w:val="nil"/>
          <w:between w:val="nil"/>
        </w:pBdr>
        <w:rPr>
          <w:color w:val="000000"/>
        </w:rPr>
      </w:pPr>
      <w:r>
        <w:rPr>
          <w:color w:val="000000"/>
        </w:rPr>
        <w:t>О предоставлении для ознакомления любого патента и любой патентной заявки, выданных или опубликованных ведомством либо, если применимо, ведомствами, являющимися членами межправительственной организации, в рамках минимума документации, упомянутого в правиле 34, в соответствии с договоренностью, принятой Ассамблеей РСТ в пункте 8 документа PCT/A/55/2, сообщается следующее:</w:t>
      </w:r>
      <w:r>
        <w:rPr>
          <w:color w:val="000000"/>
        </w:rPr>
        <w:br/>
      </w:r>
      <w:r>
        <w:rPr>
          <w:color w:val="000000"/>
        </w:rPr>
        <w:br/>
        <w:t>Либо</w:t>
      </w:r>
      <w:r>
        <w:rPr>
          <w:color w:val="000000"/>
        </w:rPr>
        <w:br/>
      </w:r>
      <w:r>
        <w:rPr>
          <w:color w:val="000000"/>
        </w:rPr>
        <w:br/>
      </w:r>
      <w:r>
        <w:rPr>
          <w:rFonts w:ascii="MS Gothic" w:hAnsi="MS Gothic"/>
        </w:rPr>
        <w:t>☒</w:t>
      </w:r>
      <w:r>
        <w:rPr>
          <w:color w:val="000000"/>
        </w:rPr>
        <w:t xml:space="preserve"> «Целевая группа по минимуму документации PCT проверила наличие фондов патентной документации в период до 1 ноября 2025 года и подтверждает, что требования соблюдены.  Информация об объеме и формате документов, которые были предоставлены Органом для ознакомления, опубликована в Бюллетене PCT </w:t>
      </w:r>
      <w:bookmarkStart w:id="5" w:name="_Hlk215085357"/>
      <w:r>
        <w:t xml:space="preserve">23 октября 2025 года по ссылке:  </w:t>
      </w:r>
      <w:bookmarkEnd w:id="5"/>
      <w:r w:rsidR="00957043" w:rsidRPr="00AB2203">
        <w:rPr>
          <w:rStyle w:val="Hyperlink"/>
        </w:rPr>
        <w:fldChar w:fldCharType="begin"/>
      </w:r>
      <w:r w:rsidR="00957043" w:rsidRPr="00E16D1F">
        <w:rPr>
          <w:rStyle w:val="Hyperlink"/>
        </w:rPr>
        <w:instrText>HYPERLINK "https://www.wipo.int/documents/d/pct-system/docs-en-official-notices-officialnotices.pdf%23page=184"</w:instrText>
      </w:r>
      <w:r w:rsidR="00E825C6" w:rsidRPr="00AB2203">
        <w:rPr>
          <w:rStyle w:val="Hyperlink"/>
        </w:rPr>
      </w:r>
      <w:r w:rsidR="00957043" w:rsidRPr="00AB2203">
        <w:rPr>
          <w:rStyle w:val="Hyperlink"/>
        </w:rPr>
        <w:fldChar w:fldCharType="separate"/>
      </w:r>
      <w:r>
        <w:rPr>
          <w:rStyle w:val="Hyperlink"/>
        </w:rPr>
        <w:t>https://www.wipo.int/documents/d/pct-system/docs-en-official-notices-officialnotices.pdf#page=184</w:t>
      </w:r>
      <w:r w:rsidR="00957043" w:rsidRPr="00AB2203">
        <w:rPr>
          <w:rStyle w:val="Hyperlink"/>
        </w:rPr>
        <w:fldChar w:fldCharType="end"/>
      </w:r>
      <w:r>
        <w:rPr>
          <w:color w:val="000000"/>
        </w:rPr>
        <w:t>.</w:t>
      </w:r>
    </w:p>
    <w:p w14:paraId="66D1EFF7" w14:textId="77777777" w:rsidR="000E0AF6" w:rsidRDefault="000E0AF6" w:rsidP="000E0AF6">
      <w:pPr>
        <w:pBdr>
          <w:top w:val="nil"/>
          <w:left w:val="nil"/>
          <w:bottom w:val="nil"/>
          <w:right w:val="nil"/>
          <w:between w:val="nil"/>
        </w:pBdr>
        <w:spacing w:after="220"/>
        <w:ind w:left="567"/>
        <w:rPr>
          <w:color w:val="000000"/>
        </w:rPr>
      </w:pPr>
    </w:p>
    <w:p w14:paraId="1EEFD19D" w14:textId="77777777" w:rsidR="000E0AF6" w:rsidRDefault="000E0AF6" w:rsidP="000E0AF6">
      <w:pPr>
        <w:pBdr>
          <w:top w:val="nil"/>
          <w:left w:val="nil"/>
          <w:bottom w:val="nil"/>
          <w:right w:val="nil"/>
          <w:between w:val="nil"/>
        </w:pBdr>
        <w:spacing w:after="220"/>
        <w:rPr>
          <w:color w:val="000000"/>
        </w:rPr>
      </w:pPr>
      <w:r>
        <w:rPr>
          <w:color w:val="000000"/>
        </w:rPr>
        <w:t>либо</w:t>
      </w:r>
    </w:p>
    <w:p w14:paraId="714949AD" w14:textId="42C4EBA9" w:rsidR="000E0AF6" w:rsidRDefault="000E0AF6" w:rsidP="000E0AF6">
      <w:pPr>
        <w:pBdr>
          <w:top w:val="nil"/>
          <w:left w:val="nil"/>
          <w:bottom w:val="nil"/>
          <w:right w:val="nil"/>
          <w:between w:val="nil"/>
        </w:pBdr>
        <w:spacing w:after="220"/>
        <w:rPr>
          <w:color w:val="000000"/>
        </w:rPr>
      </w:pPr>
      <w:r>
        <w:rPr>
          <w:rFonts w:ascii="MS Gothic" w:hAnsi="MS Gothic"/>
          <w:color w:val="000000"/>
        </w:rPr>
        <w:t>☐</w:t>
      </w:r>
      <w:r>
        <w:rPr>
          <w:color w:val="000000"/>
        </w:rPr>
        <w:t xml:space="preserve"> «Орган сообщает о предоставлении доступа к своему фонду патентной документации, с указанием сроков, в которые Целевая группа по минимуму документации PCT может подтвердить проведение проверки и предоставление полного доступа (см. ниже).  Просьба предоставить подробную информацию о вашем ведомственном досье с любыми соответствующими ссылками».</w:t>
      </w:r>
    </w:p>
    <w:p w14:paraId="10C54425" w14:textId="14A75108" w:rsidR="000E0AF6" w:rsidRDefault="000E0AF6" w:rsidP="00FD3318">
      <w:pPr>
        <w:keepNext/>
        <w:keepLines/>
        <w:pBdr>
          <w:top w:val="single" w:sz="4" w:space="0" w:color="000000"/>
          <w:left w:val="nil"/>
          <w:bottom w:val="nil"/>
          <w:right w:val="nil"/>
          <w:between w:val="nil"/>
        </w:pBdr>
        <w:spacing w:before="360" w:after="200" w:line="480" w:lineRule="auto"/>
        <w:rPr>
          <w:b/>
          <w:smallCaps/>
          <w:color w:val="000000"/>
        </w:rPr>
      </w:pPr>
      <w:r>
        <w:rPr>
          <w:b/>
          <w:smallCaps/>
          <w:color w:val="000000"/>
        </w:rPr>
        <w:t>2.3 – Минимум документации – доступ</w:t>
      </w:r>
    </w:p>
    <w:p w14:paraId="7AD3ED25" w14:textId="17918604" w:rsidR="000E0AF6" w:rsidRDefault="000E0AF6" w:rsidP="000E0AF6">
      <w:pPr>
        <w:keepLines/>
        <w:pBdr>
          <w:top w:val="nil"/>
          <w:left w:val="nil"/>
          <w:bottom w:val="nil"/>
          <w:right w:val="nil"/>
          <w:between w:val="nil"/>
        </w:pBdr>
        <w:spacing w:after="240"/>
        <w:ind w:left="567" w:right="567"/>
        <w:rPr>
          <w:color w:val="000000"/>
        </w:rPr>
      </w:pPr>
      <w:r>
        <w:rPr>
          <w:i/>
          <w:color w:val="000000"/>
        </w:rPr>
        <w:t>Правила 36.1(iii) и 63.1(iii).  Это ведомство или организация должны иметь в своем распоряжении или постоянно обеспечивать доступ, по крайней мере, к минимуму документации, упомянутому в правиле 34, для целей поиска в соответствии с Административной инструкцией.</w:t>
      </w:r>
    </w:p>
    <w:p w14:paraId="2F3D9D01" w14:textId="77777777" w:rsidR="000E0AF6" w:rsidRDefault="000E0AF6" w:rsidP="000E0AF6">
      <w:pPr>
        <w:keepLines/>
        <w:pBdr>
          <w:top w:val="nil"/>
          <w:left w:val="nil"/>
          <w:bottom w:val="nil"/>
          <w:right w:val="nil"/>
          <w:between w:val="nil"/>
        </w:pBdr>
        <w:spacing w:after="240"/>
        <w:ind w:right="567"/>
        <w:rPr>
          <w:color w:val="000000"/>
        </w:rPr>
      </w:pPr>
      <w:r>
        <w:rPr>
          <w:color w:val="000000"/>
        </w:rPr>
        <w:t xml:space="preserve">В отчет о системе УК входит предоставляемая Органом информация об имеющейся инфраструктуре, обеспечивающей наличие, доступность, надлежащее расположение и хранение, по крайней мере, минимума документации, указанной в правиле 34, для целей поиска и экспертизы в соответствии с пунктом 21.15(iv) Руководства. </w:t>
      </w:r>
    </w:p>
    <w:p w14:paraId="69BCECE1" w14:textId="77777777" w:rsidR="000E0AF6" w:rsidRDefault="000E0AF6" w:rsidP="0008584C">
      <w:pPr>
        <w:keepNext/>
        <w:keepLines/>
        <w:pBdr>
          <w:top w:val="nil"/>
          <w:left w:val="nil"/>
          <w:bottom w:val="nil"/>
          <w:right w:val="nil"/>
          <w:between w:val="nil"/>
        </w:pBdr>
        <w:spacing w:after="240"/>
        <w:ind w:right="567"/>
        <w:rPr>
          <w:color w:val="000000"/>
        </w:rPr>
      </w:pPr>
      <w:r>
        <w:rPr>
          <w:color w:val="000000"/>
        </w:rPr>
        <w:t xml:space="preserve">Прочая информация, помимо отчета о системе УК (необязательно):   </w:t>
      </w:r>
    </w:p>
    <w:p w14:paraId="0FD85273" w14:textId="193576B1" w:rsidR="000E0AF6" w:rsidRPr="009619A9" w:rsidRDefault="000E0AF6" w:rsidP="0008584C">
      <w:pPr>
        <w:keepNext/>
        <w:keepLines/>
        <w:pBdr>
          <w:top w:val="nil"/>
          <w:left w:val="nil"/>
          <w:bottom w:val="nil"/>
          <w:right w:val="nil"/>
          <w:between w:val="nil"/>
        </w:pBdr>
        <w:spacing w:after="240"/>
        <w:ind w:right="567"/>
        <w:jc w:val="both"/>
        <w:rPr>
          <w:color w:val="000000" w:themeColor="text1"/>
        </w:rPr>
      </w:pPr>
      <w:bookmarkStart w:id="6" w:name="_heading=h.hp10366k0hmg"/>
      <w:bookmarkEnd w:id="6"/>
      <w:r>
        <w:rPr>
          <w:color w:val="000000" w:themeColor="text1"/>
        </w:rPr>
        <w:t>INAPI предоставляет экспертам доступ к внутренним и внешним базам данных.  К ним относятся бесплатные онлайн-платформы, такие как Espacenet, Google Patents, собственная база данных INAPI и PATENTSCOPE.  Также были подписаны контракты на доступ к различным платным платформам, таким как STN (с модулем поиска по перечням последовательностей), Derwent Innovation (ранее Thomson Innovation) и ProQuest Dialog, которые предоставляют информацию из более чем 200 баз данных, охватывающих все области техники.  С 2015 года предоставляется полный доступ к EPOQUE Net. Система EPOQUE прекратит свое существование 31 декабря 2025 года, и ее заменит поисковая платформа на основе ANSERA (AbS).  В связи с этим эксперты INAPI уже прошли обучение для ознакомления с этой новой системой.  INAPI и Европейское патентное ведомство также провели ряд совещаний с целью изучения и налаживания наиболее подходящих механизмов обеспечения оптимального и эффективного использования этого нового инструмента в будущем.  Кроме того, в рамках договора с Национальным агентством по исследованиям и развитию (ANID) INAPI имеет доступ к полным текстам почти 5 000 научных и технологических журналов в электронном формате по 99 дисциплинам посредством Электронной библиотеки научной информации (BEIC), которая предоставляет доступ к таким источникам, как Oxford University Press, Elsevier, American Chemical Society, Annual Reviews, Nature, Springer, Science Magazine и Wiley.  Стоимость этой платформы превысит в 2024 году 12 миллионов долларов США.</w:t>
      </w:r>
    </w:p>
    <w:p w14:paraId="00DBCD4A" w14:textId="2F7429DA" w:rsidR="000E0AF6" w:rsidRPr="009619A9" w:rsidRDefault="000E0AF6" w:rsidP="00FD3318">
      <w:pPr>
        <w:keepLines/>
        <w:pBdr>
          <w:top w:val="nil"/>
          <w:left w:val="nil"/>
          <w:bottom w:val="nil"/>
          <w:right w:val="nil"/>
          <w:between w:val="nil"/>
        </w:pBdr>
        <w:spacing w:after="240"/>
        <w:ind w:right="567"/>
        <w:jc w:val="both"/>
        <w:rPr>
          <w:color w:val="000000" w:themeColor="text1"/>
        </w:rPr>
      </w:pPr>
      <w:r>
        <w:rPr>
          <w:color w:val="000000" w:themeColor="text1"/>
        </w:rPr>
        <w:t>INAPI активно изучает другие базы данных, которые могли бы расширить его поисковые возможности.</w:t>
      </w:r>
    </w:p>
    <w:p w14:paraId="0B5F4D41" w14:textId="7D697D3D" w:rsidR="000E0AF6" w:rsidRPr="009619A9" w:rsidRDefault="000E0AF6" w:rsidP="000E0AF6">
      <w:pPr>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t>2.4 – СИСТЕМА УПРАВЛЕНИЯ КАЧЕСТВОМ</w:t>
      </w:r>
    </w:p>
    <w:p w14:paraId="62236106" w14:textId="7E6C2D48" w:rsidR="000E0AF6" w:rsidRPr="009619A9" w:rsidRDefault="000E0AF6" w:rsidP="000E0AF6">
      <w:pPr>
        <w:keepLines/>
        <w:pBdr>
          <w:top w:val="nil"/>
          <w:left w:val="nil"/>
          <w:bottom w:val="nil"/>
          <w:right w:val="nil"/>
          <w:between w:val="nil"/>
        </w:pBdr>
        <w:spacing w:after="240"/>
        <w:ind w:left="567" w:right="567"/>
        <w:rPr>
          <w:i/>
          <w:color w:val="000000" w:themeColor="text1"/>
        </w:rPr>
      </w:pPr>
      <w:r>
        <w:rPr>
          <w:i/>
          <w:color w:val="000000" w:themeColor="text1"/>
        </w:rPr>
        <w:t>Правила 36.1(iv) и 63.1(iv).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p>
    <w:p w14:paraId="024E012E" w14:textId="77777777" w:rsidR="000E0AF6" w:rsidRPr="009619A9" w:rsidRDefault="000E0AF6" w:rsidP="000E0AF6">
      <w:pPr>
        <w:keepLines/>
        <w:pBdr>
          <w:top w:val="nil"/>
          <w:left w:val="nil"/>
          <w:bottom w:val="nil"/>
          <w:right w:val="nil"/>
          <w:between w:val="nil"/>
        </w:pBdr>
        <w:spacing w:after="240"/>
        <w:ind w:right="567"/>
        <w:rPr>
          <w:color w:val="000000" w:themeColor="text1"/>
        </w:rPr>
      </w:pPr>
      <w:r>
        <w:rPr>
          <w:color w:val="000000" w:themeColor="text1"/>
        </w:rPr>
        <w:t>В отчет о системе УК включаются предоставляемые Органом сведения о действующей системе управления качеством в соответствии с главой 21 Руководства и предусмотренный пунктом 21.09 отчет о механизмах внутреннего контроля, которые более подробно описаны в пунктах 21.27–21.30 Руководства.</w:t>
      </w:r>
    </w:p>
    <w:p w14:paraId="0590035A" w14:textId="77777777" w:rsidR="000E0AF6" w:rsidRPr="009619A9" w:rsidRDefault="000E0AF6" w:rsidP="000E0AF6">
      <w:pPr>
        <w:keepLines/>
        <w:pBdr>
          <w:top w:val="nil"/>
          <w:left w:val="nil"/>
          <w:bottom w:val="nil"/>
          <w:right w:val="nil"/>
          <w:between w:val="nil"/>
        </w:pBdr>
        <w:spacing w:after="240"/>
        <w:ind w:right="567"/>
        <w:jc w:val="both"/>
        <w:rPr>
          <w:color w:val="000000" w:themeColor="text1"/>
        </w:rPr>
      </w:pPr>
      <w:r>
        <w:rPr>
          <w:color w:val="000000" w:themeColor="text1"/>
        </w:rPr>
        <w:t xml:space="preserve">Прочая информация, помимо отчета о системе УК (необязательно):  </w:t>
      </w:r>
    </w:p>
    <w:p w14:paraId="03951D07" w14:textId="7A15C003" w:rsidR="00366B5D" w:rsidRDefault="000E0AF6" w:rsidP="00FD3318">
      <w:pPr>
        <w:pBdr>
          <w:top w:val="nil"/>
          <w:left w:val="nil"/>
          <w:bottom w:val="nil"/>
          <w:right w:val="nil"/>
          <w:between w:val="nil"/>
        </w:pBdr>
        <w:spacing w:after="240"/>
        <w:ind w:right="567"/>
        <w:jc w:val="both"/>
        <w:rPr>
          <w:color w:val="000000" w:themeColor="text1"/>
        </w:rPr>
      </w:pPr>
      <w:r>
        <w:rPr>
          <w:color w:val="000000" w:themeColor="text1"/>
        </w:rPr>
        <w:t>Система управления качеством INAPI соответствует требованиям главы 21 Руководства PCT по проведению международного поиска и международной экспертизы. Система хорошо продумана и постоянно модернизируется.  Все процессы в рамках международной фазы РСТ в INAPI, т. е. наши функции в качестве Получающего ведомства (ПВ), Международного поискового органа и Органа международной предварительной экспертизы (МПО/ОМПЭ), сертифицированы по стандарту ISO 9001:2015.  Это является гарантией нашего стремления обеспечивать высокий стандарт качества для пользователей, которые пользуются предоставляемыми INAPI услугами в рамках РСТ.</w:t>
      </w:r>
    </w:p>
    <w:p w14:paraId="32E3D82D" w14:textId="3B3D03B7" w:rsidR="000E0AF6" w:rsidRPr="009619A9" w:rsidRDefault="000E0AF6" w:rsidP="002C7718">
      <w:pPr>
        <w:keepNext/>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t>3 – СФЕРА ДЕЯТЕЛЬНОСТИ</w:t>
      </w:r>
    </w:p>
    <w:p w14:paraId="69E9064B" w14:textId="77777777" w:rsidR="000E0AF6" w:rsidRPr="009619A9" w:rsidRDefault="000E0AF6" w:rsidP="002C7718">
      <w:pPr>
        <w:keepNext/>
        <w:keepLines/>
        <w:pBdr>
          <w:top w:val="nil"/>
          <w:left w:val="nil"/>
          <w:bottom w:val="nil"/>
          <w:right w:val="nil"/>
          <w:between w:val="nil"/>
        </w:pBdr>
        <w:spacing w:after="480"/>
        <w:rPr>
          <w:b/>
          <w:color w:val="000000" w:themeColor="text1"/>
        </w:rPr>
      </w:pPr>
      <w:r>
        <w:rPr>
          <w:b/>
          <w:color w:val="000000" w:themeColor="text1"/>
        </w:rPr>
        <w:t xml:space="preserve">(a) </w:t>
      </w:r>
      <w:r>
        <w:rPr>
          <w:b/>
          <w:color w:val="000000" w:themeColor="text1"/>
        </w:rPr>
        <w:tab/>
        <w:t>Сфера деятельности в текущий период</w:t>
      </w:r>
    </w:p>
    <w:p w14:paraId="2BA3642F" w14:textId="7BA9584E" w:rsidR="000E0AF6" w:rsidRPr="00E16D1F" w:rsidRDefault="000E0AF6" w:rsidP="002C7718">
      <w:pPr>
        <w:pStyle w:val="Question"/>
        <w:spacing w:after="480"/>
        <w:rPr>
          <w:b w:val="0"/>
          <w:color w:val="0000FF" w:themeColor="hyperlink"/>
          <w:szCs w:val="20"/>
          <w:u w:val="single"/>
        </w:rPr>
      </w:pPr>
      <w:r>
        <w:rPr>
          <w:b w:val="0"/>
          <w:color w:val="000000" w:themeColor="text1"/>
        </w:rPr>
        <w:t>С информацией о Получающих ведомствах,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 языке(ах), на котором(ых) предлагаются услуги, и другими сведениями о сфере деятельности можно ознакомиться в Руководстве РСТ для заявителя по следующим ссылкам:</w:t>
      </w:r>
      <w:r>
        <w:rPr>
          <w:color w:val="000000" w:themeColor="text1"/>
        </w:rPr>
        <w:t xml:space="preserve">  </w:t>
      </w:r>
      <w:hyperlink r:id="rId13" w:anchor="ISA" w:history="1">
        <w:r>
          <w:rPr>
            <w:rStyle w:val="Hyperlink"/>
            <w:b w:val="0"/>
          </w:rPr>
          <w:t>https://pctlegal.wipo.int/eGuide/view-doc.xhtml?doc-code=CL&amp;amp;doc-lang=en#ISA</w:t>
        </w:r>
      </w:hyperlink>
      <w:r>
        <w:rPr>
          <w:b w:val="0"/>
          <w:color w:val="000000" w:themeColor="text1"/>
        </w:rPr>
        <w:t xml:space="preserve">; </w:t>
      </w:r>
      <w:hyperlink r:id="rId14" w:anchor="IPEA" w:history="1">
        <w:r>
          <w:rPr>
            <w:rStyle w:val="Hyperlink"/>
            <w:b w:val="0"/>
          </w:rPr>
          <w:t>https://pctlegal.wipo.int/eGuide/view-doc.xhtml?doc-code=CL&amp;amp;doc-lang=en#IPEA</w:t>
        </w:r>
      </w:hyperlink>
      <w:r>
        <w:rPr>
          <w:rStyle w:val="Hyperlink"/>
          <w:b w:val="0"/>
          <w:color w:val="auto"/>
          <w:u w:val="none"/>
        </w:rPr>
        <w:t>.</w:t>
      </w:r>
    </w:p>
    <w:p w14:paraId="364718FF" w14:textId="63F8F98E" w:rsidR="000E0AF6" w:rsidRPr="009619A9" w:rsidRDefault="000E0AF6" w:rsidP="000E0AF6">
      <w:pPr>
        <w:keepLines/>
        <w:pBdr>
          <w:top w:val="nil"/>
          <w:left w:val="nil"/>
          <w:bottom w:val="nil"/>
          <w:right w:val="nil"/>
          <w:between w:val="nil"/>
        </w:pBdr>
        <w:spacing w:after="480"/>
        <w:rPr>
          <w:b/>
          <w:color w:val="000000" w:themeColor="text1"/>
        </w:rPr>
      </w:pPr>
      <w:r>
        <w:rPr>
          <w:b/>
          <w:color w:val="000000" w:themeColor="text1"/>
        </w:rPr>
        <w:t xml:space="preserve">(b)  Планируемые изменения в сфере деятельности Органа, такие как Принимающие ведомства, для которых Орган является компетентным, и предлагаемые языки (при наличии таковых): </w:t>
      </w:r>
    </w:p>
    <w:p w14:paraId="6096B1C5" w14:textId="33172CE8" w:rsidR="000E0AF6" w:rsidRPr="009619A9" w:rsidRDefault="000E0AF6" w:rsidP="000E0AF6">
      <w:pPr>
        <w:keepLines/>
        <w:pBdr>
          <w:top w:val="nil"/>
          <w:left w:val="nil"/>
          <w:bottom w:val="nil"/>
          <w:right w:val="nil"/>
          <w:between w:val="nil"/>
        </w:pBdr>
        <w:spacing w:after="480"/>
        <w:jc w:val="both"/>
        <w:rPr>
          <w:color w:val="000000" w:themeColor="text1"/>
        </w:rPr>
      </w:pPr>
      <w:r>
        <w:rPr>
          <w:color w:val="000000" w:themeColor="text1"/>
        </w:rPr>
        <w:t>INAPI не планирует никаких изменений в этом отношении.  Как Международный орган в рамках РСТ, INAPI осуществляет свою деятельность на испанском и английском языках и только для заявителей из стран-участниц РСТ в Латинской Америке и Карибском бассейне.  В настоящее время INAPI назначили компетентным МПО/ОМПЭ для своих заявителей 14 стран: Бразилия, Чили, Колумбия, Коста-Рика, Куба, Доминиканская Республика, Эквадор, Сальвадор, Гватемала, Мексика, Панама, Перу, Тринидад и Тобаго и Уругвай.</w:t>
      </w:r>
    </w:p>
    <w:p w14:paraId="6DE8B1CA" w14:textId="325A0975" w:rsidR="000E0AF6" w:rsidRPr="009619A9" w:rsidRDefault="000E0AF6" w:rsidP="000E0AF6">
      <w:pPr>
        <w:keepNext/>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t>4 – Прочее</w:t>
      </w:r>
    </w:p>
    <w:p w14:paraId="12F9888C" w14:textId="77777777" w:rsidR="000E0AF6" w:rsidRPr="009619A9" w:rsidRDefault="000E0AF6" w:rsidP="000E0AF6">
      <w:pPr>
        <w:rPr>
          <w:color w:val="000000" w:themeColor="text1"/>
        </w:rPr>
      </w:pPr>
      <w:r>
        <w:rPr>
          <w:color w:val="000000" w:themeColor="text1"/>
        </w:rPr>
        <w:t xml:space="preserve">Любая дополнительная информация, имеющая отношение к продлению назначения в качестве Международного поискового органа и Органа международной предварительной экспертизы.  </w:t>
      </w:r>
    </w:p>
    <w:p w14:paraId="09F82792" w14:textId="77777777" w:rsidR="000E0AF6" w:rsidRPr="009619A9" w:rsidRDefault="000E0AF6" w:rsidP="000E0AF6">
      <w:pPr>
        <w:rPr>
          <w:color w:val="000000" w:themeColor="text1"/>
        </w:rPr>
      </w:pPr>
    </w:p>
    <w:p w14:paraId="1012D52C" w14:textId="77777777" w:rsidR="000E0AF6" w:rsidRPr="009619A9" w:rsidRDefault="000E0AF6" w:rsidP="000E0AF6">
      <w:pPr>
        <w:rPr>
          <w:color w:val="000000" w:themeColor="text1"/>
          <w:u w:val="single"/>
        </w:rPr>
      </w:pPr>
      <w:r>
        <w:rPr>
          <w:color w:val="000000" w:themeColor="text1"/>
          <w:u w:val="single"/>
        </w:rPr>
        <w:t>Заявление о заинтересованности</w:t>
      </w:r>
    </w:p>
    <w:p w14:paraId="3D88B740" w14:textId="77777777" w:rsidR="000E0AF6" w:rsidRPr="009619A9" w:rsidRDefault="000E0AF6" w:rsidP="000E0AF6">
      <w:pPr>
        <w:rPr>
          <w:color w:val="000000" w:themeColor="text1"/>
        </w:rPr>
      </w:pPr>
    </w:p>
    <w:p w14:paraId="40EAE9EB" w14:textId="3D7D589B" w:rsidR="000E0AF6" w:rsidRPr="009619A9" w:rsidRDefault="000E0AF6" w:rsidP="000E0AF6">
      <w:pPr>
        <w:jc w:val="both"/>
        <w:rPr>
          <w:color w:val="000000" w:themeColor="text1"/>
        </w:rPr>
      </w:pPr>
      <w:r>
        <w:rPr>
          <w:color w:val="000000" w:themeColor="text1"/>
        </w:rPr>
        <w:t>Благодаря учреждению INAPI в 2009 году и проделанной с тех пор работе удалось перейти на новый этап трансформации системы интеллектуальной собственности (ИС) в Чили.  INAPI стал современным и эффективным ведомством, способным не только оказывать высококачественные услуги, но и активно взаимодействовать со всей международной системой ИС.</w:t>
      </w:r>
    </w:p>
    <w:p w14:paraId="0F1CA3C8" w14:textId="77777777" w:rsidR="000E0AF6" w:rsidRPr="009619A9" w:rsidRDefault="000E0AF6" w:rsidP="000E0AF6">
      <w:pPr>
        <w:jc w:val="both"/>
        <w:rPr>
          <w:color w:val="000000" w:themeColor="text1"/>
        </w:rPr>
      </w:pPr>
    </w:p>
    <w:p w14:paraId="58C3E71A" w14:textId="0FB351D5" w:rsidR="000E0AF6" w:rsidRPr="009619A9" w:rsidRDefault="000E0AF6" w:rsidP="000E0AF6">
      <w:pPr>
        <w:jc w:val="both"/>
        <w:rPr>
          <w:color w:val="000000" w:themeColor="text1"/>
        </w:rPr>
      </w:pPr>
      <w:r>
        <w:rPr>
          <w:color w:val="000000" w:themeColor="text1"/>
        </w:rPr>
        <w:t>INAPI решительно убежден в том, что международная система ИС является ключом к расширению инновационной и предпринимательской деятельности.  PCT играет в этом отношении фундаментально важную роль, и с момента вступления Договора в силу в Чили его реализация по-прежнему остается одним из стратегических приоритетов для нашего Института.</w:t>
      </w:r>
    </w:p>
    <w:p w14:paraId="6E85BA2B" w14:textId="77777777" w:rsidR="000E0AF6" w:rsidRPr="009619A9" w:rsidRDefault="000E0AF6" w:rsidP="000E0AF6">
      <w:pPr>
        <w:jc w:val="both"/>
        <w:rPr>
          <w:color w:val="000000" w:themeColor="text1"/>
        </w:rPr>
      </w:pPr>
    </w:p>
    <w:p w14:paraId="1B43E8C7" w14:textId="6D56FEE4" w:rsidR="000E0AF6" w:rsidRPr="009619A9" w:rsidRDefault="000E0AF6" w:rsidP="000E0AF6">
      <w:pPr>
        <w:jc w:val="both"/>
        <w:rPr>
          <w:color w:val="000000" w:themeColor="text1"/>
        </w:rPr>
      </w:pPr>
      <w:r>
        <w:rPr>
          <w:color w:val="000000" w:themeColor="text1"/>
        </w:rPr>
        <w:t>Правительство Чили считает, что PCT дает государствам-участникам реальную и практическую возможность взаимодействовать друг с другом и эффективно вносить свой вклад в совершенствование системы, делая ее более привлекательной и доступной для пользователей.  Правительство страны считает, что продление назначения INAPI в качестве МПО/ОМПЭ позволит Ведомству и дальше способствовать развитию системы в регионе и стимулировать подачу заявок по процедуре PCT в Латинской Америке, где общее число заявок не превышает 1 000 в год.</w:t>
      </w:r>
    </w:p>
    <w:p w14:paraId="1745D62A" w14:textId="77777777" w:rsidR="000E0AF6" w:rsidRPr="009619A9" w:rsidRDefault="000E0AF6" w:rsidP="000E0AF6">
      <w:pPr>
        <w:jc w:val="both"/>
        <w:rPr>
          <w:color w:val="000000" w:themeColor="text1"/>
        </w:rPr>
      </w:pPr>
    </w:p>
    <w:p w14:paraId="6D35C1C0" w14:textId="49153BAB" w:rsidR="000E0AF6" w:rsidRPr="009619A9" w:rsidRDefault="000E0AF6" w:rsidP="000E0AF6">
      <w:pPr>
        <w:jc w:val="both"/>
        <w:rPr>
          <w:color w:val="000000" w:themeColor="text1"/>
        </w:rPr>
      </w:pPr>
      <w:r>
        <w:rPr>
          <w:color w:val="000000" w:themeColor="text1"/>
        </w:rPr>
        <w:t>INAPI убежден в том, что как испаноязычный МПО/ОМПЭ он приносит пользу странам региона Латинской Америки, которые пока не присоединились к Договору или еще только обсуждают возможность присоединения к нему. INAPI принимает активное участие в функционировании всех компонентов системы PCT, что позволяет ему делиться своим опытом и помогать тем странам, которые уже реализуют положения PCT или хотели бы к нему присоединиться.  Наличие в регионе испаноязычного МПО/ОМПЭ, способного проводить международный поиск и предварительную экспертизу, вне всякого сомнения, идет на пользу всей системе.  Примером этого может служить техническая помощь, которую INAPI оказал Уругваю, недавно присоединившемуся к РСТ, в реализации Договора.</w:t>
      </w:r>
    </w:p>
    <w:p w14:paraId="4256E14E" w14:textId="77777777" w:rsidR="000E0AF6" w:rsidRPr="009619A9" w:rsidRDefault="000E0AF6" w:rsidP="000E0AF6">
      <w:pPr>
        <w:jc w:val="both"/>
        <w:rPr>
          <w:color w:val="000000" w:themeColor="text1"/>
        </w:rPr>
      </w:pPr>
    </w:p>
    <w:p w14:paraId="1A0E3F3C" w14:textId="4E9EF88B" w:rsidR="000E0AF6" w:rsidRPr="009619A9" w:rsidRDefault="000E0AF6" w:rsidP="000E0AF6">
      <w:pPr>
        <w:jc w:val="both"/>
        <w:rPr>
          <w:color w:val="000000" w:themeColor="text1"/>
        </w:rPr>
      </w:pPr>
      <w:r>
        <w:rPr>
          <w:color w:val="000000" w:themeColor="text1"/>
        </w:rPr>
        <w:t>Учитывая стратегию содействия более широкому использованию системы в целом, правительство Чили считает, что функционирование INAPI в качестве МПО/ОМПЭ в регионе Латинской Америки позволяет избегать возможных задержек в рассмотрении подаваемых по процедуре PCT международных заявок из-за перегруженности некоторых ведомств.  Правительство также придерживается мнения, что необходимо распределить поисковые ресурсы по разным частям света для их рационального использования.</w:t>
      </w:r>
    </w:p>
    <w:p w14:paraId="2F9CA8BB" w14:textId="77777777" w:rsidR="000E0AF6" w:rsidRPr="009619A9" w:rsidRDefault="000E0AF6" w:rsidP="000E0AF6">
      <w:pPr>
        <w:jc w:val="both"/>
        <w:rPr>
          <w:color w:val="000000" w:themeColor="text1"/>
        </w:rPr>
      </w:pPr>
    </w:p>
    <w:p w14:paraId="2801CFCC" w14:textId="5C6E3D0F" w:rsidR="000E0AF6" w:rsidRPr="009619A9" w:rsidRDefault="000E0AF6" w:rsidP="000E0AF6">
      <w:pPr>
        <w:jc w:val="both"/>
        <w:rPr>
          <w:color w:val="000000" w:themeColor="text1"/>
        </w:rPr>
      </w:pPr>
      <w:r>
        <w:rPr>
          <w:color w:val="000000" w:themeColor="text1"/>
        </w:rPr>
        <w:t>Учитывая заинтересованность Чили в содействии инновационной деятельности и предпринимательству и учитывая значение международной патентной системы для достижения соответствующей цели, мы считаем целесообразным продлить назначение INAPI в качестве МПО/ОМПЭ. INAPI соответствует установленным техническим требованиям, что позволяет ему оказывать услуги по проведению поиска и экспертизы заявителям-гражданам Чили и заявителям из других государств-участников PCT, тем самым способствуя более широкому и активному использованию системы PCT в регионе.</w:t>
      </w:r>
    </w:p>
    <w:p w14:paraId="688D91FC" w14:textId="77777777" w:rsidR="000E0AF6" w:rsidRPr="009619A9" w:rsidRDefault="000E0AF6" w:rsidP="000E0AF6">
      <w:pPr>
        <w:jc w:val="both"/>
        <w:rPr>
          <w:color w:val="000000" w:themeColor="text1"/>
        </w:rPr>
      </w:pPr>
    </w:p>
    <w:p w14:paraId="1A265853" w14:textId="42839015" w:rsidR="000E0AF6" w:rsidRPr="009619A9" w:rsidRDefault="000E0AF6" w:rsidP="000E0AF6">
      <w:pPr>
        <w:jc w:val="both"/>
        <w:rPr>
          <w:color w:val="000000" w:themeColor="text1"/>
        </w:rPr>
      </w:pPr>
      <w:r>
        <w:rPr>
          <w:color w:val="000000" w:themeColor="text1"/>
        </w:rPr>
        <w:t xml:space="preserve">Кроме того, наши пользователи получают множество преимуществ благодаря тому, что INAPI действует в качестве МПО/ОМПЭ.  Это было отмечено правительством Чили, которое трижды награждало INAPI за особые заслуги перед обществом, в результате чего Институт вошел в число трех лучших государственных учреждений в стране.  Так отмечаются заслуги национальных учреждений, способствующих существенному повышению качества жизни тех, кто пользуется их услугами, например благодаря повышению осведомленности о системе ИС и преимуществах подачи патентных заявок за рубежом.  Действительно, </w:t>
      </w:r>
      <w:r w:rsidR="00436E9B">
        <w:rPr>
          <w:color w:val="000000" w:themeColor="text1"/>
        </w:rPr>
        <w:t xml:space="preserve">с тех пор как </w:t>
      </w:r>
      <w:r w:rsidR="00436E9B">
        <w:rPr>
          <w:color w:val="000000" w:themeColor="text1"/>
          <w:lang w:val="en-US"/>
        </w:rPr>
        <w:t>INAPI</w:t>
      </w:r>
      <w:r w:rsidR="00436E9B" w:rsidRPr="00436E9B">
        <w:rPr>
          <w:color w:val="000000" w:themeColor="text1"/>
        </w:rPr>
        <w:t xml:space="preserve"> </w:t>
      </w:r>
      <w:r w:rsidR="00436E9B">
        <w:rPr>
          <w:color w:val="000000" w:themeColor="text1"/>
        </w:rPr>
        <w:t xml:space="preserve">начал выполнять функции </w:t>
      </w:r>
      <w:r>
        <w:rPr>
          <w:color w:val="000000" w:themeColor="text1"/>
        </w:rPr>
        <w:t>Международного органа РСТ, показатель подачи международных заявок в регионе в целом вырос.  Многие заявители, ранее не знавшие о системе ИС, обращаются за информацией о том, как функционирует Договор, что привлекает в систему новых участников, которые рассматривают возможность использования РСТ в качестве части своей стратегии патентования.</w:t>
      </w:r>
    </w:p>
    <w:p w14:paraId="4C173195" w14:textId="77777777" w:rsidR="000E0AF6" w:rsidRPr="009619A9" w:rsidRDefault="000E0AF6" w:rsidP="000E0AF6">
      <w:pPr>
        <w:jc w:val="both"/>
        <w:rPr>
          <w:color w:val="000000" w:themeColor="text1"/>
        </w:rPr>
      </w:pPr>
    </w:p>
    <w:p w14:paraId="30D5FB45" w14:textId="77777777" w:rsidR="000E0AF6" w:rsidRPr="009619A9" w:rsidRDefault="000E0AF6" w:rsidP="000E0AF6">
      <w:pPr>
        <w:jc w:val="both"/>
        <w:rPr>
          <w:color w:val="000000" w:themeColor="text1"/>
          <w:u w:val="single"/>
        </w:rPr>
      </w:pPr>
      <w:r>
        <w:rPr>
          <w:color w:val="000000" w:themeColor="text1"/>
          <w:u w:val="single"/>
        </w:rPr>
        <w:t>Деятельность INAPI в качестве МПО/ОМПЭ</w:t>
      </w:r>
    </w:p>
    <w:p w14:paraId="1C154D40" w14:textId="77777777" w:rsidR="000E0AF6" w:rsidRPr="009619A9" w:rsidRDefault="000E0AF6" w:rsidP="000E0AF6">
      <w:pPr>
        <w:jc w:val="both"/>
        <w:rPr>
          <w:color w:val="000000" w:themeColor="text1"/>
        </w:rPr>
      </w:pPr>
    </w:p>
    <w:p w14:paraId="78415927" w14:textId="43299CDA" w:rsidR="000E0AF6" w:rsidRPr="009619A9" w:rsidRDefault="000E0AF6" w:rsidP="000E0AF6">
      <w:pPr>
        <w:jc w:val="both"/>
        <w:rPr>
          <w:color w:val="000000" w:themeColor="text1"/>
        </w:rPr>
      </w:pPr>
      <w:r>
        <w:rPr>
          <w:color w:val="000000" w:themeColor="text1"/>
        </w:rPr>
        <w:t xml:space="preserve">INAPI выполняет функции Международного органа PCT с 22 октября 2014 года.  В 2024 году INAPI отметил свой 10-летний юбилей в качестве МПО/ОМПЭ, укрепив свои позиции в качестве наиболее широко используемого Международного органа РСТ на испанском языке в Латинской Америке.  В течение всех этих лет мы наблюдаем постоянный рост числа заявок по процедуре РСТ, причем не только от чилийских заявителей, но и от заявителей со всего региона, включая Мексику, Колумбию, Перу, Эквадор и Коста-Рику. </w:t>
      </w:r>
    </w:p>
    <w:p w14:paraId="7E062340" w14:textId="77777777" w:rsidR="000E0AF6" w:rsidRPr="009619A9" w:rsidRDefault="000E0AF6" w:rsidP="000E0AF6">
      <w:pPr>
        <w:jc w:val="both"/>
        <w:rPr>
          <w:color w:val="000000" w:themeColor="text1"/>
        </w:rPr>
      </w:pPr>
    </w:p>
    <w:p w14:paraId="4C8358A4" w14:textId="558CEBAA" w:rsidR="000E0AF6" w:rsidRPr="009619A9" w:rsidRDefault="000E0AF6" w:rsidP="000E0AF6">
      <w:pPr>
        <w:jc w:val="both"/>
        <w:rPr>
          <w:color w:val="000000" w:themeColor="text1"/>
        </w:rPr>
      </w:pPr>
      <w:r>
        <w:rPr>
          <w:color w:val="000000" w:themeColor="text1"/>
        </w:rPr>
        <w:t>В период с 2014 по 2024 год INAPI был указан в качестве МПО в 2809 заявках и выдал 2449 отчетов о поиске и письменных заключений.  В 2024 году Институт был указан в 293 заявках. За аналогичный период INAPI был указан в качестве ОМПЭ в 96 заявках, 11 из которых были поданы в 2024 году.</w:t>
      </w:r>
    </w:p>
    <w:p w14:paraId="65EC784C" w14:textId="77777777" w:rsidR="000E0AF6" w:rsidRPr="009619A9" w:rsidRDefault="000E0AF6" w:rsidP="000E0AF6">
      <w:pPr>
        <w:jc w:val="both"/>
        <w:rPr>
          <w:color w:val="000000" w:themeColor="text1"/>
        </w:rPr>
      </w:pPr>
    </w:p>
    <w:p w14:paraId="3BCFEAF4" w14:textId="77777777" w:rsidR="000E0AF6" w:rsidRPr="009619A9" w:rsidRDefault="000E0AF6" w:rsidP="000E0AF6">
      <w:pPr>
        <w:jc w:val="both"/>
        <w:rPr>
          <w:color w:val="000000" w:themeColor="text1"/>
        </w:rPr>
      </w:pPr>
      <w:r>
        <w:rPr>
          <w:color w:val="000000" w:themeColor="text1"/>
        </w:rPr>
        <w:t>На недавном совещании Международных органов PCT в октябре 2025 года INAPI был признан одним из МПО/ОМПЭ, который смог обеспечить стопроцентное выполнение сроков выдачи отчетов о поиске, письменных заключений и заключений о международной предварительной экспертизе.  Отличительной чертой подхода INAPI к управлению своей деятельностью как Международного органа PCT является соблюдение установленных PCT сроков и своевременное предоставление отчетов нашим пользователям.</w:t>
      </w:r>
    </w:p>
    <w:p w14:paraId="32756955" w14:textId="77777777" w:rsidR="000E0AF6" w:rsidRPr="009619A9" w:rsidRDefault="000E0AF6" w:rsidP="000E0AF6">
      <w:pPr>
        <w:jc w:val="both"/>
        <w:rPr>
          <w:color w:val="000000" w:themeColor="text1"/>
        </w:rPr>
      </w:pPr>
    </w:p>
    <w:p w14:paraId="41EB963D" w14:textId="078E6CF5" w:rsidR="00C64925" w:rsidRDefault="000E0AF6" w:rsidP="00F50604">
      <w:pPr>
        <w:rPr>
          <w:color w:val="000000" w:themeColor="text1"/>
        </w:rPr>
      </w:pPr>
      <w:r>
        <w:rPr>
          <w:color w:val="000000" w:themeColor="text1"/>
        </w:rPr>
        <w:t>Работа Института в качестве Международного органа РСТ высоко ценится заявителями из Чили и других стран региона.  Об этом свидетельствуют опросы о степени удовлетворенности, проводимые по каждой обрабатываемой в качестве МПО заявке, ежегодные встречи с ключевыми пользователями и встречи с многочисленными заявителями, которые подали более одной заявки, выбрав INAPI в качестве своего МПО.  Все это сигнализирует об их уверенности в качестве нашей работы и признании нашей эффективности.</w:t>
      </w:r>
    </w:p>
    <w:p w14:paraId="3A857438" w14:textId="77777777" w:rsidR="00094807" w:rsidRPr="009619A9" w:rsidRDefault="00094807" w:rsidP="00094807">
      <w:pPr>
        <w:jc w:val="both"/>
        <w:rPr>
          <w:bCs/>
          <w:color w:val="000000" w:themeColor="text1"/>
          <w:szCs w:val="22"/>
        </w:rPr>
      </w:pPr>
    </w:p>
    <w:p w14:paraId="61F75AF2" w14:textId="77777777" w:rsidR="00AE3827" w:rsidRPr="00436E9B" w:rsidRDefault="00AE3827" w:rsidP="00C64925">
      <w:pPr>
        <w:jc w:val="both"/>
        <w:rPr>
          <w:bCs/>
          <w:szCs w:val="22"/>
        </w:rPr>
      </w:pPr>
    </w:p>
    <w:p w14:paraId="7A54F2F7" w14:textId="27F9E026" w:rsidR="00AE3827" w:rsidRPr="000526EF" w:rsidRDefault="00AE3827" w:rsidP="00AE3827">
      <w:pPr>
        <w:jc w:val="right"/>
        <w:rPr>
          <w:bCs/>
          <w:szCs w:val="22"/>
        </w:rPr>
      </w:pPr>
      <w:r>
        <w:t>[Конец приложения и документа]</w:t>
      </w:r>
    </w:p>
    <w:sectPr w:rsidR="00AE3827" w:rsidRPr="000526EF" w:rsidSect="0078621F">
      <w:headerReference w:type="default" r:id="rId15"/>
      <w:footerReference w:type="even" r:id="rId16"/>
      <w:headerReference w:type="first" r:id="rId17"/>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A58" w14:textId="77777777" w:rsidR="002411F5" w:rsidRDefault="002411F5">
      <w:r>
        <w:separator/>
      </w:r>
    </w:p>
  </w:endnote>
  <w:endnote w:type="continuationSeparator" w:id="0">
    <w:p w14:paraId="5B05572A" w14:textId="77777777" w:rsidR="002411F5" w:rsidRPr="009D30E6" w:rsidRDefault="002411F5" w:rsidP="007E663E">
      <w:pPr>
        <w:rPr>
          <w:sz w:val="17"/>
          <w:szCs w:val="17"/>
        </w:rPr>
      </w:pPr>
      <w:r w:rsidRPr="009D30E6">
        <w:rPr>
          <w:sz w:val="17"/>
          <w:szCs w:val="17"/>
        </w:rPr>
        <w:separator/>
      </w:r>
    </w:p>
    <w:p w14:paraId="76EDC27E" w14:textId="77777777" w:rsidR="002411F5" w:rsidRPr="006D4D44" w:rsidRDefault="002411F5" w:rsidP="007E663E">
      <w:pPr>
        <w:spacing w:after="60"/>
        <w:rPr>
          <w:sz w:val="17"/>
          <w:szCs w:val="17"/>
          <w:lang w:val="es-ES_tradnl"/>
        </w:rPr>
      </w:pPr>
      <w:r w:rsidRPr="006D4D44">
        <w:rPr>
          <w:sz w:val="17"/>
          <w:lang w:val="es-ES_tradnl"/>
        </w:rPr>
        <w:t>[Continuación de la nota de la página anterior]</w:t>
      </w:r>
    </w:p>
  </w:endnote>
  <w:endnote w:type="continuationNotice" w:id="1">
    <w:p w14:paraId="55C71227" w14:textId="77777777" w:rsidR="002411F5" w:rsidRPr="006D4D44" w:rsidRDefault="002411F5" w:rsidP="007E663E">
      <w:pPr>
        <w:spacing w:before="60"/>
        <w:jc w:val="right"/>
        <w:rPr>
          <w:sz w:val="17"/>
          <w:szCs w:val="17"/>
          <w:lang w:val="es-ES_tradnl"/>
        </w:rPr>
      </w:pPr>
      <w:r w:rsidRPr="006D4D44">
        <w:rPr>
          <w:sz w:val="17"/>
          <w:szCs w:val="17"/>
          <w:lang w:val="es-ES_tradnl"/>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27780"/>
      <w:docPartObj>
        <w:docPartGallery w:val="Page Numbers (Bottom of Page)"/>
        <w:docPartUnique/>
      </w:docPartObj>
    </w:sdtPr>
    <w:sdtEndPr/>
    <w:sdtContent>
      <w:p w14:paraId="34A5EB5D" w14:textId="77777777" w:rsidR="00C64925" w:rsidRDefault="00C64925">
        <w:pPr>
          <w:pStyle w:val="Footer"/>
          <w:jc w:val="right"/>
        </w:pPr>
        <w:r>
          <w:fldChar w:fldCharType="begin"/>
        </w:r>
        <w:r>
          <w:instrText>PAGE   \* MERGEFORMAT</w:instrText>
        </w:r>
        <w:r>
          <w:fldChar w:fldCharType="separate"/>
        </w:r>
        <w:r>
          <w:t>1</w:t>
        </w:r>
        <w:r>
          <w:t>2</w:t>
        </w:r>
        <w:r>
          <w:fldChar w:fldCharType="end"/>
        </w:r>
      </w:p>
    </w:sdtContent>
  </w:sdt>
  <w:p w14:paraId="5C431AB0" w14:textId="77777777" w:rsidR="00C64925" w:rsidRDefault="00C6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F562" w14:textId="77777777" w:rsidR="002411F5" w:rsidRDefault="002411F5">
      <w:r>
        <w:separator/>
      </w:r>
    </w:p>
  </w:footnote>
  <w:footnote w:type="continuationSeparator" w:id="0">
    <w:p w14:paraId="2B71F576" w14:textId="77777777" w:rsidR="002411F5" w:rsidRPr="009D30E6" w:rsidRDefault="002411F5" w:rsidP="007E663E">
      <w:pPr>
        <w:rPr>
          <w:sz w:val="17"/>
          <w:szCs w:val="17"/>
        </w:rPr>
      </w:pPr>
      <w:r w:rsidRPr="009D30E6">
        <w:rPr>
          <w:sz w:val="17"/>
          <w:szCs w:val="17"/>
        </w:rPr>
        <w:separator/>
      </w:r>
    </w:p>
    <w:p w14:paraId="4DE27254" w14:textId="77777777" w:rsidR="002411F5" w:rsidRPr="006D4D44" w:rsidRDefault="002411F5" w:rsidP="007E663E">
      <w:pPr>
        <w:spacing w:after="60"/>
        <w:rPr>
          <w:sz w:val="17"/>
          <w:szCs w:val="17"/>
          <w:lang w:val="es-ES_tradnl"/>
        </w:rPr>
      </w:pPr>
      <w:r w:rsidRPr="006D4D44">
        <w:rPr>
          <w:sz w:val="17"/>
          <w:lang w:val="es-ES_tradnl"/>
        </w:rPr>
        <w:t>[Continuación de la nota de la página anterior]</w:t>
      </w:r>
    </w:p>
  </w:footnote>
  <w:footnote w:type="continuationNotice" w:id="1">
    <w:p w14:paraId="1D973F1A" w14:textId="77777777" w:rsidR="002411F5" w:rsidRPr="006D4D44" w:rsidRDefault="002411F5" w:rsidP="007E663E">
      <w:pPr>
        <w:spacing w:before="60"/>
        <w:jc w:val="right"/>
        <w:rPr>
          <w:sz w:val="17"/>
          <w:szCs w:val="17"/>
          <w:lang w:val="es-ES_tradnl"/>
        </w:rPr>
      </w:pPr>
      <w:r w:rsidRPr="006D4D44">
        <w:rPr>
          <w:sz w:val="17"/>
          <w:szCs w:val="17"/>
          <w:lang w:val="es-ES_tradnl"/>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2C1" w14:textId="76B61C47" w:rsidR="002411F5" w:rsidRDefault="002411F5" w:rsidP="00477D6B">
    <w:pPr>
      <w:jc w:val="right"/>
    </w:pPr>
    <w:r>
      <w:t>PCT/CTC/30/10</w:t>
    </w:r>
  </w:p>
  <w:p w14:paraId="15478B07" w14:textId="43B3C117" w:rsidR="002411F5" w:rsidRDefault="00C64925" w:rsidP="00477D6B">
    <w:pPr>
      <w:jc w:val="right"/>
    </w:pPr>
    <w:r>
      <w:t>ПРИЛОЖЕНИЕ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47A" w14:textId="45976C3B" w:rsidR="00C64925" w:rsidRDefault="00C64925" w:rsidP="00477D6B">
    <w:pPr>
      <w:jc w:val="right"/>
    </w:pPr>
    <w:r>
      <w:t>PCT/CTC/33/6</w:t>
    </w:r>
  </w:p>
  <w:p w14:paraId="1FCDE993" w14:textId="400D9C80" w:rsidR="00C64925" w:rsidRDefault="0078621F" w:rsidP="00477D6B">
    <w:pPr>
      <w:jc w:val="right"/>
    </w:pPr>
    <w:r>
      <w:t>Приложение, стр. </w:t>
    </w:r>
    <w:r w:rsidR="00C64925">
      <w:fldChar w:fldCharType="begin"/>
    </w:r>
    <w:r w:rsidR="00C64925">
      <w:instrText xml:space="preserve"> PAGE  \* MERGEFORMAT </w:instrText>
    </w:r>
    <w:r w:rsidR="00C64925">
      <w:fldChar w:fldCharType="separate"/>
    </w:r>
    <w:r w:rsidR="00C64925">
      <w:t>2</w:t>
    </w:r>
    <w:r w:rsidR="00C64925">
      <w:fldChar w:fldCharType="end"/>
    </w:r>
  </w:p>
  <w:p w14:paraId="39866A4B" w14:textId="77777777" w:rsidR="00C64925" w:rsidRDefault="00C649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1" w14:textId="29B2B74D" w:rsidR="0078621F" w:rsidRDefault="0078621F" w:rsidP="0078621F">
    <w:pPr>
      <w:pStyle w:val="Header"/>
      <w:jc w:val="right"/>
    </w:pPr>
    <w:r>
      <w:t>PCT/CTC/33/6</w:t>
    </w:r>
  </w:p>
  <w:p w14:paraId="36AF8722" w14:textId="77777777" w:rsidR="0078621F" w:rsidRDefault="0078621F" w:rsidP="0078621F">
    <w:pPr>
      <w:pStyle w:val="Header"/>
      <w:jc w:val="right"/>
    </w:pPr>
    <w:r>
      <w:t>ПРИЛОЖЕНИЕ</w:t>
    </w:r>
  </w:p>
  <w:p w14:paraId="11381B5E" w14:textId="77777777" w:rsidR="0078621F" w:rsidRDefault="0078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214657173">
    <w:abstractNumId w:val="2"/>
  </w:num>
  <w:num w:numId="2" w16cid:durableId="935676022">
    <w:abstractNumId w:val="9"/>
  </w:num>
  <w:num w:numId="3" w16cid:durableId="1849903877">
    <w:abstractNumId w:val="0"/>
  </w:num>
  <w:num w:numId="4" w16cid:durableId="593898791">
    <w:abstractNumId w:val="10"/>
  </w:num>
  <w:num w:numId="5" w16cid:durableId="443039048">
    <w:abstractNumId w:val="1"/>
  </w:num>
  <w:num w:numId="6" w16cid:durableId="1262756580">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F5"/>
    <w:rsid w:val="00010686"/>
    <w:rsid w:val="000362AD"/>
    <w:rsid w:val="00040D82"/>
    <w:rsid w:val="000526EF"/>
    <w:rsid w:val="00052915"/>
    <w:rsid w:val="00070E71"/>
    <w:rsid w:val="000760CC"/>
    <w:rsid w:val="0008584C"/>
    <w:rsid w:val="000873FE"/>
    <w:rsid w:val="00094807"/>
    <w:rsid w:val="000A244B"/>
    <w:rsid w:val="000E0AF6"/>
    <w:rsid w:val="000E3BB3"/>
    <w:rsid w:val="000F5E56"/>
    <w:rsid w:val="000F7D93"/>
    <w:rsid w:val="001362EE"/>
    <w:rsid w:val="00152CEA"/>
    <w:rsid w:val="001832A6"/>
    <w:rsid w:val="001E3CCD"/>
    <w:rsid w:val="00207428"/>
    <w:rsid w:val="00220365"/>
    <w:rsid w:val="002315D7"/>
    <w:rsid w:val="002411F5"/>
    <w:rsid w:val="00246D42"/>
    <w:rsid w:val="00256B1E"/>
    <w:rsid w:val="002634C4"/>
    <w:rsid w:val="00273F05"/>
    <w:rsid w:val="002824B4"/>
    <w:rsid w:val="002A7AC9"/>
    <w:rsid w:val="002C2E2F"/>
    <w:rsid w:val="002C7718"/>
    <w:rsid w:val="002D23B5"/>
    <w:rsid w:val="002D77C0"/>
    <w:rsid w:val="002E0F47"/>
    <w:rsid w:val="002E4D27"/>
    <w:rsid w:val="002F4E68"/>
    <w:rsid w:val="00310826"/>
    <w:rsid w:val="00354647"/>
    <w:rsid w:val="00366B5D"/>
    <w:rsid w:val="00377273"/>
    <w:rsid w:val="003845C1"/>
    <w:rsid w:val="00387287"/>
    <w:rsid w:val="003C4610"/>
    <w:rsid w:val="003E48F1"/>
    <w:rsid w:val="003F347A"/>
    <w:rsid w:val="003F406A"/>
    <w:rsid w:val="00423E3E"/>
    <w:rsid w:val="00427AF4"/>
    <w:rsid w:val="00436E9B"/>
    <w:rsid w:val="0045231F"/>
    <w:rsid w:val="004647DA"/>
    <w:rsid w:val="0046793F"/>
    <w:rsid w:val="00472A6E"/>
    <w:rsid w:val="0047507D"/>
    <w:rsid w:val="00477808"/>
    <w:rsid w:val="00477D6B"/>
    <w:rsid w:val="004A4892"/>
    <w:rsid w:val="004A6C37"/>
    <w:rsid w:val="004E297D"/>
    <w:rsid w:val="004E7BF5"/>
    <w:rsid w:val="0052652C"/>
    <w:rsid w:val="00531B02"/>
    <w:rsid w:val="005332F0"/>
    <w:rsid w:val="0055013B"/>
    <w:rsid w:val="00571B99"/>
    <w:rsid w:val="0058536A"/>
    <w:rsid w:val="005B2EAE"/>
    <w:rsid w:val="005C37A1"/>
    <w:rsid w:val="00604D91"/>
    <w:rsid w:val="00605827"/>
    <w:rsid w:val="00611529"/>
    <w:rsid w:val="0062719C"/>
    <w:rsid w:val="0065579A"/>
    <w:rsid w:val="006727F6"/>
    <w:rsid w:val="00675021"/>
    <w:rsid w:val="006A06C6"/>
    <w:rsid w:val="006D4D44"/>
    <w:rsid w:val="006E1299"/>
    <w:rsid w:val="006F7742"/>
    <w:rsid w:val="0070049D"/>
    <w:rsid w:val="007224C8"/>
    <w:rsid w:val="00757CAA"/>
    <w:rsid w:val="00761D20"/>
    <w:rsid w:val="007748FC"/>
    <w:rsid w:val="0078621F"/>
    <w:rsid w:val="00794BE2"/>
    <w:rsid w:val="007A37BA"/>
    <w:rsid w:val="007A4A43"/>
    <w:rsid w:val="007A5581"/>
    <w:rsid w:val="007A663C"/>
    <w:rsid w:val="007B71FE"/>
    <w:rsid w:val="007D781E"/>
    <w:rsid w:val="007E4593"/>
    <w:rsid w:val="007E663E"/>
    <w:rsid w:val="00807244"/>
    <w:rsid w:val="00815082"/>
    <w:rsid w:val="00831C17"/>
    <w:rsid w:val="008455A9"/>
    <w:rsid w:val="0088395E"/>
    <w:rsid w:val="008A52BF"/>
    <w:rsid w:val="008B0389"/>
    <w:rsid w:val="008B2CC1"/>
    <w:rsid w:val="008B41EB"/>
    <w:rsid w:val="008E6BD6"/>
    <w:rsid w:val="00900365"/>
    <w:rsid w:val="0090731E"/>
    <w:rsid w:val="00927287"/>
    <w:rsid w:val="00957043"/>
    <w:rsid w:val="009619A9"/>
    <w:rsid w:val="00966A22"/>
    <w:rsid w:val="00972F03"/>
    <w:rsid w:val="0098367F"/>
    <w:rsid w:val="009A0C8B"/>
    <w:rsid w:val="009A20CD"/>
    <w:rsid w:val="009B6241"/>
    <w:rsid w:val="00A16FC0"/>
    <w:rsid w:val="00A32C9E"/>
    <w:rsid w:val="00A625A8"/>
    <w:rsid w:val="00AB2203"/>
    <w:rsid w:val="00AB613D"/>
    <w:rsid w:val="00AE3827"/>
    <w:rsid w:val="00AE7F20"/>
    <w:rsid w:val="00B534D5"/>
    <w:rsid w:val="00B65A0A"/>
    <w:rsid w:val="00B66212"/>
    <w:rsid w:val="00B67CDC"/>
    <w:rsid w:val="00B72D36"/>
    <w:rsid w:val="00B80E0A"/>
    <w:rsid w:val="00BC4164"/>
    <w:rsid w:val="00BD2DCC"/>
    <w:rsid w:val="00BE4109"/>
    <w:rsid w:val="00BF5A8E"/>
    <w:rsid w:val="00C00276"/>
    <w:rsid w:val="00C40E47"/>
    <w:rsid w:val="00C41D0D"/>
    <w:rsid w:val="00C64925"/>
    <w:rsid w:val="00C90559"/>
    <w:rsid w:val="00CA0500"/>
    <w:rsid w:val="00CA2251"/>
    <w:rsid w:val="00CD45B0"/>
    <w:rsid w:val="00D04B12"/>
    <w:rsid w:val="00D1685D"/>
    <w:rsid w:val="00D56C7C"/>
    <w:rsid w:val="00D71B4D"/>
    <w:rsid w:val="00D90289"/>
    <w:rsid w:val="00D93D55"/>
    <w:rsid w:val="00D944CE"/>
    <w:rsid w:val="00DB7E59"/>
    <w:rsid w:val="00DC4C60"/>
    <w:rsid w:val="00DD088D"/>
    <w:rsid w:val="00DD6CF4"/>
    <w:rsid w:val="00E0079A"/>
    <w:rsid w:val="00E16D1F"/>
    <w:rsid w:val="00E35192"/>
    <w:rsid w:val="00E36EEA"/>
    <w:rsid w:val="00E444DA"/>
    <w:rsid w:val="00E45C84"/>
    <w:rsid w:val="00E504E5"/>
    <w:rsid w:val="00E55769"/>
    <w:rsid w:val="00E825C6"/>
    <w:rsid w:val="00EB0D93"/>
    <w:rsid w:val="00EB7A15"/>
    <w:rsid w:val="00EB7A3E"/>
    <w:rsid w:val="00EC1AA7"/>
    <w:rsid w:val="00EC401A"/>
    <w:rsid w:val="00EC68D9"/>
    <w:rsid w:val="00ED7A82"/>
    <w:rsid w:val="00EE6E02"/>
    <w:rsid w:val="00EF1D55"/>
    <w:rsid w:val="00EF3F2D"/>
    <w:rsid w:val="00EF530A"/>
    <w:rsid w:val="00EF6622"/>
    <w:rsid w:val="00EF78A9"/>
    <w:rsid w:val="00F43784"/>
    <w:rsid w:val="00F50604"/>
    <w:rsid w:val="00F55408"/>
    <w:rsid w:val="00F66152"/>
    <w:rsid w:val="00F80845"/>
    <w:rsid w:val="00F84474"/>
    <w:rsid w:val="00F9662C"/>
    <w:rsid w:val="00F974E9"/>
    <w:rsid w:val="00FA0F0D"/>
    <w:rsid w:val="00FC46B7"/>
    <w:rsid w:val="00FD3318"/>
    <w:rsid w:val="00FD59D1"/>
    <w:rsid w:val="00FE385B"/>
    <w:rsid w:val="00FE7116"/>
    <w:rsid w:val="00FF629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3DA6"/>
  <w15:docId w15:val="{B0D2EA4F-1EC2-41FC-9C74-10B6802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2411F5"/>
    <w:rPr>
      <w:rFonts w:ascii="Arial" w:eastAsia="SimSun" w:hAnsi="Arial" w:cs="Arial"/>
      <w:sz w:val="22"/>
      <w:lang w:val="ru-RU" w:eastAsia="zh-CN"/>
    </w:rPr>
  </w:style>
  <w:style w:type="character" w:customStyle="1" w:styleId="SectionHeadingChar">
    <w:name w:val="Section Heading Char"/>
    <w:link w:val="SectionHeading"/>
    <w:qFormat/>
    <w:locked/>
    <w:rsid w:val="00C6492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64925"/>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64925"/>
    <w:pPr>
      <w:keepNext/>
      <w:keepLines/>
      <w:spacing w:after="240"/>
      <w:ind w:left="567" w:right="567"/>
    </w:pPr>
    <w:rPr>
      <w:bCs/>
      <w:i/>
      <w:iCs/>
    </w:rPr>
  </w:style>
  <w:style w:type="paragraph" w:customStyle="1" w:styleId="Question">
    <w:name w:val="Question"/>
    <w:basedOn w:val="BodyText"/>
    <w:next w:val="Answer"/>
    <w:qFormat/>
    <w:rsid w:val="00C64925"/>
    <w:pPr>
      <w:keepNext/>
      <w:keepLines/>
    </w:pPr>
    <w:rPr>
      <w:b/>
      <w:bCs/>
      <w:szCs w:val="22"/>
    </w:rPr>
  </w:style>
  <w:style w:type="paragraph" w:customStyle="1" w:styleId="Answer">
    <w:name w:val="Answer"/>
    <w:basedOn w:val="BodyText"/>
    <w:qFormat/>
    <w:rsid w:val="00C64925"/>
    <w:pPr>
      <w:ind w:left="567"/>
    </w:pPr>
  </w:style>
  <w:style w:type="paragraph" w:customStyle="1" w:styleId="Notestext">
    <w:name w:val="Notes text"/>
    <w:basedOn w:val="BodyText"/>
    <w:qFormat/>
    <w:rsid w:val="00C64925"/>
    <w:pPr>
      <w:keepLines/>
    </w:pPr>
    <w:rPr>
      <w:szCs w:val="22"/>
    </w:rPr>
  </w:style>
  <w:style w:type="paragraph" w:customStyle="1" w:styleId="NotesHeading">
    <w:name w:val="Notes Heading"/>
    <w:basedOn w:val="Normal"/>
    <w:qFormat/>
    <w:rsid w:val="00C64925"/>
    <w:pPr>
      <w:keepNext/>
      <w:keepLines/>
      <w:spacing w:after="220"/>
    </w:pPr>
    <w:rPr>
      <w:i/>
      <w:szCs w:val="22"/>
    </w:rPr>
  </w:style>
  <w:style w:type="character" w:styleId="Hyperlink">
    <w:name w:val="Hyperlink"/>
    <w:basedOn w:val="DefaultParagraphFont"/>
    <w:uiPriority w:val="99"/>
    <w:unhideWhenUsed/>
    <w:rsid w:val="00C64925"/>
    <w:rPr>
      <w:color w:val="0000FF" w:themeColor="hyperlink"/>
      <w:u w:val="single"/>
    </w:rPr>
  </w:style>
  <w:style w:type="paragraph" w:styleId="ListParagraph">
    <w:name w:val="List Paragraph"/>
    <w:basedOn w:val="Normal"/>
    <w:uiPriority w:val="34"/>
    <w:qFormat/>
    <w:rsid w:val="00C64925"/>
    <w:pPr>
      <w:ind w:left="720"/>
      <w:contextualSpacing/>
    </w:pPr>
  </w:style>
  <w:style w:type="character" w:styleId="FootnoteReference">
    <w:name w:val="footnote reference"/>
    <w:basedOn w:val="DefaultParagraphFont"/>
    <w:semiHidden/>
    <w:rsid w:val="00C64925"/>
    <w:rPr>
      <w:vertAlign w:val="superscript"/>
    </w:rPr>
  </w:style>
  <w:style w:type="character" w:customStyle="1" w:styleId="FootnoteTextChar">
    <w:name w:val="Footnote Text Char"/>
    <w:basedOn w:val="DefaultParagraphFont"/>
    <w:link w:val="FootnoteText"/>
    <w:semiHidden/>
    <w:rsid w:val="00C64925"/>
    <w:rPr>
      <w:rFonts w:ascii="Arial" w:eastAsia="SimSun" w:hAnsi="Arial" w:cs="Arial"/>
      <w:sz w:val="18"/>
      <w:lang w:val="ru-RU" w:eastAsia="zh-CN"/>
    </w:rPr>
  </w:style>
  <w:style w:type="character" w:customStyle="1" w:styleId="FooterChar">
    <w:name w:val="Footer Char"/>
    <w:basedOn w:val="DefaultParagraphFont"/>
    <w:link w:val="Footer"/>
    <w:uiPriority w:val="99"/>
    <w:rsid w:val="00C64925"/>
    <w:rPr>
      <w:rFonts w:ascii="Arial" w:eastAsia="SimSun" w:hAnsi="Arial" w:cs="Arial"/>
      <w:sz w:val="22"/>
      <w:lang w:val="ru-RU" w:eastAsia="zh-CN"/>
    </w:rPr>
  </w:style>
  <w:style w:type="character" w:styleId="UnresolvedMention">
    <w:name w:val="Unresolved Mention"/>
    <w:basedOn w:val="DefaultParagraphFont"/>
    <w:uiPriority w:val="99"/>
    <w:semiHidden/>
    <w:unhideWhenUsed/>
    <w:rsid w:val="00040D82"/>
    <w:rPr>
      <w:color w:val="605E5C"/>
      <w:shd w:val="clear" w:color="auto" w:fill="E1DFDD"/>
    </w:rPr>
  </w:style>
  <w:style w:type="character" w:styleId="FollowedHyperlink">
    <w:name w:val="FollowedHyperlink"/>
    <w:basedOn w:val="DefaultParagraphFont"/>
    <w:semiHidden/>
    <w:unhideWhenUsed/>
    <w:rsid w:val="00040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ctlegal.wipo.int/eGuide/view-doc.xhtml?doc-code=CL&amp;amp;doc-la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crew@inapi.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CL&amp;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8</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creator>NOVRUZOVA Elnara</dc:creator>
  <cp:keywords>FOR OFFICIAL USE ONLY</cp:keywords>
  <cp:lastModifiedBy>MARLOW Thomas</cp:lastModifiedBy>
  <cp:revision>2</cp:revision>
  <cp:lastPrinted>2025-11-27T14:26:00Z</cp:lastPrinted>
  <dcterms:created xsi:type="dcterms:W3CDTF">2026-01-06T17:08:00Z</dcterms:created>
  <dcterms:modified xsi:type="dcterms:W3CDTF">2026-01-06T17:08:00Z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349ae03f,442409a9,1d5a6075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2025-11-27T14:26:03Z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9dc8ae05-cdca-44f3-839d-c8c0c1eedfe7</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