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10346967" w:rsidR="008B2CC1" w:rsidRPr="00F043DE" w:rsidRDefault="00771A40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5BC3F80" wp14:editId="4E8D38C5">
            <wp:extent cx="3246120" cy="15163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450671D3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25</w:t>
      </w:r>
    </w:p>
    <w:p w14:paraId="4157C28F" w14:textId="3D55971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5ECFCDC6" w14:textId="08E99CE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>
        <w:rPr>
          <w:rFonts w:ascii="Arial Black" w:hAnsi="Arial Black"/>
          <w:caps/>
          <w:sz w:val="15"/>
        </w:rPr>
        <w:t>19</w:t>
      </w:r>
      <w:r w:rsidR="00771A40" w:rsidRPr="0080342C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ДЕКАБРЯ 2025</w:t>
      </w:r>
      <w:r w:rsidR="00771A40" w:rsidRPr="0080342C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ГОДА</w:t>
      </w:r>
    </w:p>
    <w:bookmarkEnd w:id="2"/>
    <w:p w14:paraId="65161F5C" w14:textId="1D3F9682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c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 февраля 2026 года</w:t>
      </w:r>
    </w:p>
    <w:p w14:paraId="51B065A7" w14:textId="0535A34A" w:rsidR="008B2CC1" w:rsidRPr="0080342C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ПРОДЛЕНИЕ НАЗНАЧЕНИЯ ПАТЕНТНОГО ИНСТИТУТА СТРАН СЕВЕРНОЙ ЕВРОПЫ В КАЧЕСТВЕ МЕЖДУНАРОДНОГО ПОИСКОВОГО ОРГАНА И ОРГАНА МЕЖДУНАРОДНОЙ ПРЕДВАРИТЕЛЬНОЙ ЭКСПЕРТИЗЫ В РАМКАХ PCT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18950409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 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  Информация о данной процедуре и роли Комитета приводится в документе PCT/CTC/33/INF/1.</w:t>
      </w:r>
    </w:p>
    <w:p w14:paraId="518176C0" w14:textId="426C8170" w:rsidR="009A31F1" w:rsidRDefault="009A31F1" w:rsidP="002326AB">
      <w:pPr>
        <w:spacing w:after="220"/>
      </w:pPr>
      <w:r>
        <w:t>2.</w:t>
      </w:r>
      <w:r>
        <w:tab/>
        <w:t>1 декабря 2025 года Патентный институт стран Северной Европы подал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27CF3FCB" w14:textId="77777777" w:rsidR="009A31F1" w:rsidRDefault="009A31F1" w:rsidP="009A31F1">
      <w:pPr>
        <w:spacing w:after="220"/>
        <w:jc w:val="both"/>
        <w:rPr>
          <w:i/>
        </w:rPr>
      </w:pP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8E5AD2D" w14:textId="77777777" w:rsidR="009A31F1" w:rsidRPr="002B3808" w:rsidRDefault="009A31F1" w:rsidP="009A31F1">
      <w:pPr>
        <w:pStyle w:val="SectionHeading"/>
      </w:pPr>
      <w:r>
        <w:t>1 – ОБЩИЕ СВЕДЕНИЯ</w:t>
      </w:r>
    </w:p>
    <w:p w14:paraId="1F0A3A82" w14:textId="39901060" w:rsidR="00A22138" w:rsidRDefault="00A22138" w:rsidP="00A22138">
      <w:pPr>
        <w:pStyle w:val="Question"/>
        <w:spacing w:after="480"/>
      </w:pPr>
      <w:r>
        <w:t>(a)</w:t>
      </w:r>
      <w:r>
        <w:tab/>
        <w:t>Название ведомства или межправительственной организации:</w:t>
      </w:r>
      <w:r w:rsidR="00CE26E0" w:rsidRPr="00CD2B72">
        <w:br/>
      </w:r>
      <w:r>
        <w:rPr>
          <w:b w:val="0"/>
        </w:rPr>
        <w:t>Патентный институт стран Северной Европы, межправительственная организация, учрежденная правительствами Дании, Исландии и Норвегии</w:t>
      </w:r>
    </w:p>
    <w:p w14:paraId="59279634" w14:textId="2CA290A9" w:rsidR="009A31F1" w:rsidRPr="00A22138" w:rsidRDefault="00A22138" w:rsidP="00A22138">
      <w:pPr>
        <w:pStyle w:val="Question"/>
        <w:spacing w:after="480"/>
      </w:pPr>
      <w:r>
        <w:t>(b)</w:t>
      </w:r>
      <w:r>
        <w:tab/>
        <w:t>Имя и контактная информация должностного лица, к которому можно обратиться с любыми вопросами по поводу настоящего заявления:</w:t>
      </w:r>
      <w:r>
        <w:br/>
      </w:r>
      <w:r w:rsidR="0080342C">
        <w:rPr>
          <w:b w:val="0"/>
        </w:rPr>
        <w:t>Г</w:t>
      </w:r>
      <w:r>
        <w:rPr>
          <w:b w:val="0"/>
        </w:rPr>
        <w:t xml:space="preserve">-н Гретар Инги Гретарссон, заместитель директора, главный юрисконсульт, </w:t>
      </w:r>
      <w:hyperlink r:id="rId10" w:history="1">
        <w:r>
          <w:rPr>
            <w:rStyle w:val="Hyperlink"/>
            <w:b w:val="0"/>
          </w:rPr>
          <w:t>gretar.ingi.gretarsson@npi.int</w:t>
        </w:r>
      </w:hyperlink>
      <w:r>
        <w:rPr>
          <w:b w:val="0"/>
        </w:rPr>
        <w:t>, тел. +45 4350 8300, +45 2260 2541, Helgeshøj Allé 81, 2630 Taastrup, Denmark</w:t>
      </w:r>
    </w:p>
    <w:p w14:paraId="5EBA2C3E" w14:textId="77777777" w:rsidR="009A31F1" w:rsidRDefault="009A31F1" w:rsidP="009A31F1">
      <w:pPr>
        <w:pStyle w:val="Question"/>
      </w:pPr>
      <w:r>
        <w:t>(с)</w:t>
      </w:r>
      <w:r>
        <w:tab/>
        <w:t>Дата получения Генеральным директором заявления о продлении назначения:</w:t>
      </w:r>
    </w:p>
    <w:p w14:paraId="2740412F" w14:textId="7A90D34C" w:rsidR="009A31F1" w:rsidRPr="004C5F56" w:rsidRDefault="00A22138" w:rsidP="009A31F1">
      <w:pPr>
        <w:pStyle w:val="Answer"/>
      </w:pPr>
      <w:r>
        <w:t>1 декабря 2025 года</w:t>
      </w:r>
    </w:p>
    <w:p w14:paraId="671168CF" w14:textId="77777777" w:rsidR="009A31F1" w:rsidRPr="002B3808" w:rsidRDefault="009A31F1" w:rsidP="009A31F1">
      <w:pPr>
        <w:pStyle w:val="SectionHeading"/>
      </w:pPr>
      <w:r>
        <w:t>2 – Минимум требований для назначения</w:t>
      </w:r>
    </w:p>
    <w:p w14:paraId="21EECB02" w14:textId="1E090CD9" w:rsidR="009A31F1" w:rsidRDefault="009A31F1" w:rsidP="009A31F1">
      <w:r>
        <w:t xml:space="preserve">В дополнение к ежегодному отчету ведомства или организации о системе управления качеством за 2025 год («отчет о системе УК», </w:t>
      </w:r>
      <w:hyperlink r:id="rId11" w:anchor="XN" w:history="1">
        <w:r>
          <w:rPr>
            <w:rStyle w:val="Hyperlink"/>
          </w:rPr>
          <w:t>https://www.wipo.int/en/web/pct-system/quality/authorities#XN</w:t>
        </w:r>
      </w:hyperlink>
      <w:r>
        <w:t>), подготовленному в соответствии с пунктами 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60EEBE3A" w14:textId="77777777" w:rsidR="009A31F1" w:rsidRPr="002B3808" w:rsidRDefault="009A31F1" w:rsidP="009A31F1">
      <w:pPr>
        <w:pStyle w:val="SectionHeading"/>
      </w:pPr>
      <w:r>
        <w:t>2.1 – ВОЗМОЖНОСТИ ДЛЯ ПРОВЕДЕНИЯ ПОИСКА И ЭКСПЕРТИЗЫ</w:t>
      </w:r>
    </w:p>
    <w:p w14:paraId="4204A13E" w14:textId="77777777" w:rsidR="009A31F1" w:rsidRDefault="009A31F1" w:rsidP="009A31F1">
      <w:pPr>
        <w:pStyle w:val="RuleQuote"/>
      </w:pPr>
      <w:r>
        <w:t>Правила 36.1(i) и 63.1(i). 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46AAB020" w14:textId="67826682" w:rsidR="009A31F1" w:rsidRPr="0080342C" w:rsidRDefault="009A31F1" w:rsidP="00D87365">
      <w:pPr>
        <w:pStyle w:val="RuleQuote"/>
        <w:ind w:left="0" w:right="53"/>
        <w:rPr>
          <w:i w:val="0"/>
          <w:iCs w:val="0"/>
        </w:rPr>
      </w:pPr>
      <w:r>
        <w:rPr>
          <w:i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  Орган также указывает следующую информацию о количестве сотрудников, обладающих квалификацией для проведения поиска и экспертизы.</w:t>
      </w:r>
    </w:p>
    <w:p w14:paraId="7B23337F" w14:textId="77777777" w:rsidR="00C5047D" w:rsidRPr="00A1569E" w:rsidRDefault="00C5047D" w:rsidP="009A31F1">
      <w:pPr>
        <w:ind w:left="540"/>
        <w:jc w:val="both"/>
        <w:rPr>
          <w:rFonts w:ascii="Helvetica" w:hAnsi="Helvetica" w:cs="Helvetica"/>
          <w:color w:val="000000" w:themeColor="text1"/>
          <w:szCs w:val="22"/>
        </w:rPr>
      </w:pPr>
    </w:p>
    <w:p w14:paraId="70EE9A7D" w14:textId="77777777" w:rsidR="00C5047D" w:rsidRPr="009D0055" w:rsidRDefault="00C5047D" w:rsidP="009A31F1">
      <w:pPr>
        <w:ind w:left="540"/>
        <w:jc w:val="both"/>
        <w:rPr>
          <w:rFonts w:ascii="Helvetica" w:hAnsi="Helvetica" w:cs="Helvetica"/>
          <w:i/>
          <w:iCs/>
          <w:color w:val="000000" w:themeColor="text1"/>
          <w:szCs w:val="22"/>
        </w:rPr>
      </w:pPr>
    </w:p>
    <w:p w14:paraId="0066CCED" w14:textId="77777777" w:rsidR="00C5047D" w:rsidRDefault="00C5047D" w:rsidP="00FE1756">
      <w:pPr>
        <w:pStyle w:val="Question"/>
        <w:spacing w:after="480"/>
      </w:pPr>
      <w:r>
        <w:lastRenderedPageBreak/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данные об уровне их квалификации."/>
      </w:tblPr>
      <w:tblGrid>
        <w:gridCol w:w="3240"/>
        <w:gridCol w:w="1640"/>
        <w:gridCol w:w="1313"/>
        <w:gridCol w:w="2386"/>
      </w:tblGrid>
      <w:tr w:rsidR="00106343" w:rsidRPr="001555A0" w14:paraId="71359E07" w14:textId="77777777" w:rsidTr="00B505A9">
        <w:trPr>
          <w:cantSplit/>
          <w:tblHeader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0C0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Область техники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A6A3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Число сотрудников (в пересчете на полную занятость)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A099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Средний стаж в качестве эксперта (в годах)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B7D7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szCs w:val="24"/>
              </w:rPr>
            </w:pPr>
            <w:r>
              <w:rPr>
                <w:b/>
              </w:rPr>
              <w:t>Профессиональная специализация</w:t>
            </w:r>
          </w:p>
        </w:tc>
      </w:tr>
      <w:tr w:rsidR="00106343" w:rsidRPr="001555A0" w14:paraId="3F99601E" w14:textId="77777777" w:rsidTr="00B505A9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541A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01A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52,5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A4C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622F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106343" w:rsidRPr="001555A0" w14:paraId="4515B4DF" w14:textId="77777777" w:rsidTr="00B505A9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3DD4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Электричество/электронные устройства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38A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2FC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0CD2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106343" w:rsidRPr="001555A0" w14:paraId="7450C280" w14:textId="77777777" w:rsidTr="00B505A9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E18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BD0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662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60E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</w:tc>
      </w:tr>
      <w:tr w:rsidR="00106343" w:rsidRPr="001555A0" w14:paraId="2D57E025" w14:textId="77777777" w:rsidTr="00B505A9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AA46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058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13,5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5E9" w14:textId="77777777" w:rsidR="00106343" w:rsidRPr="001555A0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BB85" w14:textId="10A36BFC" w:rsidR="00106343" w:rsidRPr="00CD2B72" w:rsidRDefault="00106343" w:rsidP="00B505A9">
            <w:pPr>
              <w:keepNext/>
              <w:keepLines/>
              <w:suppressAutoHyphens/>
              <w:rPr>
                <w:rFonts w:eastAsia="Times New Roman"/>
                <w:szCs w:val="22"/>
                <w:lang w:val="en-US"/>
              </w:rPr>
            </w:pPr>
          </w:p>
        </w:tc>
      </w:tr>
      <w:tr w:rsidR="00106343" w:rsidRPr="001555A0" w14:paraId="19C2DADD" w14:textId="77777777" w:rsidTr="00B505A9">
        <w:trPr>
          <w:cantSplit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A477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Итого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579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123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6E4C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19,75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D32" w14:textId="77777777" w:rsidR="00106343" w:rsidRPr="001555A0" w:rsidRDefault="00106343" w:rsidP="00B505A9">
            <w:pPr>
              <w:suppressAutoHyphens/>
              <w:rPr>
                <w:rFonts w:eastAsia="Times New Roman"/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Порядка</w:t>
            </w:r>
            <w:r>
              <w:rPr>
                <w:b/>
              </w:rPr>
              <w:t xml:space="preserve"> 14% сотрудников имеют PhD, 86% — степень магистра или аналогичную степень</w:t>
            </w:r>
          </w:p>
        </w:tc>
      </w:tr>
    </w:tbl>
    <w:p w14:paraId="44ED2F5F" w14:textId="77777777" w:rsidR="00C5047D" w:rsidRDefault="00C5047D" w:rsidP="009A31F1"/>
    <w:p w14:paraId="1633CD0D" w14:textId="07AB1B37" w:rsidR="00C5047D" w:rsidRPr="0080342C" w:rsidRDefault="00C5047D" w:rsidP="00AD12D7">
      <w:pPr>
        <w:pStyle w:val="RuleQuote"/>
        <w:keepNext w:val="0"/>
        <w:keepLines w:val="0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и приведенной выше таблицы (необязательно):</w:t>
      </w:r>
    </w:p>
    <w:p w14:paraId="6EE9EC05" w14:textId="77777777" w:rsidR="00141C5C" w:rsidRDefault="00141C5C" w:rsidP="00AD12D7">
      <w:pPr>
        <w:pStyle w:val="RuleQuote"/>
        <w:keepNext w:val="0"/>
        <w:keepLines w:val="0"/>
        <w:ind w:left="0"/>
        <w:rPr>
          <w:i w:val="0"/>
          <w:iCs w:val="0"/>
        </w:rPr>
      </w:pPr>
    </w:p>
    <w:p w14:paraId="60AF6307" w14:textId="5D540087" w:rsidR="00C5047D" w:rsidRPr="002B3808" w:rsidRDefault="00C5047D" w:rsidP="00C5047D">
      <w:pPr>
        <w:pStyle w:val="SectionHeading"/>
      </w:pPr>
      <w:r>
        <w:lastRenderedPageBreak/>
        <w:t>2.2 – МИНИМУМ ДОКУМЕНТАЦИИ – ПРЕДОСТАВЛЕНИЕ ДЛЯ ОЗНАКОМЛЕНИЯ</w:t>
      </w:r>
    </w:p>
    <w:p w14:paraId="44503BDA" w14:textId="77777777" w:rsidR="00C5047D" w:rsidRDefault="00C5047D" w:rsidP="00C5047D">
      <w:pPr>
        <w:pStyle w:val="RuleQuote"/>
      </w:pPr>
      <w:r>
        <w:t>Правила 36.1(ii) и 63.1(ii).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5514EF50" w14:textId="6AA68B85" w:rsidR="00C5047D" w:rsidRDefault="00C5047D" w:rsidP="00C5047D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1BADF125" w14:textId="02E44B5C" w:rsidR="0074634A" w:rsidRPr="0074634A" w:rsidRDefault="00C5047D" w:rsidP="00CD2B72">
      <w:pPr>
        <w:pStyle w:val="Question"/>
        <w:spacing w:after="0"/>
        <w:rPr>
          <w:b w:val="0"/>
          <w:bCs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</w:rPr>
        <w:br/>
      </w:r>
      <w:r>
        <w:rPr>
          <w:b w:val="0"/>
        </w:rPr>
        <w:br/>
        <w:t>Либо</w:t>
      </w:r>
      <w:r>
        <w:rPr>
          <w:b w:val="0"/>
        </w:rPr>
        <w:br/>
      </w:r>
      <w:r>
        <w:rPr>
          <w:b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Органом для ознакомления, была опубликована в Бюллетене РСТ 23</w:t>
      </w:r>
      <w:r w:rsidR="00CD2B72">
        <w:rPr>
          <w:b w:val="0"/>
          <w:lang w:val="en-US"/>
        </w:rPr>
        <w:t> </w:t>
      </w:r>
      <w:r>
        <w:rPr>
          <w:b w:val="0"/>
        </w:rPr>
        <w:t>октября 2025</w:t>
      </w:r>
      <w:r w:rsidR="00CD2B72">
        <w:rPr>
          <w:b w:val="0"/>
          <w:lang w:val="en-US"/>
        </w:rPr>
        <w:t> </w:t>
      </w:r>
      <w:r>
        <w:rPr>
          <w:b w:val="0"/>
        </w:rPr>
        <w:t xml:space="preserve">года по ссылке </w:t>
      </w:r>
      <w:hyperlink r:id="rId13" w:anchor="page=187" w:history="1">
        <w:r>
          <w:rPr>
            <w:rStyle w:val="Hyperlink"/>
            <w:b w:val="0"/>
          </w:rPr>
          <w:t>https://www.wipo.int/documents/d/pct-system/docs-en-official-notices-officialnotices.pdf#page=187</w:t>
        </w:r>
      </w:hyperlink>
      <w:r>
        <w:rPr>
          <w:b w:val="0"/>
        </w:rPr>
        <w:t xml:space="preserve"> и </w:t>
      </w:r>
      <w:hyperlink r:id="rId14" w:anchor="page=197" w:history="1">
        <w:r>
          <w:rPr>
            <w:rStyle w:val="Hyperlink"/>
            <w:b w:val="0"/>
          </w:rPr>
          <w:t>https://www.wipo.int/documents/d/pct-system/docs-en-official-notices-officialnotices.pdf#page=197</w:t>
        </w:r>
      </w:hyperlink>
      <w:r>
        <w:rPr>
          <w:b w:val="0"/>
        </w:rPr>
        <w:t xml:space="preserve"> и 30</w:t>
      </w:r>
      <w:r w:rsidR="00CD2B72">
        <w:rPr>
          <w:b w:val="0"/>
          <w:lang w:val="en-US"/>
        </w:rPr>
        <w:t> </w:t>
      </w:r>
      <w:r>
        <w:rPr>
          <w:b w:val="0"/>
        </w:rPr>
        <w:t>октября 2025</w:t>
      </w:r>
      <w:r w:rsidR="00CD2B72">
        <w:rPr>
          <w:b w:val="0"/>
          <w:lang w:val="en-US"/>
        </w:rPr>
        <w:t> </w:t>
      </w:r>
      <w:r>
        <w:rPr>
          <w:b w:val="0"/>
        </w:rPr>
        <w:t xml:space="preserve">года по ссылке </w:t>
      </w:r>
      <w:hyperlink r:id="rId15" w:anchor="page=213." w:history="1">
        <w:r>
          <w:rPr>
            <w:rStyle w:val="Hyperlink"/>
            <w:b w:val="0"/>
          </w:rPr>
          <w:t>https://www.wipo.int/documents/d/pct-system/docs-en-official-notices-officialnotices.pdf#page=213</w:t>
        </w:r>
      </w:hyperlink>
      <w:r w:rsidRPr="00CD2B72">
        <w:rPr>
          <w:b w:val="0"/>
          <w:bCs w:val="0"/>
        </w:rPr>
        <w:t>».</w:t>
      </w:r>
    </w:p>
    <w:p w14:paraId="37D5BDD4" w14:textId="77777777" w:rsidR="00C5047D" w:rsidRDefault="00C5047D" w:rsidP="00C5047D">
      <w:pPr>
        <w:pStyle w:val="Answer"/>
      </w:pPr>
    </w:p>
    <w:p w14:paraId="1DE04B01" w14:textId="77777777" w:rsidR="00C5047D" w:rsidRDefault="00C5047D" w:rsidP="00C5047D">
      <w:pPr>
        <w:pStyle w:val="Answer"/>
        <w:ind w:left="0"/>
      </w:pPr>
      <w:r>
        <w:t>Либо:</w:t>
      </w:r>
    </w:p>
    <w:p w14:paraId="5487139A" w14:textId="77777777" w:rsidR="00141C5C" w:rsidRDefault="00141C5C" w:rsidP="00C5047D">
      <w:pPr>
        <w:pStyle w:val="Answer"/>
        <w:ind w:left="0"/>
      </w:pPr>
    </w:p>
    <w:p w14:paraId="29122C8D" w14:textId="1288FD07" w:rsidR="006A5C36" w:rsidRDefault="00C864A1" w:rsidP="00C5047D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C36">
            <w:rPr>
              <w:rFonts w:ascii="MS Gothic" w:eastAsia="MS Gothic" w:hAnsi="MS Gothic" w:hint="eastAsia"/>
            </w:rPr>
            <w:t>☐</w:t>
          </w:r>
        </w:sdtContent>
      </w:sdt>
      <w:r w:rsidR="00F01AB1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19A4C13D" w14:textId="77777777" w:rsidR="00C5047D" w:rsidRPr="002B3808" w:rsidRDefault="00C5047D" w:rsidP="00C5047D">
      <w:pPr>
        <w:pStyle w:val="SectionHeading"/>
      </w:pPr>
      <w:r>
        <w:t>2.3 – МИНИМУМ ДОКУМЕНТАЦИИ – ДОСТУП</w:t>
      </w:r>
    </w:p>
    <w:p w14:paraId="6096117B" w14:textId="77777777" w:rsidR="00C5047D" w:rsidRDefault="00C5047D" w:rsidP="00C5047D">
      <w:pPr>
        <w:pStyle w:val="RuleQuote"/>
        <w:rPr>
          <w:i w:val="0"/>
          <w:iCs w:val="0"/>
        </w:rPr>
      </w:pPr>
      <w:r>
        <w:t>Правила 36.1(iii) и 63.1(iii).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8299118" w14:textId="39790135" w:rsidR="00C5047D" w:rsidRPr="0080342C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</w:p>
    <w:p w14:paraId="6DB037C2" w14:textId="3CF1ED38" w:rsidR="00C5047D" w:rsidRPr="0080342C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(необязательно):</w:t>
      </w:r>
    </w:p>
    <w:p w14:paraId="61FFA6D9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6EF613BF" w14:textId="7AA52D01" w:rsidR="00C5047D" w:rsidRPr="002B3808" w:rsidRDefault="00C5047D" w:rsidP="00C5047D">
      <w:pPr>
        <w:pStyle w:val="SectionHeading"/>
      </w:pPr>
      <w:r>
        <w:t>2.4 – УПРАВЛЕНИЕ КАЧЕСТВОМ</w:t>
      </w:r>
    </w:p>
    <w:p w14:paraId="71608889" w14:textId="77777777" w:rsidR="00C5047D" w:rsidRDefault="00C5047D" w:rsidP="00C5047D">
      <w:pPr>
        <w:pStyle w:val="RuleQuote"/>
      </w:pPr>
      <w:r>
        <w:t>Правила 36.1(iv) и 63.1(iv).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1F62DD3E" w14:textId="77777777" w:rsidR="00C5047D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3CB44395" w14:textId="602B0BEB" w:rsidR="00C5047D" w:rsidRPr="0080342C" w:rsidRDefault="00C5047D" w:rsidP="00C5047D">
      <w:pPr>
        <w:pStyle w:val="RuleQuote"/>
        <w:ind w:left="0"/>
        <w:rPr>
          <w:i w:val="0"/>
          <w:iCs w:val="0"/>
        </w:rPr>
      </w:pPr>
      <w:r>
        <w:rPr>
          <w:i w:val="0"/>
        </w:rPr>
        <w:t>Прочая информация, помимо отчета о системе УК (необязательно):</w:t>
      </w:r>
    </w:p>
    <w:p w14:paraId="21916F50" w14:textId="77777777" w:rsidR="004E7E2F" w:rsidRDefault="004E7E2F" w:rsidP="00C5047D">
      <w:pPr>
        <w:pStyle w:val="RuleQuote"/>
        <w:ind w:left="0"/>
        <w:rPr>
          <w:i w:val="0"/>
          <w:iCs w:val="0"/>
        </w:rPr>
      </w:pPr>
    </w:p>
    <w:p w14:paraId="3B307B49" w14:textId="77777777" w:rsidR="00C5047D" w:rsidRDefault="00C5047D" w:rsidP="00C5047D">
      <w:pPr>
        <w:pStyle w:val="SectionHeading"/>
      </w:pPr>
      <w:r>
        <w:t>3 – СФЕРА ДЕЯТЕЛЬНОСТИ</w:t>
      </w:r>
    </w:p>
    <w:p w14:paraId="4DF663EE" w14:textId="77777777" w:rsidR="00C5047D" w:rsidRDefault="00C5047D" w:rsidP="00C5047D">
      <w:pPr>
        <w:pStyle w:val="Question"/>
        <w:numPr>
          <w:ilvl w:val="0"/>
          <w:numId w:val="8"/>
        </w:numPr>
        <w:spacing w:after="240"/>
        <w:rPr>
          <w:i/>
          <w:iCs/>
        </w:rPr>
      </w:pPr>
      <w:bookmarkStart w:id="5" w:name="_Hlk215156473"/>
      <w:r>
        <w:tab/>
      </w:r>
      <w:bookmarkEnd w:id="5"/>
      <w:r>
        <w:t>Сфера деятельности в текущий период</w:t>
      </w:r>
    </w:p>
    <w:p w14:paraId="00647516" w14:textId="15CF5F35" w:rsidR="00C5047D" w:rsidRPr="003F6F01" w:rsidRDefault="00C5047D" w:rsidP="00C5047D">
      <w:pPr>
        <w:pStyle w:val="Question"/>
        <w:keepNext w:val="0"/>
        <w:spacing w:after="480"/>
      </w:pPr>
      <w:r>
        <w:rPr>
          <w:b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i/>
        </w:rPr>
        <w:t>Руководстве РСТ для заявителя</w:t>
      </w:r>
      <w:r>
        <w:rPr>
          <w:b w:val="0"/>
        </w:rPr>
        <w:t xml:space="preserve"> по следующим ссылкам</w:t>
      </w:r>
      <w:bookmarkStart w:id="6" w:name="_Hlk214637647"/>
      <w:r>
        <w:rPr>
          <w:b w:val="0"/>
        </w:rPr>
        <w:t xml:space="preserve">:  </w:t>
      </w:r>
      <w:hyperlink r:id="rId16" w:history="1">
        <w:r>
          <w:rPr>
            <w:rStyle w:val="Hyperlink"/>
            <w:b w:val="0"/>
          </w:rPr>
          <w:t>https://pctlegal.wipo.int/eGuide/view-doc.xhtml?doc-code=XN&amp;doc-lang=en#ISA</w:t>
        </w:r>
      </w:hyperlink>
      <w:r>
        <w:rPr>
          <w:b w:val="0"/>
        </w:rPr>
        <w:t xml:space="preserve"> и </w:t>
      </w:r>
      <w:bookmarkEnd w:id="6"/>
      <w:r w:rsidR="00682B6F">
        <w:rPr>
          <w:b w:val="0"/>
        </w:rPr>
        <w:fldChar w:fldCharType="begin"/>
      </w:r>
      <w:r w:rsidR="00682B6F">
        <w:rPr>
          <w:b w:val="0"/>
        </w:rPr>
        <w:instrText>HYPERLINK "</w:instrText>
      </w:r>
      <w:r w:rsidR="00682B6F" w:rsidRPr="00682B6F">
        <w:rPr>
          <w:b w:val="0"/>
        </w:rPr>
        <w:instrText>https://pctlegal.wipo.int/eGuide/view-doc.xhtml?doc-code=XN&amp;doc-lang=en#IPEA</w:instrText>
      </w:r>
      <w:r w:rsidR="00682B6F">
        <w:rPr>
          <w:b w:val="0"/>
        </w:rPr>
        <w:instrText>"</w:instrText>
      </w:r>
      <w:r w:rsidR="00260A45">
        <w:rPr>
          <w:b w:val="0"/>
        </w:rPr>
      </w:r>
      <w:r w:rsidR="00682B6F">
        <w:rPr>
          <w:b w:val="0"/>
        </w:rPr>
        <w:fldChar w:fldCharType="separate"/>
      </w:r>
      <w:r w:rsidR="00682B6F" w:rsidRPr="00907DC9">
        <w:rPr>
          <w:rStyle w:val="Hyperlink"/>
          <w:b w:val="0"/>
        </w:rPr>
        <w:t>https://pctlegal.wipo.int/eGuide/view-doc.xhtml?doc-code=XN&amp;doc-lang=en#IPEA</w:t>
      </w:r>
      <w:r w:rsidR="00682B6F">
        <w:rPr>
          <w:b w:val="0"/>
        </w:rPr>
        <w:fldChar w:fldCharType="end"/>
      </w:r>
      <w:r>
        <w:rPr>
          <w:b w:val="0"/>
          <w:i/>
        </w:rPr>
        <w:t>.</w:t>
      </w:r>
    </w:p>
    <w:p w14:paraId="28EC7561" w14:textId="437F604D" w:rsidR="00C5047D" w:rsidRDefault="00AA4FB4" w:rsidP="00C5047D">
      <w:pPr>
        <w:pStyle w:val="Question"/>
        <w:numPr>
          <w:ilvl w:val="0"/>
          <w:numId w:val="8"/>
        </w:numPr>
        <w:spacing w:after="240"/>
      </w:pPr>
      <w:r>
        <w:tab/>
        <w:t xml:space="preserve">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 </w:t>
      </w:r>
    </w:p>
    <w:p w14:paraId="3CB68C76" w14:textId="77777777" w:rsidR="004E7E2F" w:rsidRPr="004E7E2F" w:rsidRDefault="004E7E2F" w:rsidP="004E7E2F">
      <w:pPr>
        <w:pStyle w:val="Answer"/>
      </w:pPr>
    </w:p>
    <w:p w14:paraId="0330D9AA" w14:textId="77777777" w:rsidR="00C5047D" w:rsidRPr="002B3808" w:rsidRDefault="00C5047D" w:rsidP="00C5047D">
      <w:pPr>
        <w:pStyle w:val="SectionHeading"/>
      </w:pPr>
      <w:r>
        <w:t>4 – ПРОЧЕЕ</w:t>
      </w:r>
    </w:p>
    <w:p w14:paraId="041B071C" w14:textId="3A74160C" w:rsidR="00C5047D" w:rsidRPr="0080342C" w:rsidRDefault="00C5047D" w:rsidP="00C5047D"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</w:p>
    <w:p w14:paraId="1BEC6111" w14:textId="77777777" w:rsidR="00C5047D" w:rsidRDefault="00C5047D" w:rsidP="00C5047D"/>
    <w:p w14:paraId="565493DE" w14:textId="77777777" w:rsidR="00C5047D" w:rsidRPr="00771A40" w:rsidRDefault="00C5047D" w:rsidP="00C5047D">
      <w:pPr>
        <w:pStyle w:val="SectionHeading"/>
      </w:pPr>
    </w:p>
    <w:p w14:paraId="05B9A047" w14:textId="77777777" w:rsidR="00C5047D" w:rsidRPr="00E64639" w:rsidRDefault="00C5047D" w:rsidP="00C5047D">
      <w:pPr>
        <w:pStyle w:val="Endofdocument-Annex"/>
        <w:rPr>
          <w:b/>
          <w:bCs/>
          <w:iCs/>
          <w:caps/>
          <w:szCs w:val="28"/>
        </w:rPr>
      </w:pPr>
      <w:r>
        <w:t>[Конец приложения и документа]</w:t>
      </w:r>
    </w:p>
    <w:p w14:paraId="3B3E50D2" w14:textId="77777777" w:rsidR="00C5047D" w:rsidRPr="009A31F1" w:rsidRDefault="00C5047D" w:rsidP="00C5047D"/>
    <w:sectPr w:rsidR="00C5047D" w:rsidRPr="009A31F1" w:rsidSect="009A31F1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B6A3" w14:textId="77777777" w:rsidR="00AE405F" w:rsidRDefault="00AE405F">
      <w:r>
        <w:separator/>
      </w:r>
    </w:p>
  </w:endnote>
  <w:endnote w:type="continuationSeparator" w:id="0">
    <w:p w14:paraId="53B82E08" w14:textId="77777777" w:rsidR="00AE405F" w:rsidRDefault="00AE405F" w:rsidP="003B38C1">
      <w:r>
        <w:separator/>
      </w:r>
    </w:p>
    <w:p w14:paraId="5BCAD327" w14:textId="77777777" w:rsidR="00AE405F" w:rsidRPr="00771A40" w:rsidRDefault="00AE405F" w:rsidP="003B38C1">
      <w:pPr>
        <w:spacing w:after="60"/>
        <w:rPr>
          <w:sz w:val="17"/>
          <w:lang w:val="en-US"/>
        </w:rPr>
      </w:pPr>
      <w:r w:rsidRPr="00771A40">
        <w:rPr>
          <w:sz w:val="17"/>
          <w:lang w:val="en-US"/>
        </w:rPr>
        <w:t>[Endnote continued from previous page]</w:t>
      </w:r>
    </w:p>
  </w:endnote>
  <w:endnote w:type="continuationNotice" w:id="1">
    <w:p w14:paraId="778C0DE4" w14:textId="77777777" w:rsidR="00AE405F" w:rsidRPr="00771A40" w:rsidRDefault="00AE405F" w:rsidP="003B38C1">
      <w:pPr>
        <w:spacing w:before="60"/>
        <w:jc w:val="right"/>
        <w:rPr>
          <w:sz w:val="17"/>
          <w:szCs w:val="17"/>
          <w:lang w:val="en-US"/>
        </w:rPr>
      </w:pPr>
      <w:r w:rsidRPr="00771A40">
        <w:rPr>
          <w:sz w:val="17"/>
          <w:szCs w:val="17"/>
          <w:lang w:val="en-US"/>
        </w:rPr>
        <w:t xml:space="preserve">[Endnote </w:t>
      </w:r>
      <w:proofErr w:type="gramStart"/>
      <w:r w:rsidRPr="00771A40">
        <w:rPr>
          <w:sz w:val="17"/>
          <w:szCs w:val="17"/>
          <w:lang w:val="en-US"/>
        </w:rPr>
        <w:t>continued on</w:t>
      </w:r>
      <w:proofErr w:type="gramEnd"/>
      <w:r w:rsidRPr="00771A4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389B" w14:textId="77777777" w:rsidR="00AE405F" w:rsidRDefault="00AE405F">
      <w:r>
        <w:separator/>
      </w:r>
    </w:p>
  </w:footnote>
  <w:footnote w:type="continuationSeparator" w:id="0">
    <w:p w14:paraId="6394E0A3" w14:textId="77777777" w:rsidR="00AE405F" w:rsidRDefault="00AE405F" w:rsidP="008B60B2">
      <w:r>
        <w:separator/>
      </w:r>
    </w:p>
    <w:p w14:paraId="617ACBB1" w14:textId="77777777" w:rsidR="00AE405F" w:rsidRPr="00771A40" w:rsidRDefault="00AE405F" w:rsidP="008B60B2">
      <w:pPr>
        <w:spacing w:after="60"/>
        <w:rPr>
          <w:sz w:val="17"/>
          <w:szCs w:val="17"/>
          <w:lang w:val="en-US"/>
        </w:rPr>
      </w:pPr>
      <w:r w:rsidRPr="00771A4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A695166" w14:textId="77777777" w:rsidR="00AE405F" w:rsidRPr="00771A40" w:rsidRDefault="00AE405F" w:rsidP="008B60B2">
      <w:pPr>
        <w:spacing w:before="60"/>
        <w:jc w:val="right"/>
        <w:rPr>
          <w:sz w:val="17"/>
          <w:szCs w:val="17"/>
          <w:lang w:val="en-US"/>
        </w:rPr>
      </w:pPr>
      <w:r w:rsidRPr="00771A40">
        <w:rPr>
          <w:sz w:val="17"/>
          <w:szCs w:val="17"/>
          <w:lang w:val="en-US"/>
        </w:rPr>
        <w:t xml:space="preserve">[Footnote </w:t>
      </w:r>
      <w:proofErr w:type="gramStart"/>
      <w:r w:rsidRPr="00771A40">
        <w:rPr>
          <w:sz w:val="17"/>
          <w:szCs w:val="17"/>
          <w:lang w:val="en-US"/>
        </w:rPr>
        <w:t>continued on</w:t>
      </w:r>
      <w:proofErr w:type="gramEnd"/>
      <w:r w:rsidRPr="00771A4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199461CC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PCT/CTC/33/25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>Приложение, стр.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C864A1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1F6B802F" w:rsidR="009A31F1" w:rsidRDefault="009A31F1" w:rsidP="009A31F1">
    <w:pPr>
      <w:pStyle w:val="Header"/>
      <w:jc w:val="right"/>
    </w:pPr>
    <w:r>
      <w:tab/>
    </w:r>
    <w:r>
      <w:t>PCT/CTC/33/25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35C3A"/>
    <w:rsid w:val="00043CAA"/>
    <w:rsid w:val="00056816"/>
    <w:rsid w:val="00075432"/>
    <w:rsid w:val="000756C6"/>
    <w:rsid w:val="000968ED"/>
    <w:rsid w:val="000A3D97"/>
    <w:rsid w:val="000A6309"/>
    <w:rsid w:val="000D46FE"/>
    <w:rsid w:val="000F5E56"/>
    <w:rsid w:val="00106343"/>
    <w:rsid w:val="00111BB0"/>
    <w:rsid w:val="001362EE"/>
    <w:rsid w:val="00141C5C"/>
    <w:rsid w:val="00154A85"/>
    <w:rsid w:val="001647D5"/>
    <w:rsid w:val="001832A6"/>
    <w:rsid w:val="001B316A"/>
    <w:rsid w:val="001D4107"/>
    <w:rsid w:val="001F1115"/>
    <w:rsid w:val="00203D24"/>
    <w:rsid w:val="0021217E"/>
    <w:rsid w:val="00217FB1"/>
    <w:rsid w:val="002326AB"/>
    <w:rsid w:val="00240FCA"/>
    <w:rsid w:val="00243430"/>
    <w:rsid w:val="00260A45"/>
    <w:rsid w:val="002634C4"/>
    <w:rsid w:val="00270F80"/>
    <w:rsid w:val="002928D3"/>
    <w:rsid w:val="002E29C7"/>
    <w:rsid w:val="002E681D"/>
    <w:rsid w:val="002F1FE6"/>
    <w:rsid w:val="002F4E68"/>
    <w:rsid w:val="00312F7F"/>
    <w:rsid w:val="003364D3"/>
    <w:rsid w:val="00355FC1"/>
    <w:rsid w:val="00361450"/>
    <w:rsid w:val="003673CF"/>
    <w:rsid w:val="003845C1"/>
    <w:rsid w:val="003A6F89"/>
    <w:rsid w:val="003B38C1"/>
    <w:rsid w:val="003C34E9"/>
    <w:rsid w:val="003F6F01"/>
    <w:rsid w:val="00423E3E"/>
    <w:rsid w:val="00427AF4"/>
    <w:rsid w:val="004647DA"/>
    <w:rsid w:val="00466D9E"/>
    <w:rsid w:val="00474062"/>
    <w:rsid w:val="00477D6B"/>
    <w:rsid w:val="004B446A"/>
    <w:rsid w:val="004B6994"/>
    <w:rsid w:val="004C667B"/>
    <w:rsid w:val="004E7E2F"/>
    <w:rsid w:val="005019FF"/>
    <w:rsid w:val="0052652C"/>
    <w:rsid w:val="0053057A"/>
    <w:rsid w:val="00556076"/>
    <w:rsid w:val="00560A29"/>
    <w:rsid w:val="005705AC"/>
    <w:rsid w:val="0059717C"/>
    <w:rsid w:val="005B3EC2"/>
    <w:rsid w:val="005C6649"/>
    <w:rsid w:val="005C79F6"/>
    <w:rsid w:val="00605827"/>
    <w:rsid w:val="00646050"/>
    <w:rsid w:val="00647CAE"/>
    <w:rsid w:val="006713CA"/>
    <w:rsid w:val="00676C5C"/>
    <w:rsid w:val="00682B6F"/>
    <w:rsid w:val="006916DB"/>
    <w:rsid w:val="006A5C36"/>
    <w:rsid w:val="006C238E"/>
    <w:rsid w:val="006C712A"/>
    <w:rsid w:val="006F04BC"/>
    <w:rsid w:val="006F7742"/>
    <w:rsid w:val="00720EFD"/>
    <w:rsid w:val="0074634A"/>
    <w:rsid w:val="00756C6B"/>
    <w:rsid w:val="007578A4"/>
    <w:rsid w:val="00761CD8"/>
    <w:rsid w:val="00771A40"/>
    <w:rsid w:val="007854AF"/>
    <w:rsid w:val="00793A7C"/>
    <w:rsid w:val="007A398A"/>
    <w:rsid w:val="007A3EC4"/>
    <w:rsid w:val="007D1613"/>
    <w:rsid w:val="007E4C0E"/>
    <w:rsid w:val="0080342C"/>
    <w:rsid w:val="008543C9"/>
    <w:rsid w:val="008769C1"/>
    <w:rsid w:val="00886874"/>
    <w:rsid w:val="00887ABD"/>
    <w:rsid w:val="008A134B"/>
    <w:rsid w:val="008B2CC1"/>
    <w:rsid w:val="008B60B2"/>
    <w:rsid w:val="008C654F"/>
    <w:rsid w:val="008D3049"/>
    <w:rsid w:val="0090731E"/>
    <w:rsid w:val="00916EE2"/>
    <w:rsid w:val="00924CDA"/>
    <w:rsid w:val="00936531"/>
    <w:rsid w:val="00966A22"/>
    <w:rsid w:val="0096722F"/>
    <w:rsid w:val="00980843"/>
    <w:rsid w:val="009A31F1"/>
    <w:rsid w:val="009A53C9"/>
    <w:rsid w:val="009E2791"/>
    <w:rsid w:val="009E3F6F"/>
    <w:rsid w:val="009F499F"/>
    <w:rsid w:val="00A0628B"/>
    <w:rsid w:val="00A1569E"/>
    <w:rsid w:val="00A22138"/>
    <w:rsid w:val="00A37342"/>
    <w:rsid w:val="00A42DAF"/>
    <w:rsid w:val="00A45BD8"/>
    <w:rsid w:val="00A53F2A"/>
    <w:rsid w:val="00A60650"/>
    <w:rsid w:val="00A869B7"/>
    <w:rsid w:val="00A90F0A"/>
    <w:rsid w:val="00A96C46"/>
    <w:rsid w:val="00AA4FB4"/>
    <w:rsid w:val="00AC205C"/>
    <w:rsid w:val="00AC4C7C"/>
    <w:rsid w:val="00AD12D7"/>
    <w:rsid w:val="00AE405F"/>
    <w:rsid w:val="00AF0A6B"/>
    <w:rsid w:val="00B05A69"/>
    <w:rsid w:val="00B442F5"/>
    <w:rsid w:val="00B75281"/>
    <w:rsid w:val="00B81893"/>
    <w:rsid w:val="00B92F1F"/>
    <w:rsid w:val="00B9734B"/>
    <w:rsid w:val="00BA30E2"/>
    <w:rsid w:val="00BA3568"/>
    <w:rsid w:val="00BA40BF"/>
    <w:rsid w:val="00BC039A"/>
    <w:rsid w:val="00C014ED"/>
    <w:rsid w:val="00C11BFE"/>
    <w:rsid w:val="00C44190"/>
    <w:rsid w:val="00C463F3"/>
    <w:rsid w:val="00C5047D"/>
    <w:rsid w:val="00C5068F"/>
    <w:rsid w:val="00C86D74"/>
    <w:rsid w:val="00CC3DCE"/>
    <w:rsid w:val="00CD04F1"/>
    <w:rsid w:val="00CD2B72"/>
    <w:rsid w:val="00CD37C2"/>
    <w:rsid w:val="00CD578D"/>
    <w:rsid w:val="00CE26E0"/>
    <w:rsid w:val="00CF681A"/>
    <w:rsid w:val="00D07C78"/>
    <w:rsid w:val="00D45252"/>
    <w:rsid w:val="00D50FB2"/>
    <w:rsid w:val="00D71B4D"/>
    <w:rsid w:val="00D87365"/>
    <w:rsid w:val="00D93D55"/>
    <w:rsid w:val="00DD7B7F"/>
    <w:rsid w:val="00E148BE"/>
    <w:rsid w:val="00E15015"/>
    <w:rsid w:val="00E335FE"/>
    <w:rsid w:val="00E82F6F"/>
    <w:rsid w:val="00E86866"/>
    <w:rsid w:val="00E955BE"/>
    <w:rsid w:val="00EA7D6E"/>
    <w:rsid w:val="00EB2F76"/>
    <w:rsid w:val="00EC4E49"/>
    <w:rsid w:val="00EC68D9"/>
    <w:rsid w:val="00ED77FB"/>
    <w:rsid w:val="00EE45FA"/>
    <w:rsid w:val="00F01AB1"/>
    <w:rsid w:val="00F043DE"/>
    <w:rsid w:val="00F63809"/>
    <w:rsid w:val="00F66152"/>
    <w:rsid w:val="00F9165B"/>
    <w:rsid w:val="00FB5C16"/>
    <w:rsid w:val="00FC482F"/>
    <w:rsid w:val="00FE0B3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15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D2B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documents/d/pct-system/docs-en-official-notices-officialnotice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\\adi.wipo.int\wipodata\DAT1\OrgPctLdev\Shared\WIPO%20meetings%20-%20PCT\PCT-CTC-33\Applications%20for%20extension%20of%20appointment\NPI\pct_ctc_24_11%20draft%20NPI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n/web/pct-system/quality/authorit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documents/d/pct-system/docs-en-official-notices-officialnotices.pdf" TargetMode="External"/><Relationship Id="rId10" Type="http://schemas.openxmlformats.org/officeDocument/2006/relationships/hyperlink" Target="mailto:gretar.ingi.gretarsson@npi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documents/d/pct-system/docs-en-official-notices-officialnotic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0</TotalTime>
  <Pages>6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PCT/CTC/33/25</vt:lpstr>
    </vt:vector>
  </TitlesOfParts>
  <Company>WIPO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PCT/CTC/33/25</dc:title>
  <dc:creator>NOVRUZOVA Elnara</dc:creator>
  <cp:keywords/>
  <cp:lastModifiedBy>MARLOW Thomas</cp:lastModifiedBy>
  <cp:revision>2</cp:revision>
  <cp:lastPrinted>2025-12-03T16:12:00Z</cp:lastPrinted>
  <dcterms:created xsi:type="dcterms:W3CDTF">2026-01-06T15:08:00Z</dcterms:created>
  <dcterms:modified xsi:type="dcterms:W3CDTF">2026-01-06T15:08:00Z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2025-11-25T10:05:25Z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d3d95821-a61b-495d-b730-f8128df5797b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