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75B548EB" w:rsidR="008B2CC1" w:rsidRPr="00F043DE" w:rsidRDefault="006106E3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46BB49EB" wp14:editId="505A5966">
            <wp:extent cx="2991283" cy="1304925"/>
            <wp:effectExtent l="0" t="0" r="0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245" cy="130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71E1A918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24</w:t>
      </w:r>
    </w:p>
    <w:p w14:paraId="4157C28F" w14:textId="3D55971C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5ECFCDC6" w14:textId="4AD34A5E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19</w:t>
      </w:r>
      <w:r w:rsidR="00D174C2" w:rsidRPr="00C73ED1">
        <w:rPr>
          <w:rFonts w:ascii="Arial Black" w:hAnsi="Arial Black"/>
          <w:caps/>
          <w:sz w:val="15"/>
        </w:rPr>
        <w:t xml:space="preserve"> </w:t>
      </w:r>
      <w:r>
        <w:rPr>
          <w:rFonts w:ascii="Arial Black" w:hAnsi="Arial Black"/>
          <w:caps/>
          <w:sz w:val="15"/>
        </w:rPr>
        <w:t>ДЕКАБРЯ 2025</w:t>
      </w:r>
      <w:r w:rsidR="00D174C2" w:rsidRPr="00C73ED1">
        <w:rPr>
          <w:rFonts w:ascii="Arial Black" w:hAnsi="Arial Black"/>
          <w:caps/>
          <w:sz w:val="15"/>
        </w:rPr>
        <w:t xml:space="preserve"> </w:t>
      </w:r>
      <w:r>
        <w:rPr>
          <w:rFonts w:ascii="Arial Black" w:hAnsi="Arial Black"/>
          <w:caps/>
          <w:sz w:val="15"/>
        </w:rPr>
        <w:t>ГОДА</w:t>
      </w:r>
    </w:p>
    <w:bookmarkEnd w:id="2"/>
    <w:p w14:paraId="65161F5C" w14:textId="1438041A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c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 февраля 2026 года</w:t>
      </w:r>
    </w:p>
    <w:p w14:paraId="51B065A7" w14:textId="26D8E552" w:rsidR="008B2CC1" w:rsidRPr="00C73ED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ПРОДЛЕНИЕ НАЗНАЧЕНИЯ ВЕДОМСТВА СОЕДИНЕННЫХ ШТАТОВ АМЕРИКИ ПО ПАТЕНТАМ И ТОВАРНЫМ ЗНАКАМ В КАЧЕСТВЕ МЕЖДУНАРОДНОГО ПОИСКОВОГО ОРГАНА И ОРГАНА МЕЖДУНАРОДНОЙ ПРЕДВАРИТЕЛЬНОЙ ЭКСПЕРТИЗЫ В РАМКАХ PCT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18950409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 декабря 2027 года. 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  Информация о данной процедуре и роли Комитета приводится в документе PCT/CTC/33/INF/1.</w:t>
      </w:r>
    </w:p>
    <w:p w14:paraId="518176C0" w14:textId="68023BD4" w:rsidR="009A31F1" w:rsidRDefault="009A31F1" w:rsidP="002326AB">
      <w:pPr>
        <w:spacing w:after="220"/>
      </w:pPr>
      <w:r>
        <w:t>2.</w:t>
      </w:r>
      <w:r>
        <w:tab/>
        <w:t>24 ноября 2025 года Ведомство Соединенных Штатов Америки по патентам и товарным знакам подало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27CF3FCB" w14:textId="77777777" w:rsidR="009A31F1" w:rsidRDefault="009A31F1" w:rsidP="009A31F1">
      <w:pPr>
        <w:spacing w:after="220"/>
        <w:jc w:val="both"/>
        <w:rPr>
          <w:i/>
        </w:rPr>
      </w:pP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68E5AD2D" w14:textId="77777777" w:rsidR="009A31F1" w:rsidRPr="002B3808" w:rsidRDefault="009A31F1" w:rsidP="009A31F1">
      <w:pPr>
        <w:pStyle w:val="SectionHeading"/>
      </w:pPr>
      <w:r>
        <w:t>1 – ОБЩИЕ СВЕДЕНИЯ</w:t>
      </w:r>
    </w:p>
    <w:p w14:paraId="2E3EA985" w14:textId="77777777" w:rsidR="009E67E7" w:rsidRDefault="009E67E7" w:rsidP="009E67E7">
      <w:pPr>
        <w:pStyle w:val="Question"/>
        <w:spacing w:after="480"/>
      </w:pPr>
      <w:r>
        <w:t>(a)</w:t>
      </w:r>
      <w:r>
        <w:tab/>
        <w:t xml:space="preserve">Название ведомства или межправительственной организации: </w:t>
      </w:r>
    </w:p>
    <w:p w14:paraId="635FF93B" w14:textId="5F2C8D76" w:rsidR="009E67E7" w:rsidRDefault="009E67E7" w:rsidP="00501C31">
      <w:pPr>
        <w:pStyle w:val="Answer"/>
        <w:spacing w:after="480"/>
        <w:ind w:left="0"/>
      </w:pPr>
      <w:bookmarkStart w:id="5" w:name="_Hlk214975038"/>
      <w:r>
        <w:t>Ведомство Соединенных Штатов Америки по патентам и товарным знакам</w:t>
      </w:r>
      <w:bookmarkEnd w:id="5"/>
    </w:p>
    <w:p w14:paraId="7C24AEE4" w14:textId="77777777" w:rsidR="009E67E7" w:rsidRDefault="009E67E7" w:rsidP="009E67E7">
      <w:pPr>
        <w:pStyle w:val="Question"/>
        <w:spacing w:after="480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26565618" w14:textId="77777777" w:rsidR="009E67E7" w:rsidRDefault="009E67E7" w:rsidP="002A398E">
      <w:pPr>
        <w:pStyle w:val="Answer"/>
        <w:spacing w:after="120"/>
        <w:ind w:left="0"/>
      </w:pPr>
      <w:r>
        <w:t>Майкл Нэас</w:t>
      </w:r>
    </w:p>
    <w:p w14:paraId="59319489" w14:textId="77777777" w:rsidR="009E67E7" w:rsidRDefault="009E67E7" w:rsidP="002A398E">
      <w:pPr>
        <w:pStyle w:val="Answer"/>
        <w:spacing w:after="120"/>
        <w:ind w:left="0"/>
      </w:pPr>
      <w:r>
        <w:t>и.о. директора правового управления международного патентования</w:t>
      </w:r>
    </w:p>
    <w:p w14:paraId="5E1C1FFD" w14:textId="77777777" w:rsidR="009E67E7" w:rsidRDefault="009E67E7" w:rsidP="002A398E">
      <w:pPr>
        <w:pStyle w:val="Answer"/>
        <w:spacing w:after="120"/>
        <w:ind w:left="0"/>
      </w:pPr>
      <w:r>
        <w:t>Ведомство Соединенных Штатов Америки по патентам и товарным знакам</w:t>
      </w:r>
    </w:p>
    <w:p w14:paraId="78040D0A" w14:textId="77777777" w:rsidR="009E67E7" w:rsidRDefault="009E67E7" w:rsidP="002A398E">
      <w:pPr>
        <w:pStyle w:val="Answer"/>
        <w:spacing w:after="120"/>
        <w:ind w:left="0"/>
      </w:pPr>
      <w:r>
        <w:t>+1-571-272-3289</w:t>
      </w:r>
    </w:p>
    <w:p w14:paraId="4E753A8F" w14:textId="7A02D56A" w:rsidR="009E67E7" w:rsidRPr="009A3FD0" w:rsidRDefault="00FB21FF" w:rsidP="002A398E">
      <w:pPr>
        <w:pStyle w:val="Answer"/>
        <w:spacing w:after="120"/>
        <w:ind w:left="0"/>
        <w:rPr>
          <w:color w:val="365F91" w:themeColor="accent1" w:themeShade="BF"/>
          <w:u w:val="single"/>
        </w:rPr>
      </w:pPr>
      <w:hyperlink r:id="rId10" w:history="1">
        <w:r>
          <w:rPr>
            <w:rStyle w:val="Hyperlink"/>
          </w:rPr>
          <w:t>michael.neas@uspto.gov</w:t>
        </w:r>
      </w:hyperlink>
      <w:r>
        <w:rPr>
          <w:color w:val="365F91" w:themeColor="accent1" w:themeShade="BF"/>
          <w:u w:val="single"/>
        </w:rPr>
        <w:t xml:space="preserve"> </w:t>
      </w:r>
    </w:p>
    <w:p w14:paraId="59279634" w14:textId="3A5E82AE" w:rsidR="009A31F1" w:rsidRPr="00245354" w:rsidRDefault="009A31F1" w:rsidP="002713DE">
      <w:pPr>
        <w:pStyle w:val="Answer"/>
        <w:ind w:left="0"/>
        <w:rPr>
          <w:color w:val="000000" w:themeColor="text1"/>
        </w:rPr>
      </w:pPr>
    </w:p>
    <w:p w14:paraId="5EBA2C3E" w14:textId="77777777" w:rsidR="009A31F1" w:rsidRDefault="009A31F1" w:rsidP="009A31F1">
      <w:pPr>
        <w:pStyle w:val="Question"/>
      </w:pPr>
      <w:r>
        <w:t>(с)</w:t>
      </w:r>
      <w:r>
        <w:tab/>
        <w:t>Дата получения Генеральным директором заявления о продлении назначения:</w:t>
      </w:r>
    </w:p>
    <w:p w14:paraId="2740412F" w14:textId="2D93462D" w:rsidR="009A31F1" w:rsidRPr="004C5F56" w:rsidRDefault="00A1569E" w:rsidP="009A31F1">
      <w:pPr>
        <w:pStyle w:val="Answer"/>
      </w:pPr>
      <w:r>
        <w:t>24 ноября 2025 года</w:t>
      </w:r>
    </w:p>
    <w:p w14:paraId="671168CF" w14:textId="77777777" w:rsidR="009A31F1" w:rsidRPr="002B3808" w:rsidRDefault="009A31F1" w:rsidP="009A31F1">
      <w:pPr>
        <w:pStyle w:val="SectionHeading"/>
      </w:pPr>
      <w:r>
        <w:t>2 – МИНИМУМ ТРЕБОВАНИЙ ДЛЯ НАЗНАЧЕНИЯ</w:t>
      </w:r>
    </w:p>
    <w:p w14:paraId="21EECB02" w14:textId="0ABE051D" w:rsidR="009A31F1" w:rsidRDefault="009A31F1" w:rsidP="009A31F1">
      <w:r>
        <w:t xml:space="preserve">В дополнение к ежегодному отчету ведомства или организации о системе управления качеством за 2025 год («отчет о системе УК»  </w:t>
      </w:r>
      <w:hyperlink r:id="rId11" w:anchor="US" w:history="1">
        <w:r>
          <w:rPr>
            <w:rStyle w:val="Hyperlink"/>
          </w:rPr>
          <w:t>https://www.wipo.int/en/web/pct-system/quality/authorities#US</w:t>
        </w:r>
      </w:hyperlink>
      <w:r>
        <w:t>), подготовленному в соответствии с пунктами 21.31 и 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60EEBE3A" w14:textId="77777777" w:rsidR="009A31F1" w:rsidRPr="002B3808" w:rsidRDefault="009A31F1" w:rsidP="009A31F1">
      <w:pPr>
        <w:pStyle w:val="SectionHeading"/>
      </w:pPr>
      <w:r>
        <w:lastRenderedPageBreak/>
        <w:t>2.1 – ВОЗМОЖНОСТИ ДЛЯ ПРОВЕДЕНИЯ ПОИСКА И ЭКСПЕРТИЗЫ</w:t>
      </w:r>
    </w:p>
    <w:p w14:paraId="4204A13E" w14:textId="77777777" w:rsidR="009A31F1" w:rsidRDefault="009A31F1" w:rsidP="009A31F1">
      <w:pPr>
        <w:pStyle w:val="RuleQuote"/>
      </w:pPr>
      <w:r>
        <w:t>Правила 36.1(i) и 63.1(i). Национальное ведомство или межправительственная организация должны иметь по крайней мере 100 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46AAB020" w14:textId="011691EA" w:rsidR="009A31F1" w:rsidRDefault="009A31F1" w:rsidP="00D87365">
      <w:pPr>
        <w:pStyle w:val="RuleQuote"/>
        <w:ind w:left="0" w:right="53"/>
        <w:rPr>
          <w:i w:val="0"/>
          <w:iCs w:val="0"/>
        </w:rPr>
      </w:pPr>
      <w:r>
        <w:rPr>
          <w:i w:val="0"/>
        </w:rPr>
        <w:t xml:space="preserve"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 21.15(vi).  Орган также указывает следующую информацию о количестве сотрудников, обладающих квалификацией для проведения поиска и экспертизы.  </w:t>
      </w:r>
    </w:p>
    <w:p w14:paraId="7B23337F" w14:textId="77777777" w:rsidR="00C5047D" w:rsidRPr="00A1569E" w:rsidRDefault="00C5047D" w:rsidP="009A31F1">
      <w:pPr>
        <w:ind w:left="540"/>
        <w:jc w:val="both"/>
        <w:rPr>
          <w:rFonts w:ascii="Helvetica" w:hAnsi="Helvetica" w:cs="Helvetica"/>
          <w:color w:val="000000" w:themeColor="text1"/>
          <w:szCs w:val="22"/>
        </w:rPr>
      </w:pPr>
    </w:p>
    <w:p w14:paraId="70EE9A7D" w14:textId="77777777" w:rsidR="00C5047D" w:rsidRPr="009D0055" w:rsidRDefault="00C5047D" w:rsidP="009A31F1">
      <w:pPr>
        <w:ind w:left="540"/>
        <w:jc w:val="both"/>
        <w:rPr>
          <w:rFonts w:ascii="Helvetica" w:hAnsi="Helvetica" w:cs="Helvetica"/>
          <w:i/>
          <w:iCs/>
          <w:color w:val="000000" w:themeColor="text1"/>
          <w:szCs w:val="22"/>
        </w:rPr>
      </w:pPr>
    </w:p>
    <w:p w14:paraId="0066CCED" w14:textId="77777777" w:rsidR="00C5047D" w:rsidRDefault="00C5047D" w:rsidP="00E129EC">
      <w:pPr>
        <w:pStyle w:val="Question"/>
        <w:spacing w:after="480"/>
      </w:pPr>
      <w:r>
        <w:t>Количество сотрудников, обладающих квалификацией для проведения поиска и экспертизы: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640"/>
        <w:gridCol w:w="1313"/>
        <w:gridCol w:w="2386"/>
      </w:tblGrid>
      <w:tr w:rsidR="00F00598" w14:paraId="49538465" w14:textId="77777777" w:rsidTr="00EE0897">
        <w:trPr>
          <w:cantSplit/>
          <w:tblHeader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8514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Область техники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08D7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Число сотрудников (в пересчете на полную занятость)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D8E8" w14:textId="77777777" w:rsidR="00F00598" w:rsidRDefault="00F00598" w:rsidP="00EE0897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Средний стаж в качестве эксперта (в годах)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FA9F" w14:textId="77777777" w:rsidR="00F00598" w:rsidRDefault="00F00598" w:rsidP="00EE0897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Профессиональная специализация</w:t>
            </w:r>
          </w:p>
        </w:tc>
      </w:tr>
      <w:tr w:rsidR="00F00598" w14:paraId="7F9AE895" w14:textId="77777777" w:rsidTr="00EE0897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0058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E7CA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2643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696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90A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См. ниже</w:t>
            </w:r>
          </w:p>
        </w:tc>
      </w:tr>
      <w:tr w:rsidR="00F00598" w14:paraId="571C7860" w14:textId="77777777" w:rsidTr="00EE0897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A851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Электричество/электронные устройства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5EF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4086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1B10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B76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См. ниже</w:t>
            </w:r>
          </w:p>
        </w:tc>
      </w:tr>
      <w:tr w:rsidR="00F00598" w14:paraId="166291CE" w14:textId="77777777" w:rsidTr="00EE0897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D41D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32F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983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5C96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95E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См. ниже</w:t>
            </w:r>
          </w:p>
        </w:tc>
      </w:tr>
      <w:tr w:rsidR="00F00598" w14:paraId="63A047AF" w14:textId="77777777" w:rsidTr="00EE0897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44EE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Биотехнологии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808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812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587C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75F" w14:textId="77777777" w:rsidR="00F00598" w:rsidRDefault="00F00598" w:rsidP="00EE089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См. ниже</w:t>
            </w:r>
          </w:p>
        </w:tc>
      </w:tr>
      <w:tr w:rsidR="00F00598" w14:paraId="7E29A664" w14:textId="77777777" w:rsidTr="00EE0897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EC0E" w14:textId="77777777" w:rsidR="00F00598" w:rsidRDefault="00F00598" w:rsidP="00EE0897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Итого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2A4" w14:textId="77777777" w:rsidR="00F00598" w:rsidRDefault="00F00598" w:rsidP="00EE0897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8524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B834" w14:textId="77777777" w:rsidR="00F00598" w:rsidRDefault="00F00598" w:rsidP="00EE0897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892" w14:textId="77777777" w:rsidR="00F00598" w:rsidRDefault="00F00598" w:rsidP="00EE0897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</w:tr>
    </w:tbl>
    <w:p w14:paraId="44FA77DC" w14:textId="77777777" w:rsidR="00F00598" w:rsidRDefault="00F00598" w:rsidP="00C5047D">
      <w:pPr>
        <w:pStyle w:val="RuleQuote"/>
        <w:ind w:left="0"/>
        <w:rPr>
          <w:i w:val="0"/>
          <w:iCs w:val="0"/>
        </w:rPr>
      </w:pPr>
    </w:p>
    <w:p w14:paraId="1633CD0D" w14:textId="495F2199" w:rsidR="00C5047D" w:rsidRPr="00C73ED1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>Прочая информация, помимо отчета о системе УК и приведенной выше таблицы (необязательно):</w:t>
      </w:r>
    </w:p>
    <w:p w14:paraId="04C75A6E" w14:textId="69E1452B" w:rsidR="00F00598" w:rsidRPr="00B9724E" w:rsidRDefault="00F00598" w:rsidP="00F00598">
      <w:pPr>
        <w:pStyle w:val="RuleQuote"/>
        <w:ind w:left="0"/>
        <w:rPr>
          <w:bCs w:val="0"/>
          <w:i w:val="0"/>
          <w:iCs w:val="0"/>
        </w:rPr>
      </w:pPr>
      <w:r>
        <w:rPr>
          <w:i w:val="0"/>
        </w:rPr>
        <w:t xml:space="preserve">Источник данных:  </w:t>
      </w:r>
      <w:hyperlink r:id="rId12" w:history="1">
        <w:r>
          <w:rPr>
            <w:i w:val="0"/>
            <w:color w:val="0000FF"/>
            <w:u w:val="single"/>
          </w:rPr>
          <w:t>tcleveldashboard.xlsx</w:t>
        </w:r>
      </w:hyperlink>
    </w:p>
    <w:p w14:paraId="51D0B03C" w14:textId="3FAB12C4" w:rsidR="004C41CF" w:rsidRDefault="00F00598" w:rsidP="00F00598">
      <w:r>
        <w:t>Помимо ресурсов, указанных выше, ВПТЗ США привлекает на договорной основе дополнительные кадры для проведения международного поиска в соответствии с главой</w:t>
      </w:r>
      <w:r w:rsidR="00EB76C6">
        <w:rPr>
          <w:lang w:val="en-US"/>
        </w:rPr>
        <w:t> </w:t>
      </w:r>
      <w:r>
        <w:t>I РСТ, как отмечено в отчете Ведомства о системе УК.</w:t>
      </w:r>
    </w:p>
    <w:p w14:paraId="528B7E90" w14:textId="77777777" w:rsidR="004C41CF" w:rsidRDefault="004C41CF" w:rsidP="00F00598"/>
    <w:p w14:paraId="25CF7E80" w14:textId="376F643E" w:rsidR="0063331C" w:rsidRDefault="0063331C" w:rsidP="0063331C"/>
    <w:p w14:paraId="1DC1EF92" w14:textId="52716E46" w:rsidR="0063331C" w:rsidRDefault="0063331C" w:rsidP="004C41CF">
      <w:pPr>
        <w:pStyle w:val="RuleQuote"/>
        <w:ind w:left="0"/>
        <w:rPr>
          <w:bCs w:val="0"/>
          <w:i w:val="0"/>
          <w:iCs w:val="0"/>
        </w:rPr>
      </w:pPr>
      <w:r>
        <w:rPr>
          <w:i w:val="0"/>
        </w:rPr>
        <w:lastRenderedPageBreak/>
        <w:t>Профессиональная специализация</w:t>
      </w:r>
    </w:p>
    <w:p w14:paraId="1E36BBD1" w14:textId="050EA44E" w:rsidR="004C41CF" w:rsidRDefault="004C41CF" w:rsidP="004C41CF">
      <w:pPr>
        <w:pStyle w:val="RuleQuote"/>
        <w:ind w:left="0"/>
        <w:rPr>
          <w:bCs w:val="0"/>
          <w:i w:val="0"/>
          <w:iCs w:val="0"/>
        </w:rPr>
      </w:pPr>
      <w:r>
        <w:rPr>
          <w:i w:val="0"/>
        </w:rPr>
        <w:t>Ниже приводятся базовые требования к основной квалификации.  Нужно отметить, что при наборе кадров ВПТЗ США нередко целенаправленно отдает предпочтение более специфичным областям техники, и к квалификации этих специалистов могут применяться более специфичные требования.  Ниже приводится ряд примеров, включая область информатики и вычислительной техники.</w:t>
      </w:r>
    </w:p>
    <w:p w14:paraId="5580EC6C" w14:textId="77777777" w:rsidR="004C41CF" w:rsidRDefault="004C41CF" w:rsidP="004C41CF">
      <w:pPr>
        <w:pStyle w:val="RuleQuote"/>
        <w:ind w:left="0"/>
        <w:rPr>
          <w:bCs w:val="0"/>
          <w:i w:val="0"/>
          <w:iCs w:val="0"/>
        </w:rPr>
      </w:pPr>
      <w:r>
        <w:rPr>
          <w:i w:val="0"/>
        </w:rPr>
        <w:t>В общем плане</w:t>
      </w:r>
    </w:p>
    <w:p w14:paraId="22C073DB" w14:textId="154B7475" w:rsidR="004C41CF" w:rsidRDefault="004C41CF" w:rsidP="004C41CF">
      <w:pPr>
        <w:pStyle w:val="RuleQuote"/>
        <w:ind w:left="0"/>
        <w:rPr>
          <w:bCs w:val="0"/>
          <w:i w:val="0"/>
          <w:iCs w:val="0"/>
        </w:rPr>
      </w:pPr>
      <w:r>
        <w:rPr>
          <w:i w:val="0"/>
        </w:rPr>
        <w:t>либо</w:t>
      </w:r>
    </w:p>
    <w:p w14:paraId="6892F8B7" w14:textId="0C6B19E4" w:rsidR="004C41CF" w:rsidRPr="009B3093" w:rsidRDefault="004C41CF" w:rsidP="004C41CF">
      <w:pPr>
        <w:pStyle w:val="RuleQuote"/>
        <w:numPr>
          <w:ilvl w:val="0"/>
          <w:numId w:val="10"/>
        </w:numPr>
        <w:rPr>
          <w:bCs w:val="0"/>
          <w:i w:val="0"/>
          <w:iCs w:val="0"/>
        </w:rPr>
      </w:pPr>
      <w:r>
        <w:rPr>
          <w:i w:val="0"/>
        </w:rPr>
        <w:t>успешное прохождение полного четырехлетнего курса обучения в признанном университетском колледже или другом высшем учебном заведении с получением диплома бакалавра или более высокой степени в области инженерного дела ИЛИ сочетание образования требуемого профиля и опыта работы; ИЛИ</w:t>
      </w:r>
    </w:p>
    <w:p w14:paraId="03BF7778" w14:textId="38BE1CFE" w:rsidR="004C41CF" w:rsidRDefault="004C41CF" w:rsidP="004C41CF">
      <w:pPr>
        <w:pStyle w:val="RuleQuote"/>
        <w:numPr>
          <w:ilvl w:val="0"/>
          <w:numId w:val="10"/>
        </w:numPr>
        <w:rPr>
          <w:bCs w:val="0"/>
          <w:i w:val="0"/>
          <w:iCs w:val="0"/>
        </w:rPr>
      </w:pPr>
      <w:r>
        <w:rPr>
          <w:i w:val="0"/>
        </w:rPr>
        <w:t>сочетание образования и опыта работы.  Сочетание высшего образования, профессиональной подготовки и/или специального опыта должно обеспечить глубокие знания в области физико-математических наук, лежащих в основе профессиональной инженерной деятельности, И полноценное понимание технических наук и инженерных средств и методов, а также их применения в профессиональной деятельности как в теоретической, так и в практической плоскости.</w:t>
      </w:r>
    </w:p>
    <w:p w14:paraId="3AE243AF" w14:textId="77777777" w:rsidR="004C41CF" w:rsidRDefault="004C41CF" w:rsidP="004C41CF">
      <w:pPr>
        <w:pStyle w:val="RuleQuote"/>
        <w:ind w:left="0"/>
        <w:rPr>
          <w:bCs w:val="0"/>
          <w:i w:val="0"/>
          <w:iCs w:val="0"/>
        </w:rPr>
      </w:pPr>
      <w:r>
        <w:rPr>
          <w:i w:val="0"/>
        </w:rPr>
        <w:t>Химия</w:t>
      </w:r>
    </w:p>
    <w:p w14:paraId="6B8CC972" w14:textId="77777777" w:rsidR="004C41CF" w:rsidRDefault="004C41CF" w:rsidP="004C41CF">
      <w:pPr>
        <w:pStyle w:val="RuleQuote"/>
        <w:rPr>
          <w:bCs w:val="0"/>
          <w:i w:val="0"/>
          <w:iCs w:val="0"/>
        </w:rPr>
      </w:pPr>
      <w:bookmarkStart w:id="6" w:name="_Hlk215071061"/>
      <w:r>
        <w:rPr>
          <w:i w:val="0"/>
        </w:rPr>
        <w:t>либо</w:t>
      </w:r>
    </w:p>
    <w:bookmarkEnd w:id="6"/>
    <w:p w14:paraId="452790D5" w14:textId="03CCF4CE" w:rsidR="004C41CF" w:rsidRPr="00D73895" w:rsidRDefault="004C41CF" w:rsidP="004C41CF">
      <w:pPr>
        <w:pStyle w:val="RuleQuote"/>
        <w:rPr>
          <w:bCs w:val="0"/>
          <w:i w:val="0"/>
          <w:iCs w:val="0"/>
        </w:rPr>
      </w:pPr>
      <w:r>
        <w:rPr>
          <w:i w:val="0"/>
        </w:rPr>
        <w:t>A) Диплом не ниже бакалавра в области естественных наук, наук о жизни или инженерного дела по программе, насчитывающей 30 семестровых (зачетных) часов по химии, а также курсы по математике с изучением дифференциального и интегрального исчисления и не менее 6 семестровых часов по физике; ИЛИ</w:t>
      </w:r>
    </w:p>
    <w:p w14:paraId="1121F514" w14:textId="7354273D" w:rsidR="004C41CF" w:rsidRDefault="004C41CF" w:rsidP="004C41CF">
      <w:pPr>
        <w:pStyle w:val="RuleQuote"/>
        <w:rPr>
          <w:bCs w:val="0"/>
          <w:i w:val="0"/>
          <w:iCs w:val="0"/>
        </w:rPr>
      </w:pPr>
      <w:r>
        <w:rPr>
          <w:i w:val="0"/>
        </w:rPr>
        <w:t>B) сочетание образования и опыта: курсы, эквивалентные изучению профилирующей дисциплины, указанной в подпункте A выше, включая не менее 30 семестровых часов по химии, а также изучение математики на уровне дифференциального и интегрального исчисления и не менее 6</w:t>
      </w:r>
      <w:r w:rsidR="00EB76C6">
        <w:rPr>
          <w:i w:val="0"/>
          <w:lang w:val="en-US"/>
        </w:rPr>
        <w:t> </w:t>
      </w:r>
      <w:r>
        <w:rPr>
          <w:i w:val="0"/>
        </w:rPr>
        <w:t>семестровых часов по физике, помимо соответствующего опыта или дополнительного образования.</w:t>
      </w:r>
    </w:p>
    <w:p w14:paraId="1C7C6FD8" w14:textId="77777777" w:rsidR="004C41CF" w:rsidRDefault="004C41CF" w:rsidP="004C41CF">
      <w:pPr>
        <w:pStyle w:val="RuleQuote"/>
        <w:ind w:left="0"/>
        <w:rPr>
          <w:bCs w:val="0"/>
          <w:i w:val="0"/>
          <w:iCs w:val="0"/>
        </w:rPr>
      </w:pPr>
      <w:r>
        <w:rPr>
          <w:i w:val="0"/>
        </w:rPr>
        <w:t>Информатика и вычислительная техника</w:t>
      </w:r>
    </w:p>
    <w:p w14:paraId="6E0F2705" w14:textId="77777777" w:rsidR="004C41CF" w:rsidRDefault="004C41CF" w:rsidP="004C41CF">
      <w:pPr>
        <w:pStyle w:val="RuleQuote"/>
        <w:rPr>
          <w:bCs w:val="0"/>
          <w:i w:val="0"/>
          <w:iCs w:val="0"/>
        </w:rPr>
      </w:pPr>
      <w:r>
        <w:rPr>
          <w:i w:val="0"/>
        </w:rPr>
        <w:t>либо</w:t>
      </w:r>
    </w:p>
    <w:p w14:paraId="78870CAC" w14:textId="68D8466B" w:rsidR="0063331C" w:rsidRPr="00D5173C" w:rsidRDefault="0063331C" w:rsidP="0063331C">
      <w:pPr>
        <w:pStyle w:val="RuleQuote"/>
        <w:rPr>
          <w:bCs w:val="0"/>
          <w:i w:val="0"/>
          <w:iCs w:val="0"/>
        </w:rPr>
      </w:pPr>
      <w:r>
        <w:rPr>
          <w:i w:val="0"/>
        </w:rPr>
        <w:t>A) диплом бакалавра в области информатики и вычислительной техники; ИЛИ</w:t>
      </w:r>
    </w:p>
    <w:p w14:paraId="1E1DDBAF" w14:textId="706B021B" w:rsidR="0063331C" w:rsidRPr="0063331C" w:rsidRDefault="0063331C" w:rsidP="0063331C">
      <w:pPr>
        <w:pStyle w:val="RuleQuote"/>
        <w:rPr>
          <w:bCs w:val="0"/>
          <w:i w:val="0"/>
          <w:iCs w:val="0"/>
        </w:rPr>
      </w:pPr>
      <w:r>
        <w:rPr>
          <w:i w:val="0"/>
        </w:rPr>
        <w:t>B) диплом бакалавра по программе, насчитывающей 30 семестровых часов по математике, статистике и информатике и вычислительной технике в сочетании.  Не менее 15 из 30 семестровых часов должны представлять собой сочетание статистики и математики с изучением дифференциального и интегрального исчисления. Все дипломы о высшем образовании и курсы должны быть получены или пройдены в признанных или предварительно аккредитованных учебных заведениях.</w:t>
      </w:r>
    </w:p>
    <w:p w14:paraId="60AF6307" w14:textId="53C35BCC" w:rsidR="00C5047D" w:rsidRPr="002B3808" w:rsidRDefault="00C5047D" w:rsidP="00C5047D">
      <w:pPr>
        <w:pStyle w:val="SectionHeading"/>
      </w:pPr>
      <w:r>
        <w:t>2.2 – МИНИМУМ ДОКУМЕНТАЦИИ – ПРЕДОСТАВЛЕНИЕ ДЛЯ ОЗНАКОМЛЕНИЯ</w:t>
      </w:r>
    </w:p>
    <w:p w14:paraId="44503BDA" w14:textId="77777777" w:rsidR="00C5047D" w:rsidRDefault="00C5047D" w:rsidP="00C5047D">
      <w:pPr>
        <w:pStyle w:val="RuleQuote"/>
      </w:pPr>
      <w:r>
        <w:t>Правила 36.1(ii) и 63.1(ii).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5514EF50" w14:textId="3D8E2FF5" w:rsidR="00C5047D" w:rsidRDefault="00C5047D" w:rsidP="00C5047D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3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1F2DB717" w14:textId="37518DB8" w:rsidR="00C5047D" w:rsidRDefault="00C5047D" w:rsidP="00C5047D">
      <w:pPr>
        <w:pStyle w:val="Question"/>
        <w:spacing w:after="0"/>
        <w:rPr>
          <w:b w:val="0"/>
          <w:bCs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</w:rPr>
        <w:br/>
      </w:r>
      <w:r>
        <w:rPr>
          <w:b w:val="0"/>
        </w:rPr>
        <w:br/>
        <w:t>Либо</w:t>
      </w:r>
      <w:r>
        <w:rPr>
          <w:b w:val="0"/>
        </w:rPr>
        <w:br/>
      </w:r>
      <w:r>
        <w:rPr>
          <w:b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Информация об объеме и формате документов, которые были предоставлены Органом для ознакомления, опубликована в Бюллетене PCT 30 октября 2025 года по адресу:  </w:t>
      </w:r>
      <w:hyperlink r:id="rId14" w:history="1">
        <w:r>
          <w:rPr>
            <w:rStyle w:val="Hyperlink"/>
            <w:b w:val="0"/>
          </w:rPr>
          <w:t>https://www.wipo.int/documents/d/pct-system/docs-en-official-notices-officialnotices.pdf#page=216</w:t>
        </w:r>
      </w:hyperlink>
      <w:r>
        <w:rPr>
          <w:b w:val="0"/>
        </w:rPr>
        <w:t>.</w:t>
      </w:r>
    </w:p>
    <w:p w14:paraId="37D5BDD4" w14:textId="77777777" w:rsidR="00C5047D" w:rsidRDefault="00C5047D" w:rsidP="00C5047D">
      <w:pPr>
        <w:pStyle w:val="Answer"/>
      </w:pPr>
    </w:p>
    <w:p w14:paraId="1DE04B01" w14:textId="77777777" w:rsidR="00C5047D" w:rsidRDefault="00C5047D" w:rsidP="00C5047D">
      <w:pPr>
        <w:pStyle w:val="Answer"/>
        <w:ind w:left="0"/>
      </w:pPr>
      <w:r>
        <w:t>Либо:</w:t>
      </w:r>
    </w:p>
    <w:p w14:paraId="5487139A" w14:textId="77777777" w:rsidR="00141C5C" w:rsidRDefault="00141C5C" w:rsidP="00C5047D">
      <w:pPr>
        <w:pStyle w:val="Answer"/>
        <w:ind w:left="0"/>
      </w:pPr>
    </w:p>
    <w:p w14:paraId="29122C8D" w14:textId="1288FD07" w:rsidR="006A5C36" w:rsidRDefault="007E1EDA" w:rsidP="00C5047D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C36">
            <w:rPr>
              <w:rFonts w:ascii="MS Gothic" w:eastAsia="MS Gothic" w:hAnsi="MS Gothic" w:hint="eastAsia"/>
            </w:rPr>
            <w:t>☐</w:t>
          </w:r>
        </w:sdtContent>
      </w:sdt>
      <w:r w:rsidR="005614E2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19A4C13D" w14:textId="77777777" w:rsidR="00C5047D" w:rsidRPr="002B3808" w:rsidRDefault="00C5047D" w:rsidP="00C5047D">
      <w:pPr>
        <w:pStyle w:val="SectionHeading"/>
      </w:pPr>
      <w:r>
        <w:t>2.3 – МИНИМУМ ДОКУМЕНТАЦИИ – ДОСТУП</w:t>
      </w:r>
    </w:p>
    <w:p w14:paraId="6096117B" w14:textId="77777777" w:rsidR="00C5047D" w:rsidRDefault="00C5047D" w:rsidP="00C5047D">
      <w:pPr>
        <w:pStyle w:val="RuleQuote"/>
        <w:rPr>
          <w:i w:val="0"/>
          <w:iCs w:val="0"/>
        </w:rPr>
      </w:pPr>
      <w:r>
        <w:t>Правила 36.1(iii) и 63.1(iii).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8299118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6DB037C2" w14:textId="5D07E27F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(необязательно):  </w:t>
      </w:r>
    </w:p>
    <w:p w14:paraId="61FFA6D9" w14:textId="77777777" w:rsidR="004E7E2F" w:rsidRDefault="004E7E2F" w:rsidP="00C5047D">
      <w:pPr>
        <w:pStyle w:val="RuleQuote"/>
        <w:ind w:left="0"/>
        <w:rPr>
          <w:i w:val="0"/>
          <w:iCs w:val="0"/>
        </w:rPr>
      </w:pPr>
    </w:p>
    <w:p w14:paraId="6EF613BF" w14:textId="08A591F5" w:rsidR="00C5047D" w:rsidRPr="002B3808" w:rsidRDefault="00C5047D" w:rsidP="00C5047D">
      <w:pPr>
        <w:pStyle w:val="SectionHeading"/>
      </w:pPr>
      <w:r>
        <w:t>2.4 – УПРАВЛЕНИЕ КАЧЕСТВОМ</w:t>
      </w:r>
    </w:p>
    <w:p w14:paraId="71608889" w14:textId="77777777" w:rsidR="00C5047D" w:rsidRDefault="00C5047D" w:rsidP="00C5047D">
      <w:pPr>
        <w:pStyle w:val="RuleQuote"/>
      </w:pPr>
      <w:r>
        <w:t>Правила 36.1(iv) и 63.1(iv).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1F62DD3E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3CB44395" w14:textId="37200028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(необязательно):  </w:t>
      </w:r>
    </w:p>
    <w:p w14:paraId="21916F50" w14:textId="77777777" w:rsidR="004E7E2F" w:rsidRDefault="004E7E2F" w:rsidP="00C5047D">
      <w:pPr>
        <w:pStyle w:val="RuleQuote"/>
        <w:ind w:left="0"/>
        <w:rPr>
          <w:i w:val="0"/>
          <w:iCs w:val="0"/>
        </w:rPr>
      </w:pPr>
    </w:p>
    <w:p w14:paraId="3B307B49" w14:textId="77777777" w:rsidR="00C5047D" w:rsidRDefault="00C5047D" w:rsidP="00C5047D">
      <w:pPr>
        <w:pStyle w:val="SectionHeading"/>
      </w:pPr>
      <w:r>
        <w:t>3 – СФЕРА ДЕЯТЕЛЬНОСТИ</w:t>
      </w:r>
    </w:p>
    <w:p w14:paraId="4DF663EE" w14:textId="77777777" w:rsidR="00C5047D" w:rsidRDefault="00C5047D" w:rsidP="00C5047D">
      <w:pPr>
        <w:pStyle w:val="Question"/>
        <w:numPr>
          <w:ilvl w:val="0"/>
          <w:numId w:val="8"/>
        </w:numPr>
        <w:spacing w:after="240"/>
        <w:rPr>
          <w:i/>
          <w:iCs/>
        </w:rPr>
      </w:pPr>
      <w:r>
        <w:tab/>
        <w:t>Сфера деятельности в текущий период</w:t>
      </w:r>
    </w:p>
    <w:p w14:paraId="00647516" w14:textId="4086DDD3" w:rsidR="00C5047D" w:rsidRPr="003F6F01" w:rsidRDefault="00C5047D" w:rsidP="00C5047D">
      <w:pPr>
        <w:pStyle w:val="Question"/>
        <w:keepNext w:val="0"/>
        <w:spacing w:after="480"/>
      </w:pPr>
      <w:r>
        <w:t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следующим ссылкам</w:t>
      </w:r>
      <w:bookmarkStart w:id="7" w:name="_Hlk214637647"/>
      <w:r>
        <w:rPr>
          <w:b w:val="0"/>
        </w:rPr>
        <w:t xml:space="preserve">:  </w:t>
      </w:r>
      <w:hyperlink r:id="rId15" w:history="1">
        <w:r>
          <w:rPr>
            <w:rStyle w:val="Hyperlink"/>
            <w:b w:val="0"/>
          </w:rPr>
          <w:t>https://pctlegal.wipo.int/eGuide/view-doc.xhtml?doc-code=US&amp;doc-lang=en#ISA</w:t>
        </w:r>
      </w:hyperlink>
      <w:r>
        <w:rPr>
          <w:b w:val="0"/>
        </w:rPr>
        <w:t xml:space="preserve"> и</w:t>
      </w:r>
      <w:bookmarkEnd w:id="7"/>
      <w:r>
        <w:rPr>
          <w:b w:val="0"/>
        </w:rPr>
        <w:t xml:space="preserve"> </w:t>
      </w:r>
      <w:hyperlink r:id="rId16" w:history="1">
        <w:r>
          <w:rPr>
            <w:rStyle w:val="Hyperlink"/>
            <w:b w:val="0"/>
          </w:rPr>
          <w:t>https://pctlegal.wipo.int/eGuide/view-doc.xhtml?doc-code=US&amp;doc-lang=en#IPEA</w:t>
        </w:r>
      </w:hyperlink>
      <w:r>
        <w:rPr>
          <w:b w:val="0"/>
          <w:i/>
        </w:rPr>
        <w:t>.</w:t>
      </w:r>
    </w:p>
    <w:p w14:paraId="28EC7561" w14:textId="15DC26C3" w:rsidR="00C5047D" w:rsidRDefault="00C5047D" w:rsidP="00C5047D">
      <w:pPr>
        <w:pStyle w:val="Question"/>
        <w:numPr>
          <w:ilvl w:val="0"/>
          <w:numId w:val="8"/>
        </w:numPr>
        <w:spacing w:after="240"/>
      </w:pPr>
      <w:r>
        <w:t xml:space="preserve">   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  </w:t>
      </w:r>
    </w:p>
    <w:p w14:paraId="3CB68C76" w14:textId="77777777" w:rsidR="004E7E2F" w:rsidRPr="004E7E2F" w:rsidRDefault="004E7E2F" w:rsidP="004E7E2F">
      <w:pPr>
        <w:pStyle w:val="Answer"/>
      </w:pPr>
    </w:p>
    <w:p w14:paraId="0330D9AA" w14:textId="77777777" w:rsidR="00C5047D" w:rsidRPr="002B3808" w:rsidRDefault="00C5047D" w:rsidP="00C5047D">
      <w:pPr>
        <w:pStyle w:val="SectionHeading"/>
      </w:pPr>
      <w:r>
        <w:t>4 – ПРОЧЕЕ</w:t>
      </w:r>
    </w:p>
    <w:p w14:paraId="041B071C" w14:textId="77777777" w:rsidR="00C5047D" w:rsidRDefault="00C5047D" w:rsidP="00C5047D">
      <w: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1BEC6111" w14:textId="77777777" w:rsidR="00C5047D" w:rsidRDefault="00C5047D" w:rsidP="00C5047D"/>
    <w:p w14:paraId="565493DE" w14:textId="77777777" w:rsidR="00C5047D" w:rsidRPr="006106E3" w:rsidRDefault="00C5047D" w:rsidP="00C5047D">
      <w:pPr>
        <w:pStyle w:val="SectionHeading"/>
      </w:pPr>
    </w:p>
    <w:p w14:paraId="05B9A047" w14:textId="77777777" w:rsidR="00C5047D" w:rsidRPr="00E64639" w:rsidRDefault="00C5047D" w:rsidP="00C5047D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p w14:paraId="3B3E50D2" w14:textId="77777777" w:rsidR="00C5047D" w:rsidRPr="009A31F1" w:rsidRDefault="00C5047D" w:rsidP="00C5047D"/>
    <w:sectPr w:rsidR="00C5047D" w:rsidRPr="009A31F1" w:rsidSect="009A31F1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CEF3" w14:textId="77777777" w:rsidR="00A77BA7" w:rsidRDefault="00A77BA7">
      <w:r>
        <w:separator/>
      </w:r>
    </w:p>
  </w:endnote>
  <w:endnote w:type="continuationSeparator" w:id="0">
    <w:p w14:paraId="6C93BF77" w14:textId="77777777" w:rsidR="00A77BA7" w:rsidRDefault="00A77BA7" w:rsidP="003B38C1">
      <w:r>
        <w:separator/>
      </w:r>
    </w:p>
    <w:p w14:paraId="7B2521F3" w14:textId="77777777" w:rsidR="00A77BA7" w:rsidRPr="006106E3" w:rsidRDefault="00A77BA7" w:rsidP="003B38C1">
      <w:pPr>
        <w:spacing w:after="60"/>
        <w:rPr>
          <w:sz w:val="17"/>
          <w:lang w:val="en-US"/>
        </w:rPr>
      </w:pPr>
      <w:r w:rsidRPr="006106E3">
        <w:rPr>
          <w:sz w:val="17"/>
          <w:lang w:val="en-US"/>
        </w:rPr>
        <w:t>[Endnote continued from previous page]</w:t>
      </w:r>
    </w:p>
  </w:endnote>
  <w:endnote w:type="continuationNotice" w:id="1">
    <w:p w14:paraId="0C0797C7" w14:textId="77777777" w:rsidR="00A77BA7" w:rsidRPr="006106E3" w:rsidRDefault="00A77BA7" w:rsidP="003B38C1">
      <w:pPr>
        <w:spacing w:before="60"/>
        <w:jc w:val="right"/>
        <w:rPr>
          <w:sz w:val="17"/>
          <w:szCs w:val="17"/>
          <w:lang w:val="en-US"/>
        </w:rPr>
      </w:pPr>
      <w:r w:rsidRPr="006106E3">
        <w:rPr>
          <w:sz w:val="17"/>
          <w:szCs w:val="17"/>
          <w:lang w:val="en-US"/>
        </w:rPr>
        <w:t xml:space="preserve">[Endnote </w:t>
      </w:r>
      <w:proofErr w:type="gramStart"/>
      <w:r w:rsidRPr="006106E3">
        <w:rPr>
          <w:sz w:val="17"/>
          <w:szCs w:val="17"/>
          <w:lang w:val="en-US"/>
        </w:rPr>
        <w:t>continued on</w:t>
      </w:r>
      <w:proofErr w:type="gramEnd"/>
      <w:r w:rsidRPr="006106E3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FF39" w14:textId="77777777" w:rsidR="00A77BA7" w:rsidRDefault="00A77BA7">
      <w:r>
        <w:separator/>
      </w:r>
    </w:p>
  </w:footnote>
  <w:footnote w:type="continuationSeparator" w:id="0">
    <w:p w14:paraId="15E72BDB" w14:textId="77777777" w:rsidR="00A77BA7" w:rsidRDefault="00A77BA7" w:rsidP="008B60B2">
      <w:r>
        <w:separator/>
      </w:r>
    </w:p>
    <w:p w14:paraId="608A253B" w14:textId="77777777" w:rsidR="00A77BA7" w:rsidRPr="006106E3" w:rsidRDefault="00A77BA7" w:rsidP="008B60B2">
      <w:pPr>
        <w:spacing w:after="60"/>
        <w:rPr>
          <w:sz w:val="17"/>
          <w:szCs w:val="17"/>
          <w:lang w:val="en-US"/>
        </w:rPr>
      </w:pPr>
      <w:r w:rsidRPr="006106E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3031B32" w14:textId="77777777" w:rsidR="00A77BA7" w:rsidRPr="006106E3" w:rsidRDefault="00A77BA7" w:rsidP="008B60B2">
      <w:pPr>
        <w:spacing w:before="60"/>
        <w:jc w:val="right"/>
        <w:rPr>
          <w:sz w:val="17"/>
          <w:szCs w:val="17"/>
          <w:lang w:val="en-US"/>
        </w:rPr>
      </w:pPr>
      <w:r w:rsidRPr="006106E3">
        <w:rPr>
          <w:sz w:val="17"/>
          <w:szCs w:val="17"/>
          <w:lang w:val="en-US"/>
        </w:rPr>
        <w:t xml:space="preserve">[Footnote </w:t>
      </w:r>
      <w:proofErr w:type="gramStart"/>
      <w:r w:rsidRPr="006106E3">
        <w:rPr>
          <w:sz w:val="17"/>
          <w:szCs w:val="17"/>
          <w:lang w:val="en-US"/>
        </w:rPr>
        <w:t>continued on</w:t>
      </w:r>
      <w:proofErr w:type="gramEnd"/>
      <w:r w:rsidRPr="006106E3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6DE7DF72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PCT/CTC/33/24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>Приложение, стр.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7E1EDA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3283CC13" w:rsidR="009A31F1" w:rsidRDefault="009A31F1" w:rsidP="009A31F1">
    <w:pPr>
      <w:pStyle w:val="Header"/>
      <w:jc w:val="right"/>
    </w:pPr>
    <w:r>
      <w:tab/>
    </w:r>
    <w:r>
      <w:t>PCT/CTC/33/24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A0173E"/>
    <w:multiLevelType w:val="hybridMultilevel"/>
    <w:tmpl w:val="5B2E56E6"/>
    <w:lvl w:ilvl="0" w:tplc="CAE2D1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  <w:num w:numId="10" w16cid:durableId="1232888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7CD7"/>
    <w:rsid w:val="00043CAA"/>
    <w:rsid w:val="00056816"/>
    <w:rsid w:val="00075432"/>
    <w:rsid w:val="000756C6"/>
    <w:rsid w:val="00092AAB"/>
    <w:rsid w:val="000968ED"/>
    <w:rsid w:val="000A3D97"/>
    <w:rsid w:val="000A480B"/>
    <w:rsid w:val="000A6309"/>
    <w:rsid w:val="000D46FE"/>
    <w:rsid w:val="000F5E56"/>
    <w:rsid w:val="00111BB0"/>
    <w:rsid w:val="001136E5"/>
    <w:rsid w:val="001362EE"/>
    <w:rsid w:val="00141C5C"/>
    <w:rsid w:val="001647D5"/>
    <w:rsid w:val="001832A6"/>
    <w:rsid w:val="001B316A"/>
    <w:rsid w:val="001D4107"/>
    <w:rsid w:val="001F1115"/>
    <w:rsid w:val="00203D24"/>
    <w:rsid w:val="0021217E"/>
    <w:rsid w:val="00217FB1"/>
    <w:rsid w:val="002326AB"/>
    <w:rsid w:val="00243430"/>
    <w:rsid w:val="00253068"/>
    <w:rsid w:val="002634C4"/>
    <w:rsid w:val="002713DE"/>
    <w:rsid w:val="002928D3"/>
    <w:rsid w:val="002A398E"/>
    <w:rsid w:val="002A7554"/>
    <w:rsid w:val="002C5A18"/>
    <w:rsid w:val="002E29C7"/>
    <w:rsid w:val="002F1FE6"/>
    <w:rsid w:val="002F4E68"/>
    <w:rsid w:val="00312F7F"/>
    <w:rsid w:val="0034197A"/>
    <w:rsid w:val="00361450"/>
    <w:rsid w:val="003673CF"/>
    <w:rsid w:val="0038192C"/>
    <w:rsid w:val="003845C1"/>
    <w:rsid w:val="00397B19"/>
    <w:rsid w:val="003A6F89"/>
    <w:rsid w:val="003B38C1"/>
    <w:rsid w:val="003C34E9"/>
    <w:rsid w:val="003E65D4"/>
    <w:rsid w:val="003F6F01"/>
    <w:rsid w:val="00423E3E"/>
    <w:rsid w:val="00427AF4"/>
    <w:rsid w:val="00460698"/>
    <w:rsid w:val="004647DA"/>
    <w:rsid w:val="00466D9E"/>
    <w:rsid w:val="00473C18"/>
    <w:rsid w:val="00474062"/>
    <w:rsid w:val="00477D6B"/>
    <w:rsid w:val="00480FAD"/>
    <w:rsid w:val="004B446A"/>
    <w:rsid w:val="004B6994"/>
    <w:rsid w:val="004C41CF"/>
    <w:rsid w:val="004E7E2F"/>
    <w:rsid w:val="005019FF"/>
    <w:rsid w:val="00501C31"/>
    <w:rsid w:val="00517EBA"/>
    <w:rsid w:val="0053057A"/>
    <w:rsid w:val="00544724"/>
    <w:rsid w:val="00556076"/>
    <w:rsid w:val="00560A29"/>
    <w:rsid w:val="005614E2"/>
    <w:rsid w:val="005C6649"/>
    <w:rsid w:val="005C79F6"/>
    <w:rsid w:val="00605827"/>
    <w:rsid w:val="006106E3"/>
    <w:rsid w:val="0063331C"/>
    <w:rsid w:val="00646050"/>
    <w:rsid w:val="00647CAE"/>
    <w:rsid w:val="006713CA"/>
    <w:rsid w:val="00676C5C"/>
    <w:rsid w:val="006916DB"/>
    <w:rsid w:val="006A4A38"/>
    <w:rsid w:val="006A5C36"/>
    <w:rsid w:val="006C238E"/>
    <w:rsid w:val="006C712A"/>
    <w:rsid w:val="006F04BC"/>
    <w:rsid w:val="006F7742"/>
    <w:rsid w:val="00720EFD"/>
    <w:rsid w:val="00723855"/>
    <w:rsid w:val="00730164"/>
    <w:rsid w:val="00752359"/>
    <w:rsid w:val="00756C6B"/>
    <w:rsid w:val="007578A4"/>
    <w:rsid w:val="00761CD8"/>
    <w:rsid w:val="007837EB"/>
    <w:rsid w:val="007854AF"/>
    <w:rsid w:val="00793A7C"/>
    <w:rsid w:val="007A398A"/>
    <w:rsid w:val="007A3EC4"/>
    <w:rsid w:val="007D0724"/>
    <w:rsid w:val="007D1613"/>
    <w:rsid w:val="007E4C0E"/>
    <w:rsid w:val="008543C9"/>
    <w:rsid w:val="008769C1"/>
    <w:rsid w:val="008A134B"/>
    <w:rsid w:val="008B2CC1"/>
    <w:rsid w:val="008B60B2"/>
    <w:rsid w:val="008E1297"/>
    <w:rsid w:val="0090731E"/>
    <w:rsid w:val="009164E6"/>
    <w:rsid w:val="00916EE2"/>
    <w:rsid w:val="00936531"/>
    <w:rsid w:val="00966A22"/>
    <w:rsid w:val="0096722F"/>
    <w:rsid w:val="00980843"/>
    <w:rsid w:val="009A31F1"/>
    <w:rsid w:val="009A3FD0"/>
    <w:rsid w:val="009A53C9"/>
    <w:rsid w:val="009E2791"/>
    <w:rsid w:val="009E3F6F"/>
    <w:rsid w:val="009E67E7"/>
    <w:rsid w:val="009F499F"/>
    <w:rsid w:val="00A0628B"/>
    <w:rsid w:val="00A1569E"/>
    <w:rsid w:val="00A37342"/>
    <w:rsid w:val="00A42DAF"/>
    <w:rsid w:val="00A45BD8"/>
    <w:rsid w:val="00A53F2A"/>
    <w:rsid w:val="00A77BA7"/>
    <w:rsid w:val="00A869B7"/>
    <w:rsid w:val="00A90F0A"/>
    <w:rsid w:val="00AC205C"/>
    <w:rsid w:val="00AC3AD6"/>
    <w:rsid w:val="00AC4B8D"/>
    <w:rsid w:val="00AF0A6B"/>
    <w:rsid w:val="00B0073F"/>
    <w:rsid w:val="00B00D48"/>
    <w:rsid w:val="00B05A69"/>
    <w:rsid w:val="00B442F5"/>
    <w:rsid w:val="00B57D90"/>
    <w:rsid w:val="00B75281"/>
    <w:rsid w:val="00B81893"/>
    <w:rsid w:val="00B92F1F"/>
    <w:rsid w:val="00B9724E"/>
    <w:rsid w:val="00B9734B"/>
    <w:rsid w:val="00BA30E2"/>
    <w:rsid w:val="00BC039A"/>
    <w:rsid w:val="00BE5A39"/>
    <w:rsid w:val="00C014ED"/>
    <w:rsid w:val="00C11BFE"/>
    <w:rsid w:val="00C22B2B"/>
    <w:rsid w:val="00C5047D"/>
    <w:rsid w:val="00C5068F"/>
    <w:rsid w:val="00C70563"/>
    <w:rsid w:val="00C73ED1"/>
    <w:rsid w:val="00C86D74"/>
    <w:rsid w:val="00CD04F1"/>
    <w:rsid w:val="00CF681A"/>
    <w:rsid w:val="00D07C78"/>
    <w:rsid w:val="00D174C2"/>
    <w:rsid w:val="00D45252"/>
    <w:rsid w:val="00D50FB2"/>
    <w:rsid w:val="00D71B4D"/>
    <w:rsid w:val="00D87365"/>
    <w:rsid w:val="00D93D55"/>
    <w:rsid w:val="00DC7FB1"/>
    <w:rsid w:val="00DD7B7F"/>
    <w:rsid w:val="00E129EC"/>
    <w:rsid w:val="00E15015"/>
    <w:rsid w:val="00E335FE"/>
    <w:rsid w:val="00E82F6F"/>
    <w:rsid w:val="00E955BE"/>
    <w:rsid w:val="00EA6422"/>
    <w:rsid w:val="00EA7D6E"/>
    <w:rsid w:val="00EB2F76"/>
    <w:rsid w:val="00EB76C6"/>
    <w:rsid w:val="00EC4E49"/>
    <w:rsid w:val="00EC68D9"/>
    <w:rsid w:val="00ED77FB"/>
    <w:rsid w:val="00EE45FA"/>
    <w:rsid w:val="00F00598"/>
    <w:rsid w:val="00F043DE"/>
    <w:rsid w:val="00F63809"/>
    <w:rsid w:val="00F66152"/>
    <w:rsid w:val="00F83A51"/>
    <w:rsid w:val="00F9165B"/>
    <w:rsid w:val="00FB21FF"/>
    <w:rsid w:val="00FB4EAD"/>
    <w:rsid w:val="00FC3A37"/>
    <w:rsid w:val="00FC482F"/>
    <w:rsid w:val="00FE0B36"/>
    <w:rsid w:val="00FE51F0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1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xport/sites/www/pct/en/docs/circulars/2024/1672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www.uspto.gov%2Fdashboard%2Fdata%2Fpatents%2Ftcleveldashboard.xlsx&amp;wdOrigin=BROWSELIN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\\adi.wipo.int\wipodata\DAT1\OrgPctLdev\Shared\WIPO%20meetings%20-%20PCT\PCT-CTC-33\Applications%20for%20extension%20of%20appointment\US\pct_ctc_33_23%20draft%20US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n/web/pct-system/quality/author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adi.wipo.int\wipodata\DAT1\OrgPctLdev\Shared\WIPO%20meetings%20-%20PCT\PCT-CTC-33\Applications%20for%20extension%20of%20appointment\US\pct_ctc_33_23%20draft%20US.docx" TargetMode="External"/><Relationship Id="rId10" Type="http://schemas.openxmlformats.org/officeDocument/2006/relationships/hyperlink" Target="mailto:michael.neas@uspto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\\adi.wipo.int\wipodata\DAT1\OrgPctLdev\Shared\WIPO%20meetings%20-%20PCT\PCT-CTC-33\Applications%20for%20extension%20of%20appointment\US\pct_ctc_33_23%20draft%20US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1</TotalTime>
  <Pages>7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PCT/CTC/33/24</vt:lpstr>
    </vt:vector>
  </TitlesOfParts>
  <Company>WIPO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PCT/CTC/33/24</dc:title>
  <dc:subject>Extension of Apointment of the United States Patent and Trademark Office as an International Searching and Preliminary Examining Authority Under the PCT</dc:subject>
  <dc:creator>NOVRUZOVA Elnara</dc:creator>
  <cp:keywords/>
  <cp:lastModifiedBy>MARLOW Thomas</cp:lastModifiedBy>
  <cp:revision>2</cp:revision>
  <cp:lastPrinted>2025-11-24T16:36:00Z</cp:lastPrinted>
  <dcterms:created xsi:type="dcterms:W3CDTF">2026-01-06T16:55:00Z</dcterms:created>
  <dcterms:modified xsi:type="dcterms:W3CDTF">2026-01-06T16:55:00Z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2025-11-25T10:05:25Z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d3d95821-a61b-495d-b730-f8128df5797b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