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2CCB0E0F" w:rsidR="008B2CC1" w:rsidRPr="00F043DE" w:rsidRDefault="00F97351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04E72268" wp14:editId="7BBE03B0">
            <wp:extent cx="3246120" cy="1493520"/>
            <wp:effectExtent l="0" t="0" r="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72120363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2</w:t>
      </w:r>
    </w:p>
    <w:p w14:paraId="4157C28F" w14:textId="0D3CCB0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9C5310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CFCDC6" w14:textId="36F85F8A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9C5310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19 ДЕКАБРЯ 2025 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bCs/>
          <w:sz w:val="28"/>
          <w:szCs w:val="24"/>
        </w:rPr>
        <w:t>Договор о патентной кооперации (PCT)</w:t>
      </w:r>
      <w:r>
        <w:rPr>
          <w:b/>
          <w:bCs/>
          <w:sz w:val="28"/>
          <w:szCs w:val="24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третья сессия</w:t>
      </w:r>
    </w:p>
    <w:p w14:paraId="40D1F4FD" w14:textId="3F991AE1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2–6</w:t>
      </w:r>
      <w:r w:rsidR="009C5310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</w:rPr>
        <w:t>февраля 2026</w:t>
      </w:r>
      <w:r w:rsidR="009C5310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</w:rPr>
        <w:t>года</w:t>
      </w:r>
    </w:p>
    <w:p w14:paraId="51B065A7" w14:textId="120863AE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АВСТРИЙСКОГО ПАТЕНТНОГО ВЕДОМСТВА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D7EDE1F" w:rsidR="002326AB" w:rsidRDefault="009A31F1" w:rsidP="002326AB">
      <w:pPr>
        <w:spacing w:after="220"/>
      </w:pPr>
      <w:r>
        <w:t>1.</w:t>
      </w:r>
      <w:r>
        <w:tab/>
      </w:r>
      <w:r w:rsidR="009C5310" w:rsidRPr="009C5310">
        <w:t>Все действующие международные органы были назначены Ассамблеей РСТ на срок, заканчивающийся 31</w:t>
      </w:r>
      <w:r w:rsidR="009C5310">
        <w:rPr>
          <w:lang w:val="en-GB"/>
        </w:rPr>
        <w:t> </w:t>
      </w:r>
      <w:r w:rsidR="009C5310" w:rsidRPr="009C5310">
        <w:t>декабря 2027</w:t>
      </w:r>
      <w:r w:rsidR="009C5310">
        <w:rPr>
          <w:lang w:val="en-GB"/>
        </w:rPr>
        <w:t> </w:t>
      </w:r>
      <w:r w:rsidR="009C5310" w:rsidRPr="009C5310">
        <w:t>года.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</w:t>
      </w:r>
      <w:r w:rsidR="009C5310" w:rsidRPr="009C5310">
        <w:rPr>
          <w:lang w:val="en-US"/>
        </w:rPr>
        <w:t> </w:t>
      </w:r>
      <w:r w:rsidR="009C5310" w:rsidRPr="009C5310">
        <w:t>статьи</w:t>
      </w:r>
      <w:r w:rsidR="009C5310" w:rsidRPr="009C5310">
        <w:rPr>
          <w:lang w:val="en-US"/>
        </w:rPr>
        <w:t> </w:t>
      </w:r>
      <w:r w:rsidR="009C5310" w:rsidRPr="009C5310">
        <w:t>PCT</w:t>
      </w:r>
      <w:r w:rsidR="009C5310" w:rsidRPr="009C5310">
        <w:rPr>
          <w:lang w:val="en-US"/>
        </w:rPr>
        <w:t> </w:t>
      </w:r>
      <w:r w:rsidR="009C5310" w:rsidRPr="009C5310">
        <w:t>16(3)(e) и</w:t>
      </w:r>
      <w:r w:rsidR="009C5310">
        <w:rPr>
          <w:lang w:val="en-GB"/>
        </w:rPr>
        <w:t> </w:t>
      </w:r>
      <w:r w:rsidR="009C5310" w:rsidRPr="009C5310">
        <w:t>32(3)). Информация о данной процедуре и роли Комитета приводится в документе PCT/CTC/33/INF/1.</w:t>
      </w:r>
    </w:p>
    <w:p w14:paraId="518176C0" w14:textId="71E85776" w:rsidR="009A31F1" w:rsidRDefault="009A31F1" w:rsidP="002326AB">
      <w:pPr>
        <w:spacing w:after="220"/>
      </w:pPr>
      <w:r>
        <w:t>2.</w:t>
      </w:r>
      <w:r>
        <w:tab/>
        <w:t>20 ноября 2025 года Австрийское патентное ведомство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 – ОБЩИЕ СВЕДЕНИЯ</w:t>
      </w:r>
    </w:p>
    <w:p w14:paraId="4E31862B" w14:textId="77777777" w:rsidR="009A31F1" w:rsidRDefault="009A31F1" w:rsidP="009A31F1">
      <w:pPr>
        <w:pStyle w:val="Question"/>
        <w:spacing w:after="240"/>
      </w:pPr>
      <w:r>
        <w:t>(a)</w:t>
      </w:r>
      <w:r>
        <w:tab/>
        <w:t>Название ведомства или межправительственной организации:</w:t>
      </w:r>
    </w:p>
    <w:p w14:paraId="5CF4EBE6" w14:textId="123451F9" w:rsidR="009A31F1" w:rsidRPr="00BB23EE" w:rsidRDefault="00BB23EE" w:rsidP="002F39CD">
      <w:pPr>
        <w:pStyle w:val="Answer"/>
        <w:ind w:left="0"/>
        <w:rPr>
          <w:color w:val="000000" w:themeColor="text1"/>
        </w:rPr>
      </w:pPr>
      <w:r>
        <w:t>Австрийское патентное ведомство (АПВ)</w:t>
      </w:r>
    </w:p>
    <w:p w14:paraId="3B0AACF3" w14:textId="77777777" w:rsidR="009A31F1" w:rsidRDefault="009A31F1" w:rsidP="009A31F1">
      <w:pPr>
        <w:pStyle w:val="Question"/>
        <w:spacing w:after="24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489B4DC6" w14:textId="60CA85AA" w:rsidR="00BB23EE" w:rsidRPr="00BB23EE" w:rsidRDefault="00BB23EE" w:rsidP="00BB23EE">
      <w:pPr>
        <w:tabs>
          <w:tab w:val="left" w:pos="1410"/>
        </w:tabs>
        <w:spacing w:after="120" w:line="260" w:lineRule="atLeast"/>
        <w:jc w:val="both"/>
      </w:pPr>
      <w:r>
        <w:t xml:space="preserve">Г-н Ханнес РАУМАУФ </w:t>
      </w:r>
      <w:r>
        <w:tab/>
      </w:r>
      <w:hyperlink r:id="rId11" w:history="1">
        <w:r>
          <w:rPr>
            <w:rStyle w:val="Hyperlink"/>
          </w:rPr>
          <w:t>hannes.raumauf@patentamt.at</w:t>
        </w:r>
      </w:hyperlink>
      <w:r>
        <w:tab/>
      </w:r>
      <w:r>
        <w:tab/>
        <w:t>+43 664 88279130</w:t>
      </w:r>
    </w:p>
    <w:p w14:paraId="090380F2" w14:textId="69EB0CD8" w:rsidR="00BB23EE" w:rsidRPr="00BB23EE" w:rsidRDefault="00BB23EE" w:rsidP="00BB23EE">
      <w:pPr>
        <w:tabs>
          <w:tab w:val="left" w:pos="1410"/>
        </w:tabs>
        <w:spacing w:after="120" w:line="260" w:lineRule="atLeast"/>
        <w:jc w:val="both"/>
      </w:pPr>
      <w:r>
        <w:t>Г-н Мартин РИДЛ</w:t>
      </w:r>
      <w:r>
        <w:tab/>
      </w:r>
      <w:r>
        <w:tab/>
      </w:r>
      <w:r>
        <w:tab/>
      </w:r>
      <w:hyperlink r:id="rId12" w:history="1">
        <w:r>
          <w:rPr>
            <w:rStyle w:val="Hyperlink"/>
          </w:rPr>
          <w:t>martin.riedl@patentamt.at</w:t>
        </w:r>
      </w:hyperlink>
      <w:r>
        <w:tab/>
      </w:r>
      <w:r>
        <w:tab/>
      </w:r>
      <w:r>
        <w:tab/>
        <w:t>+43 664 4619899</w:t>
      </w:r>
    </w:p>
    <w:p w14:paraId="6676797C" w14:textId="56BA06CF" w:rsidR="00BB23EE" w:rsidRPr="00BB23EE" w:rsidRDefault="00BB23EE" w:rsidP="00BB23EE">
      <w:pPr>
        <w:tabs>
          <w:tab w:val="left" w:pos="1410"/>
        </w:tabs>
        <w:spacing w:after="120" w:line="260" w:lineRule="atLeast"/>
        <w:jc w:val="both"/>
      </w:pPr>
      <w:r>
        <w:t>Г-жа Глория МИРЕСКУ</w:t>
      </w:r>
      <w:r>
        <w:tab/>
      </w:r>
      <w:r>
        <w:tab/>
      </w:r>
      <w:hyperlink r:id="rId13" w:history="1">
        <w:r>
          <w:rPr>
            <w:rStyle w:val="Hyperlink"/>
          </w:rPr>
          <w:t>gloria.mirescu@patentamt.at</w:t>
        </w:r>
      </w:hyperlink>
      <w:r>
        <w:tab/>
      </w:r>
      <w:r>
        <w:tab/>
      </w:r>
      <w:r>
        <w:tab/>
        <w:t>+43 664 88279216</w:t>
      </w:r>
    </w:p>
    <w:p w14:paraId="6F257755" w14:textId="77777777" w:rsidR="00BB23EE" w:rsidRPr="007C1EBD" w:rsidRDefault="00BB23EE" w:rsidP="00BB23EE">
      <w:pPr>
        <w:tabs>
          <w:tab w:val="left" w:pos="1410"/>
        </w:tabs>
        <w:spacing w:after="120" w:line="260" w:lineRule="atLeast"/>
        <w:jc w:val="both"/>
        <w:rPr>
          <w:rFonts w:ascii="Open Sans" w:hAnsi="Open Sans" w:cs="Open Sans"/>
        </w:rPr>
      </w:pPr>
    </w:p>
    <w:p w14:paraId="5EBA2C3E" w14:textId="1FCAF930" w:rsidR="009A31F1" w:rsidRDefault="009A31F1" w:rsidP="009A31F1">
      <w:pPr>
        <w:pStyle w:val="Question"/>
      </w:pPr>
      <w:r>
        <w:t>(</w:t>
      </w:r>
      <w:r w:rsidR="00903F68">
        <w:rPr>
          <w:lang w:val="en-GB"/>
        </w:rPr>
        <w:t>c</w:t>
      </w:r>
      <w:r>
        <w:t>)</w:t>
      </w:r>
      <w:r>
        <w:tab/>
        <w:t>Дата получения Генеральным директором заявления о продлении назначения:</w:t>
      </w:r>
    </w:p>
    <w:p w14:paraId="2740412F" w14:textId="79703589" w:rsidR="009A31F1" w:rsidRPr="004C5F56" w:rsidRDefault="00BB23EE" w:rsidP="009A31F1">
      <w:pPr>
        <w:pStyle w:val="Answer"/>
      </w:pPr>
      <w:r>
        <w:t>20 ноября 2025 года</w:t>
      </w:r>
    </w:p>
    <w:p w14:paraId="671168CF" w14:textId="77777777" w:rsidR="009A31F1" w:rsidRPr="002B3808" w:rsidRDefault="009A31F1" w:rsidP="009A31F1">
      <w:pPr>
        <w:pStyle w:val="SectionHeading"/>
      </w:pPr>
      <w:r>
        <w:t>2 – МИНИМУМ ТРЕБОВАНИЙ ДЛЯ НАЗНАЧЕНИЯ</w:t>
      </w:r>
    </w:p>
    <w:p w14:paraId="60D36E86" w14:textId="67B731BB" w:rsidR="00BB23EE" w:rsidRPr="00F416F2" w:rsidRDefault="00BB23EE" w:rsidP="00BB23EE">
      <w:r>
        <w:t>В дополнение к ежегодному отчету ведомства или организации о системе управления качеством за 2025 год («отчет о системе УК</w:t>
      </w:r>
      <w:bookmarkStart w:id="5" w:name="_Hlk215084850"/>
      <w:r>
        <w:t xml:space="preserve">» </w:t>
      </w:r>
      <w:bookmarkStart w:id="6" w:name="_Hlk215576586"/>
      <w:r w:rsidR="00941949">
        <w:rPr>
          <w:rStyle w:val="Hyperlink"/>
          <w:bCs/>
        </w:rPr>
        <w:fldChar w:fldCharType="begin"/>
      </w:r>
      <w:r w:rsidR="00941949">
        <w:rPr>
          <w:rStyle w:val="Hyperlink"/>
          <w:bCs/>
        </w:rPr>
        <w:instrText>HYPERLINK "https://www.wipo.int/en/web/pct-system/quality/authorities#AT"</w:instrText>
      </w:r>
      <w:r w:rsidR="00941949">
        <w:rPr>
          <w:rStyle w:val="Hyperlink"/>
          <w:bCs/>
        </w:rPr>
      </w:r>
      <w:r w:rsidR="00941949">
        <w:rPr>
          <w:rStyle w:val="Hyperlink"/>
          <w:bCs/>
        </w:rPr>
        <w:fldChar w:fldCharType="separate"/>
      </w:r>
      <w:r>
        <w:rPr>
          <w:rStyle w:val="Hyperlink"/>
          <w:bCs/>
        </w:rPr>
        <w:t>https://www.wipo.int/en/web/pct-system/quality/authorities#AT</w:t>
      </w:r>
      <w:bookmarkEnd w:id="5"/>
      <w:bookmarkEnd w:id="6"/>
      <w:r w:rsidR="00941949">
        <w:rPr>
          <w:rStyle w:val="Hyperlink"/>
          <w:bCs/>
        </w:rPr>
        <w:fldChar w:fldCharType="end"/>
      </w:r>
      <w:r>
        <w:rPr>
          <w:i/>
          <w:iCs/>
        </w:rPr>
        <w:t>)</w:t>
      </w:r>
      <w:r>
        <w:t>, подготовленному в соответствии с пунктами 21.31 и 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lastRenderedPageBreak/>
        <w:t>2.1 – ВОЗМОЖНОСТИ ДЛЯ ПРОВЕДЕНИЯ ПОИСКА И ЭКСПЕРТИЗЫ</w:t>
      </w:r>
    </w:p>
    <w:p w14:paraId="4204A13E" w14:textId="18E22B19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</w:t>
      </w:r>
      <w:r w:rsidR="00423B08">
        <w:rPr>
          <w:lang w:val="en-GB"/>
        </w:rPr>
        <w:t> </w:t>
      </w:r>
      <w:r>
        <w:t>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0A5B660C" w14:textId="6492B99F" w:rsidR="00596424" w:rsidRPr="00596424" w:rsidRDefault="00596424" w:rsidP="00596424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</w:t>
      </w:r>
      <w:r w:rsidR="00423B08">
        <w:rPr>
          <w:i w:val="0"/>
          <w:iCs w:val="0"/>
        </w:rPr>
        <w:t> </w:t>
      </w:r>
      <w:r>
        <w:rPr>
          <w:i w:val="0"/>
          <w:iCs w:val="0"/>
        </w:rPr>
        <w:t>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</w:t>
      </w:r>
      <w:r w:rsidR="00423B08">
        <w:rPr>
          <w:i w:val="0"/>
          <w:iCs w:val="0"/>
          <w:lang w:val="en-GB"/>
        </w:rPr>
        <w:t> </w:t>
      </w:r>
      <w:r>
        <w:rPr>
          <w:i w:val="0"/>
          <w:iCs w:val="0"/>
        </w:rPr>
        <w:t>21.15(vi).</w:t>
      </w:r>
      <w:r w:rsidR="009C5310">
        <w:rPr>
          <w:i w:val="0"/>
          <w:iCs w:val="0"/>
        </w:rPr>
        <w:t xml:space="preserve"> </w:t>
      </w:r>
      <w:r>
        <w:rPr>
          <w:i w:val="0"/>
          <w:iCs w:val="0"/>
        </w:rPr>
        <w:t>Орган также указывает следующую информацию о количестве сотрудников, обладающих квалификацией для проведения поиска и экспертизы.</w:t>
      </w:r>
      <w:r w:rsidR="009C5310">
        <w:rPr>
          <w:i w:val="0"/>
          <w:iCs w:val="0"/>
        </w:rPr>
        <w:t xml:space="preserve"> </w:t>
      </w:r>
    </w:p>
    <w:p w14:paraId="6F668C2F" w14:textId="77777777" w:rsidR="00596424" w:rsidRPr="00596424" w:rsidRDefault="00596424" w:rsidP="00596424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разбивка их квалификаций."/>
      </w:tblPr>
      <w:tblGrid>
        <w:gridCol w:w="3330"/>
        <w:gridCol w:w="1625"/>
        <w:gridCol w:w="1356"/>
        <w:gridCol w:w="2473"/>
      </w:tblGrid>
      <w:tr w:rsidR="00596424" w:rsidRPr="00596424" w14:paraId="5420AC2E" w14:textId="77777777" w:rsidTr="00423B08">
        <w:trPr>
          <w:cantSplit/>
          <w:tblHeader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DF42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Область техники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CE4E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Количество сотрудников (в пересчете на занятых полную рабочую неделю)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4C52" w14:textId="77777777" w:rsidR="00596424" w:rsidRPr="00596424" w:rsidRDefault="00596424" w:rsidP="00616BAE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Средний стаж в качестве эксперта (по числу лет)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24A" w14:textId="77777777" w:rsidR="00596424" w:rsidRPr="00596424" w:rsidRDefault="00596424" w:rsidP="00616BAE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В разбивке по уровням квалификации</w:t>
            </w:r>
          </w:p>
        </w:tc>
      </w:tr>
      <w:tr w:rsidR="00596424" w:rsidRPr="00596424" w14:paraId="34B8584D" w14:textId="77777777" w:rsidTr="00423B08">
        <w:trPr>
          <w:cantSplit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3EC0" w14:textId="77777777" w:rsidR="00596424" w:rsidRPr="00596424" w:rsidRDefault="00596424" w:rsidP="00616BAE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/>
                <w:color w:val="202122"/>
              </w:rPr>
              <w:t>Физика и гражданское строительство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DA7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876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16,9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3B7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6 сотрудников со степенью PhD </w:t>
            </w:r>
          </w:p>
          <w:p w14:paraId="38FBF37A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20 сотрудников со степенью магистра</w:t>
            </w:r>
          </w:p>
        </w:tc>
      </w:tr>
      <w:tr w:rsidR="00596424" w:rsidRPr="00596424" w14:paraId="51A450B4" w14:textId="77777777" w:rsidTr="00423B08">
        <w:trPr>
          <w:cantSplit/>
          <w:trHeight w:val="464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6422" w14:textId="77777777" w:rsidR="00596424" w:rsidRPr="00596424" w:rsidRDefault="00596424" w:rsidP="00616BAE">
            <w:pPr>
              <w:keepNext/>
              <w:keepLines/>
              <w:suppressAutoHyphens/>
              <w:rPr>
                <w:color w:val="202122"/>
                <w:sz w:val="24"/>
                <w:szCs w:val="24"/>
              </w:rPr>
            </w:pPr>
            <w:r>
              <w:rPr>
                <w:color w:val="202122"/>
                <w:sz w:val="24"/>
                <w:szCs w:val="24"/>
              </w:rPr>
              <w:t>Машиностроение</w:t>
            </w:r>
          </w:p>
          <w:p w14:paraId="38AE1DE1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 w:val="24"/>
                <w:szCs w:val="24"/>
                <w:lang w:eastAsia="en-US" w:bidi="he-I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1D0E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4D2C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18,8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5578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8 сотрудников со степенью PhD </w:t>
            </w:r>
          </w:p>
          <w:p w14:paraId="0D74B72F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18 сотрудников со степенью магистра</w:t>
            </w:r>
          </w:p>
        </w:tc>
      </w:tr>
      <w:tr w:rsidR="00596424" w:rsidRPr="00596424" w14:paraId="543290A2" w14:textId="77777777" w:rsidTr="00423B08">
        <w:trPr>
          <w:cantSplit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DFEF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color w:val="202122"/>
                <w:sz w:val="24"/>
                <w:szCs w:val="24"/>
              </w:rPr>
              <w:t>Электротехника и информационные технологии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5CB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202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17,5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AE9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7 сотрудников со степенью PhD </w:t>
            </w:r>
          </w:p>
          <w:p w14:paraId="5AF06A80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20 сотрудников со степенью магистра</w:t>
            </w:r>
          </w:p>
        </w:tc>
      </w:tr>
      <w:tr w:rsidR="00596424" w:rsidRPr="00596424" w14:paraId="1670DCD4" w14:textId="77777777" w:rsidTr="00423B08">
        <w:trPr>
          <w:cantSplit/>
          <w:trHeight w:val="42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726A" w14:textId="77777777" w:rsidR="00596424" w:rsidRPr="00596424" w:rsidRDefault="00596424" w:rsidP="00616BAE">
            <w:pPr>
              <w:keepNext/>
              <w:keepLine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Химия/биотехнологии</w:t>
            </w:r>
          </w:p>
          <w:p w14:paraId="5AA924FF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 w:val="24"/>
                <w:szCs w:val="24"/>
                <w:lang w:eastAsia="en-US" w:bidi="he-I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855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EBB8" w14:textId="77777777" w:rsidR="00596424" w:rsidRPr="00596424" w:rsidRDefault="00596424" w:rsidP="00616BA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15,3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FB0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12 сотрудников со степенью PhD </w:t>
            </w:r>
          </w:p>
          <w:p w14:paraId="0B2B47DF" w14:textId="77777777" w:rsidR="00596424" w:rsidRPr="00596424" w:rsidRDefault="00596424" w:rsidP="00616BA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18 сотрудников со степенью магистра</w:t>
            </w:r>
          </w:p>
        </w:tc>
      </w:tr>
      <w:tr w:rsidR="00596424" w:rsidRPr="00596424" w14:paraId="023E87C9" w14:textId="77777777" w:rsidTr="00423B08">
        <w:trPr>
          <w:cantSplit/>
          <w:trHeight w:val="54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67F1" w14:textId="77777777" w:rsidR="00596424" w:rsidRPr="00596424" w:rsidRDefault="00596424" w:rsidP="00616BAE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Всего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417F" w14:textId="77777777" w:rsidR="00596424" w:rsidRPr="00596424" w:rsidRDefault="00596424" w:rsidP="00616BAE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109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80C7" w14:textId="77777777" w:rsidR="00596424" w:rsidRPr="00596424" w:rsidRDefault="00596424" w:rsidP="00616BAE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17,1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2265" w14:textId="77777777" w:rsidR="00596424" w:rsidRPr="00596424" w:rsidRDefault="00596424" w:rsidP="00616BAE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33 сотрудника со степенью PhD</w:t>
            </w:r>
          </w:p>
          <w:p w14:paraId="374236D6" w14:textId="77777777" w:rsidR="00596424" w:rsidRPr="00596424" w:rsidRDefault="00596424" w:rsidP="00616BAE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76 сотрудников со степенью магистра</w:t>
            </w:r>
          </w:p>
        </w:tc>
      </w:tr>
    </w:tbl>
    <w:p w14:paraId="33EBEDE8" w14:textId="77777777" w:rsidR="00596424" w:rsidRPr="00596424" w:rsidRDefault="00596424" w:rsidP="00596424">
      <w:pPr>
        <w:pStyle w:val="RuleQuote"/>
        <w:ind w:left="0"/>
        <w:rPr>
          <w:i w:val="0"/>
          <w:iCs w:val="0"/>
        </w:rPr>
      </w:pPr>
    </w:p>
    <w:p w14:paraId="7D12A67C" w14:textId="52471B89" w:rsidR="00596424" w:rsidRPr="00596424" w:rsidRDefault="00596424" w:rsidP="00596424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помимо отчета о системе УК и приведенной выше таблицы (необязательно):</w:t>
      </w:r>
      <w:r w:rsidR="009C5310">
        <w:rPr>
          <w:i w:val="0"/>
          <w:iCs w:val="0"/>
        </w:rPr>
        <w:t xml:space="preserve"> </w:t>
      </w:r>
    </w:p>
    <w:p w14:paraId="4F89E5A5" w14:textId="5D68E164" w:rsidR="00596424" w:rsidRPr="00596424" w:rsidRDefault="00596424" w:rsidP="00596424">
      <w:pPr>
        <w:tabs>
          <w:tab w:val="left" w:pos="1410"/>
        </w:tabs>
        <w:spacing w:after="120" w:line="260" w:lineRule="atLeast"/>
        <w:jc w:val="both"/>
      </w:pPr>
      <w:r>
        <w:t>Все патентные эксперты в обязательном порядке входят в состав комиссий по рассмотрению возражений в отношении патентов и полезных моделей и признанию их недействительными.</w:t>
      </w:r>
      <w:r w:rsidR="009C5310">
        <w:t xml:space="preserve"> </w:t>
      </w:r>
      <w:r>
        <w:t>Это во многом способствует более глубокому пониманию оценки патентов и процедуры поиска и экспертизы.</w:t>
      </w:r>
    </w:p>
    <w:p w14:paraId="5D25FD83" w14:textId="3F043545" w:rsidR="00C5047D" w:rsidRPr="00596424" w:rsidRDefault="00596424" w:rsidP="00596424">
      <w:pPr>
        <w:rPr>
          <w:szCs w:val="22"/>
        </w:rPr>
      </w:pPr>
      <w:r>
        <w:t xml:space="preserve">Более того, многие старшие патентные эксперты выполняют функции непрофессиональных судей в коллегиях </w:t>
      </w:r>
      <w:r>
        <w:rPr>
          <w:b/>
          <w:bCs/>
        </w:rPr>
        <w:t>Высшего регионального суда Вены</w:t>
      </w:r>
      <w:r>
        <w:t xml:space="preserve"> и </w:t>
      </w:r>
      <w:r>
        <w:rPr>
          <w:b/>
          <w:bCs/>
        </w:rPr>
        <w:t>Верховного суда Австрии по гражданским и уголовным делам</w:t>
      </w:r>
      <w:r>
        <w:t xml:space="preserve"> при рассмотрении патентных споров.</w:t>
      </w:r>
      <w:r w:rsidR="009C5310">
        <w:t xml:space="preserve"> </w:t>
      </w:r>
      <w:r>
        <w:t xml:space="preserve">Два патентных эксперта даже выполняют функции технически квалифицированных судей в </w:t>
      </w:r>
      <w:r>
        <w:rPr>
          <w:b/>
          <w:bCs/>
        </w:rPr>
        <w:t>Едином патентном суде</w:t>
      </w:r>
      <w:r>
        <w:t xml:space="preserve">. </w:t>
      </w:r>
    </w:p>
    <w:p w14:paraId="60AF6307" w14:textId="5BD094D9" w:rsidR="00C5047D" w:rsidRPr="002B3808" w:rsidRDefault="00C5047D" w:rsidP="00C5047D">
      <w:pPr>
        <w:pStyle w:val="SectionHeading"/>
      </w:pPr>
      <w:r>
        <w:t>2.2 – МИНИМУМ ДОКУМЕНТАЦИИ – ПРЕДОСТАВЛЕНИЕ ДЛЯ ОЗНАКОМЛЕНИЯ</w:t>
      </w:r>
    </w:p>
    <w:p w14:paraId="44503BDA" w14:textId="64E18E78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</w:t>
      </w:r>
      <w:r w:rsidR="00104044">
        <w:t> </w:t>
      </w:r>
      <w:r>
        <w:t>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4A72D352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4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5AC8B809" w14:textId="6292AAA7" w:rsidR="00596424" w:rsidRPr="00596424" w:rsidRDefault="00596424" w:rsidP="00596424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Либо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596424">
            <w:rPr>
              <w:rFonts w:ascii="Segoe UI Symbol" w:eastAsia="MS Gothic" w:hAnsi="Segoe UI Symbol" w:cs="Segoe UI Symbol"/>
              <w:b w:val="0"/>
              <w:bCs w:val="0"/>
            </w:rPr>
            <w:t>☒</w:t>
          </w:r>
        </w:sdtContent>
      </w:sdt>
      <w:r>
        <w:rPr>
          <w:b w:val="0"/>
          <w:bCs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</w:t>
      </w:r>
      <w:r w:rsidR="009C531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Информация об объеме и формате документов, которые </w:t>
      </w:r>
      <w:r w:rsidR="007559E3">
        <w:rPr>
          <w:b w:val="0"/>
          <w:bCs w:val="0"/>
        </w:rPr>
        <w:t xml:space="preserve">были </w:t>
      </w:r>
      <w:r>
        <w:rPr>
          <w:b w:val="0"/>
          <w:bCs w:val="0"/>
        </w:rPr>
        <w:t xml:space="preserve">предоставлены Органом для ознакомления, опубликована в Бюллетене PCT </w:t>
      </w:r>
      <w:bookmarkStart w:id="7" w:name="_Hlk215520606"/>
      <w:r>
        <w:rPr>
          <w:b w:val="0"/>
          <w:bCs w:val="0"/>
        </w:rPr>
        <w:t>23 октября 2025 года</w:t>
      </w:r>
      <w:bookmarkEnd w:id="7"/>
      <w:r>
        <w:rPr>
          <w:b w:val="0"/>
          <w:bCs w:val="0"/>
        </w:rPr>
        <w:t xml:space="preserve"> </w:t>
      </w:r>
      <w:bookmarkStart w:id="8" w:name="_Hlk215520665"/>
      <w:r>
        <w:rPr>
          <w:b w:val="0"/>
          <w:bCs w:val="0"/>
        </w:rPr>
        <w:t>по адресу:</w:t>
      </w:r>
      <w:r w:rsidR="009C5310">
        <w:rPr>
          <w:b w:val="0"/>
          <w:bCs w:val="0"/>
        </w:rPr>
        <w:t xml:space="preserve"> </w:t>
      </w:r>
      <w:bookmarkEnd w:id="8"/>
      <w:r w:rsidR="00EF044F" w:rsidRPr="00687CDD">
        <w:rPr>
          <w:rStyle w:val="Hyperlink"/>
          <w:szCs w:val="20"/>
        </w:rPr>
        <w:fldChar w:fldCharType="begin"/>
      </w:r>
      <w:r w:rsidR="00EF044F" w:rsidRPr="00687CDD">
        <w:rPr>
          <w:rStyle w:val="Hyperlink"/>
          <w:szCs w:val="20"/>
        </w:rPr>
        <w:instrText>HYPERLINK "https://www.wipo.int/documents/d/pct-system/docs-en-official-notices-officialnotices.pdf#page=177"</w:instrText>
      </w:r>
      <w:r w:rsidR="00EF044F" w:rsidRPr="00687CDD">
        <w:rPr>
          <w:rStyle w:val="Hyperlink"/>
          <w:szCs w:val="20"/>
        </w:rPr>
      </w:r>
      <w:r w:rsidR="00EF044F" w:rsidRPr="00687CDD">
        <w:rPr>
          <w:rStyle w:val="Hyperlink"/>
          <w:szCs w:val="20"/>
        </w:rPr>
        <w:fldChar w:fldCharType="separate"/>
      </w:r>
      <w:r>
        <w:rPr>
          <w:rStyle w:val="Hyperlink"/>
          <w:b w:val="0"/>
          <w:szCs w:val="20"/>
        </w:rPr>
        <w:t>https://www.wipo.int/documents/d/pct-system/docs-en-official-notices-officialnotices.pdf#page=177</w:t>
      </w:r>
      <w:r w:rsidR="00EF044F" w:rsidRPr="00687CDD">
        <w:rPr>
          <w:rStyle w:val="Hyperlink"/>
          <w:szCs w:val="20"/>
        </w:rPr>
        <w:fldChar w:fldCharType="end"/>
      </w:r>
      <w:r w:rsidR="00C328AA">
        <w:rPr>
          <w:b w:val="0"/>
          <w:bCs w:val="0"/>
        </w:rPr>
        <w:t>».</w:t>
      </w:r>
    </w:p>
    <w:p w14:paraId="61491586" w14:textId="77777777" w:rsidR="00596424" w:rsidRPr="00596424" w:rsidRDefault="00596424" w:rsidP="00596424">
      <w:pPr>
        <w:pStyle w:val="Answer"/>
      </w:pPr>
    </w:p>
    <w:p w14:paraId="4BCB90DE" w14:textId="77777777" w:rsidR="00596424" w:rsidRPr="00596424" w:rsidRDefault="00596424" w:rsidP="00596424">
      <w:pPr>
        <w:pStyle w:val="Answer"/>
        <w:ind w:left="0"/>
      </w:pPr>
      <w:r>
        <w:t>либо:</w:t>
      </w:r>
    </w:p>
    <w:p w14:paraId="5B8170A9" w14:textId="63225EC1" w:rsidR="00596424" w:rsidRPr="00596424" w:rsidRDefault="00273046" w:rsidP="00596424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424" w:rsidRPr="00596424">
            <w:rPr>
              <w:rFonts w:ascii="Segoe UI Symbol" w:eastAsia="MS Gothic" w:hAnsi="Segoe UI Symbol" w:cs="Segoe UI Symbol"/>
            </w:rPr>
            <w:t>☐</w:t>
          </w:r>
        </w:sdtContent>
      </w:sdt>
      <w:r w:rsidR="004C572F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</w:t>
      </w:r>
      <w:r w:rsidR="009C5310">
        <w:t xml:space="preserve"> </w:t>
      </w:r>
      <w:r w:rsidR="004C572F">
        <w:t>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lastRenderedPageBreak/>
        <w:t>2.3 – МИНИМУМ ДОКУМЕНТАЦИИ – ДОСТУП</w:t>
      </w:r>
    </w:p>
    <w:p w14:paraId="6096117B" w14:textId="709AF6B5" w:rsidR="00C5047D" w:rsidRDefault="00C5047D" w:rsidP="00C5047D">
      <w:pPr>
        <w:pStyle w:val="RuleQuote"/>
        <w:rPr>
          <w:i w:val="0"/>
          <w:iCs w:val="0"/>
        </w:rPr>
      </w:pPr>
      <w:r>
        <w:t>Правила</w:t>
      </w:r>
      <w:r w:rsidR="00C328AA">
        <w:t> </w:t>
      </w:r>
      <w:r>
        <w:t>36.1(iii) и</w:t>
      </w:r>
      <w:r w:rsidR="00C328AA">
        <w:t> </w:t>
      </w:r>
      <w:r>
        <w:t>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</w:t>
      </w:r>
      <w:r w:rsidR="00C328AA">
        <w:t> </w:t>
      </w:r>
      <w:r>
        <w:t>34, для целей поиска в соответствии с Административной инструкцией.</w:t>
      </w:r>
    </w:p>
    <w:p w14:paraId="3A123B66" w14:textId="090F74A5" w:rsidR="00596424" w:rsidRPr="00596424" w:rsidRDefault="00596424" w:rsidP="00596424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</w:t>
      </w:r>
      <w:r w:rsidR="00C328AA">
        <w:rPr>
          <w:i w:val="0"/>
          <w:iCs w:val="0"/>
        </w:rPr>
        <w:t> </w:t>
      </w:r>
      <w:r>
        <w:rPr>
          <w:i w:val="0"/>
          <w:iCs w:val="0"/>
        </w:rPr>
        <w:t>34, для целей поиска и экспертизы в соответствии с пунктом</w:t>
      </w:r>
      <w:r w:rsidR="00C328AA">
        <w:rPr>
          <w:i w:val="0"/>
          <w:iCs w:val="0"/>
        </w:rPr>
        <w:t> </w:t>
      </w:r>
      <w:r>
        <w:rPr>
          <w:i w:val="0"/>
          <w:iCs w:val="0"/>
        </w:rPr>
        <w:t>21.15(iv) Руководства.</w:t>
      </w:r>
      <w:r w:rsidR="009C5310">
        <w:rPr>
          <w:i w:val="0"/>
          <w:iCs w:val="0"/>
        </w:rPr>
        <w:t xml:space="preserve"> </w:t>
      </w:r>
    </w:p>
    <w:p w14:paraId="687D9D48" w14:textId="42FDEA38" w:rsidR="00596424" w:rsidRPr="00596424" w:rsidRDefault="00596424" w:rsidP="00596424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9C5310">
        <w:rPr>
          <w:i w:val="0"/>
          <w:iCs w:val="0"/>
        </w:rPr>
        <w:t xml:space="preserve"> </w:t>
      </w:r>
    </w:p>
    <w:p w14:paraId="3607BC35" w14:textId="77777777" w:rsidR="00596424" w:rsidRPr="00596424" w:rsidRDefault="00596424" w:rsidP="00596424">
      <w:pPr>
        <w:tabs>
          <w:tab w:val="left" w:pos="1215"/>
        </w:tabs>
        <w:spacing w:after="120" w:line="260" w:lineRule="atLeast"/>
        <w:jc w:val="both"/>
        <w:rPr>
          <w:szCs w:val="22"/>
        </w:rPr>
      </w:pPr>
      <w:r>
        <w:t>Все патентные эксперты имеют онлайновый доступ к основному поисковому инструменту АПВ на базе ANSERA (AbS), базе данных химических рефератов через STN, WPI и множеству других баз данных патентной и непатентной литературы.</w:t>
      </w:r>
    </w:p>
    <w:p w14:paraId="6EF613BF" w14:textId="6BEB20B8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206F4D2C" w14:textId="77777777" w:rsidR="00596424" w:rsidRPr="00596424" w:rsidRDefault="00596424" w:rsidP="00596424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68F05265" w14:textId="30DEDB2F" w:rsidR="00596424" w:rsidRPr="00596424" w:rsidRDefault="00596424" w:rsidP="00596424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9C5310">
        <w:rPr>
          <w:i w:val="0"/>
          <w:iCs w:val="0"/>
        </w:rPr>
        <w:t xml:space="preserve"> </w:t>
      </w:r>
    </w:p>
    <w:p w14:paraId="6695DC7B" w14:textId="309FED0B" w:rsidR="00596424" w:rsidRPr="00596424" w:rsidRDefault="00596424" w:rsidP="00596424">
      <w:pPr>
        <w:pStyle w:val="RuleQuote"/>
        <w:keepNext w:val="0"/>
        <w:ind w:left="0" w:firstLine="567"/>
        <w:rPr>
          <w:i w:val="0"/>
          <w:iCs w:val="0"/>
        </w:rPr>
      </w:pPr>
      <w:r>
        <w:rPr>
          <w:i w:val="0"/>
          <w:iCs w:val="0"/>
        </w:rPr>
        <w:t>ISO 9001/2015:</w:t>
      </w:r>
      <w:r w:rsidR="009C5310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2-я повторная сертификация в ноябре 2025 года — </w:t>
      </w:r>
      <w:r>
        <w:rPr>
          <w:i w:val="0"/>
          <w:iCs w:val="0"/>
          <w:u w:val="single"/>
        </w:rPr>
        <w:t>пройдено</w:t>
      </w:r>
      <w:r>
        <w:rPr>
          <w:i w:val="0"/>
          <w:iCs w:val="0"/>
        </w:rPr>
        <w:t xml:space="preserve"> </w:t>
      </w:r>
    </w:p>
    <w:p w14:paraId="6C8165EF" w14:textId="164237B6" w:rsidR="00C5047D" w:rsidRPr="00596424" w:rsidRDefault="00596424" w:rsidP="00596424">
      <w:pPr>
        <w:pStyle w:val="RuleQuote"/>
        <w:keepNext w:val="0"/>
        <w:ind w:left="0" w:firstLine="567"/>
        <w:rPr>
          <w:i w:val="0"/>
          <w:iCs w:val="0"/>
        </w:rPr>
      </w:pPr>
      <w:r>
        <w:rPr>
          <w:i w:val="0"/>
          <w:iCs w:val="0"/>
        </w:rPr>
        <w:t>ISO 27001:</w:t>
      </w:r>
      <w:r w:rsidR="009C5310">
        <w:rPr>
          <w:i w:val="0"/>
          <w:iCs w:val="0"/>
        </w:rPr>
        <w:t xml:space="preserve"> </w:t>
      </w:r>
      <w:r>
        <w:rPr>
          <w:i w:val="0"/>
          <w:iCs w:val="0"/>
        </w:rPr>
        <w:t>стандарт полностью внедрен, и сертификация пройдена в 2024 году</w:t>
      </w:r>
      <w:r w:rsidR="00C328AA">
        <w:rPr>
          <w:i w:val="0"/>
          <w:iCs w:val="0"/>
        </w:rPr>
        <w:t>.</w:t>
      </w: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r>
        <w:tab/>
        <w:t>Сфера деятельности в текущий период</w:t>
      </w:r>
    </w:p>
    <w:p w14:paraId="00647516" w14:textId="503F6813" w:rsidR="00C5047D" w:rsidRPr="001702FA" w:rsidRDefault="00C5047D" w:rsidP="00C5047D">
      <w:pPr>
        <w:pStyle w:val="Question"/>
        <w:keepNext w:val="0"/>
        <w:spacing w:after="480"/>
        <w:rPr>
          <w:b w:val="0"/>
          <w:bCs w:val="0"/>
        </w:rPr>
      </w:pPr>
      <w:r>
        <w:rPr>
          <w:b w:val="0"/>
          <w:bCs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bCs w:val="0"/>
          <w:i/>
          <w:iCs/>
        </w:rPr>
        <w:t>Руководстве РСТ</w:t>
      </w:r>
      <w:r>
        <w:rPr>
          <w:b w:val="0"/>
          <w:bCs w:val="0"/>
        </w:rPr>
        <w:t xml:space="preserve"> </w:t>
      </w:r>
      <w:r w:rsidRPr="00F97228">
        <w:rPr>
          <w:b w:val="0"/>
          <w:bCs w:val="0"/>
          <w:i/>
          <w:iCs/>
        </w:rPr>
        <w:t>для заявителя</w:t>
      </w:r>
      <w:r>
        <w:rPr>
          <w:b w:val="0"/>
          <w:bCs w:val="0"/>
        </w:rPr>
        <w:t xml:space="preserve"> по следующим ссылкам: </w:t>
      </w:r>
      <w:bookmarkStart w:id="9" w:name="_Hlk214637647"/>
      <w:bookmarkStart w:id="10" w:name="_Hlk215085102"/>
      <w:r w:rsidR="001702FA" w:rsidRPr="00687CDD">
        <w:rPr>
          <w:rStyle w:val="Hyperlink"/>
          <w:b w:val="0"/>
          <w:szCs w:val="20"/>
        </w:rPr>
        <w:fldChar w:fldCharType="begin"/>
      </w:r>
      <w:r w:rsidR="001702FA" w:rsidRPr="00687CDD">
        <w:rPr>
          <w:rStyle w:val="Hyperlink"/>
          <w:b w:val="0"/>
          <w:szCs w:val="20"/>
        </w:rPr>
        <w:instrText>HYPERLINK "https://pctlegal.wipo.int/eGuide/view-doc.xhtml?doc-code=AT&amp;doc-lang=en" \l "https://pctlegal.wipo.int/eGuide/view-doc.xhtml?doc-code=AT&amp;doc-lang=en"</w:instrText>
      </w:r>
      <w:r w:rsidR="001702FA" w:rsidRPr="00687CDD">
        <w:rPr>
          <w:rStyle w:val="Hyperlink"/>
          <w:b w:val="0"/>
          <w:szCs w:val="20"/>
        </w:rPr>
      </w:r>
      <w:r w:rsidR="001702FA" w:rsidRPr="00687CDD">
        <w:rPr>
          <w:rStyle w:val="Hyperlink"/>
          <w:b w:val="0"/>
          <w:szCs w:val="20"/>
        </w:rPr>
        <w:fldChar w:fldCharType="separate"/>
      </w:r>
      <w:r>
        <w:rPr>
          <w:rStyle w:val="Hyperlink"/>
          <w:b w:val="0"/>
          <w:szCs w:val="20"/>
        </w:rPr>
        <w:t>https://pctlegal.wipo.int/eGuide/view-doc.xhtml?doc-code=AT&amp;doc-lang=en#ISA</w:t>
      </w:r>
      <w:r w:rsidR="001702FA" w:rsidRPr="00687CDD">
        <w:rPr>
          <w:rStyle w:val="Hyperlink"/>
          <w:b w:val="0"/>
          <w:szCs w:val="20"/>
        </w:rPr>
        <w:fldChar w:fldCharType="end"/>
      </w:r>
      <w:r>
        <w:rPr>
          <w:b w:val="0"/>
          <w:bCs w:val="0"/>
        </w:rPr>
        <w:t xml:space="preserve"> и</w:t>
      </w:r>
      <w:bookmarkEnd w:id="9"/>
      <w:r w:rsidR="009C5310">
        <w:rPr>
          <w:b w:val="0"/>
          <w:bCs w:val="0"/>
        </w:rPr>
        <w:t xml:space="preserve"> </w:t>
      </w:r>
      <w:hyperlink r:id="rId15" w:anchor="IPEA" w:history="1">
        <w:r>
          <w:rPr>
            <w:rStyle w:val="Hyperlink"/>
            <w:b w:val="0"/>
            <w:szCs w:val="20"/>
          </w:rPr>
          <w:t>https://pctlegal.wipo.int/eGuide/view-doc.xhtml?doc-code=AT&amp;doc-lang=en#IPEA</w:t>
        </w:r>
      </w:hyperlink>
      <w:bookmarkEnd w:id="10"/>
      <w:r>
        <w:rPr>
          <w:b w:val="0"/>
          <w:bCs w:val="0"/>
        </w:rPr>
        <w:t>.</w:t>
      </w:r>
    </w:p>
    <w:p w14:paraId="28EC7561" w14:textId="2623F391" w:rsidR="00C5047D" w:rsidRDefault="009C5310" w:rsidP="00C5047D">
      <w:pPr>
        <w:pStyle w:val="Question"/>
        <w:numPr>
          <w:ilvl w:val="0"/>
          <w:numId w:val="8"/>
        </w:numPr>
        <w:spacing w:after="240"/>
      </w:pPr>
      <w:r>
        <w:lastRenderedPageBreak/>
        <w:t xml:space="preserve"> </w:t>
      </w:r>
      <w:r w:rsidR="00C5047D">
        <w:t xml:space="preserve">Планируемые изменения в сфере деятельности Органа, такие как </w:t>
      </w:r>
      <w:r w:rsidR="00C328AA">
        <w:t>получающие</w:t>
      </w:r>
      <w:r w:rsidR="00C5047D">
        <w:t xml:space="preserve"> ведомства, для которых Орган является компетентным, и предлагаемые языки (при наличии таковых):</w:t>
      </w:r>
    </w:p>
    <w:p w14:paraId="125FE069" w14:textId="47088BFD" w:rsidR="00C5047D" w:rsidRPr="00EA2A90" w:rsidRDefault="001702FA" w:rsidP="004769D1">
      <w:pPr>
        <w:tabs>
          <w:tab w:val="left" w:pos="1215"/>
        </w:tabs>
        <w:spacing w:after="120" w:line="260" w:lineRule="atLeast"/>
        <w:jc w:val="both"/>
        <w:rPr>
          <w:szCs w:val="22"/>
        </w:rPr>
      </w:pPr>
      <w:r>
        <w:t>В последние годы мы заключили новые соглашения в связи с выполнением функций МПО и ОМПЭ в рамках РСТ с несколькими ведомствами (Кабо-Верде, Маврикий, Нигерия).</w:t>
      </w:r>
      <w:r w:rsidR="009C5310">
        <w:t xml:space="preserve"> </w:t>
      </w:r>
      <w:r>
        <w:t>Мы также намерены заключить новые соглашения с заинтересованными ведомствами в будущем.</w:t>
      </w: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62A2FEAB" w14:textId="3E855C5A" w:rsidR="00EA2A90" w:rsidRPr="00EA2A90" w:rsidRDefault="001702FA" w:rsidP="001702FA">
      <w:pPr>
        <w:keepNext/>
        <w:rPr>
          <w:iCs/>
        </w:rPr>
      </w:pPr>
      <w:r>
        <w:t>В 2024 и 2025</w:t>
      </w:r>
      <w:r w:rsidR="00C328AA">
        <w:t> </w:t>
      </w:r>
      <w:r>
        <w:t>годах АПВ значительно расширило свою деятельность по проведению обучения со странами, в отношении которых оно выступает в качестве МПО/ОМПЭ.</w:t>
      </w:r>
      <w:r w:rsidR="009C5310">
        <w:t xml:space="preserve"> </w:t>
      </w:r>
      <w:r>
        <w:t>В сентябре 2024 года и в мае 2025 года делегации из Ганы, Нигерии, Уганды, Южной Африки, Маврикия, Кабо-Верде и Тринидада и Тобаго были приглашены в Вену для прохождения обучения в течение трех — пяти дней, в ходе которого основное внимание уделялось вопросам РСТ, патентного поиска и экспертизы.</w:t>
      </w:r>
      <w:r w:rsidR="009C5310">
        <w:t xml:space="preserve"> </w:t>
      </w:r>
      <w:r>
        <w:t>В марте 2025</w:t>
      </w:r>
      <w:r w:rsidR="00C328AA">
        <w:t> </w:t>
      </w:r>
      <w:r>
        <w:t>года представители АПВ посетили Гану, а в мае того же года — Лесото.</w:t>
      </w:r>
      <w:r w:rsidR="009C5310">
        <w:t xml:space="preserve"> </w:t>
      </w:r>
      <w:r>
        <w:t>Эти обмены были организованы ВОИС, и АПВ готово принять участие в новых подобных встречах в 2026 году (они уже запланированы).</w:t>
      </w:r>
      <w:r w:rsidR="009C5310">
        <w:t xml:space="preserve"> </w:t>
      </w:r>
      <w:r>
        <w:t>Участникам был полезен опыт АПВ как получающего ведомства и МПО/ОМПЭ.</w:t>
      </w:r>
    </w:p>
    <w:p w14:paraId="565493DE" w14:textId="77777777" w:rsidR="00C5047D" w:rsidRPr="004D4954" w:rsidRDefault="00C5047D" w:rsidP="001702FA">
      <w:pPr>
        <w:pStyle w:val="SectionHeading"/>
        <w:keepLines w:val="0"/>
      </w:pPr>
    </w:p>
    <w:p w14:paraId="3B3E50D2" w14:textId="7C342CB5" w:rsidR="00C5047D" w:rsidRPr="001702FA" w:rsidRDefault="00C5047D" w:rsidP="001702FA">
      <w:pPr>
        <w:pStyle w:val="Endofdocument-Annex"/>
        <w:keepNext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C5047D" w:rsidRPr="001702FA" w:rsidSect="009A31F1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C21E" w14:textId="77777777" w:rsidR="00671E38" w:rsidRDefault="00671E38">
      <w:r>
        <w:separator/>
      </w:r>
    </w:p>
  </w:endnote>
  <w:endnote w:type="continuationSeparator" w:id="0">
    <w:p w14:paraId="31DC29E1" w14:textId="77777777" w:rsidR="00671E38" w:rsidRDefault="00671E38" w:rsidP="003B38C1">
      <w:r>
        <w:separator/>
      </w:r>
    </w:p>
    <w:p w14:paraId="663F718E" w14:textId="77777777" w:rsidR="00671E38" w:rsidRPr="004D4954" w:rsidRDefault="00671E38" w:rsidP="003B38C1">
      <w:pPr>
        <w:spacing w:after="60"/>
        <w:rPr>
          <w:sz w:val="17"/>
          <w:lang w:val="en-GB"/>
        </w:rPr>
      </w:pPr>
      <w:r w:rsidRPr="004D4954">
        <w:rPr>
          <w:sz w:val="17"/>
          <w:lang w:val="en-GB"/>
        </w:rPr>
        <w:t>[Endnote continued from previous page]</w:t>
      </w:r>
    </w:p>
  </w:endnote>
  <w:endnote w:type="continuationNotice" w:id="1">
    <w:p w14:paraId="78323466" w14:textId="77777777" w:rsidR="00671E38" w:rsidRPr="004D4954" w:rsidRDefault="00671E38" w:rsidP="003B38C1">
      <w:pPr>
        <w:spacing w:before="60"/>
        <w:jc w:val="right"/>
        <w:rPr>
          <w:sz w:val="17"/>
          <w:szCs w:val="17"/>
          <w:lang w:val="en-GB"/>
        </w:rPr>
      </w:pPr>
      <w:r w:rsidRPr="004D4954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5BD1" w14:textId="77777777" w:rsidR="00671E38" w:rsidRDefault="00671E38">
      <w:r>
        <w:separator/>
      </w:r>
    </w:p>
  </w:footnote>
  <w:footnote w:type="continuationSeparator" w:id="0">
    <w:p w14:paraId="5534E05C" w14:textId="77777777" w:rsidR="00671E38" w:rsidRDefault="00671E38" w:rsidP="008B60B2">
      <w:r>
        <w:separator/>
      </w:r>
    </w:p>
    <w:p w14:paraId="689015B1" w14:textId="77777777" w:rsidR="00671E38" w:rsidRPr="004D4954" w:rsidRDefault="00671E38" w:rsidP="008B60B2">
      <w:pPr>
        <w:spacing w:after="60"/>
        <w:rPr>
          <w:sz w:val="17"/>
          <w:szCs w:val="17"/>
          <w:lang w:val="en-GB"/>
        </w:rPr>
      </w:pPr>
      <w:r w:rsidRPr="004D4954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76F65494" w14:textId="77777777" w:rsidR="00671E38" w:rsidRPr="004D4954" w:rsidRDefault="00671E38" w:rsidP="008B60B2">
      <w:pPr>
        <w:spacing w:before="60"/>
        <w:jc w:val="right"/>
        <w:rPr>
          <w:sz w:val="17"/>
          <w:szCs w:val="17"/>
          <w:lang w:val="en-GB"/>
        </w:rPr>
      </w:pPr>
      <w:r w:rsidRPr="004D4954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698B48A9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PCT/CTC/33/2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273046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1735D65F" w:rsidR="009A31F1" w:rsidRDefault="009A31F1" w:rsidP="009A31F1">
    <w:pPr>
      <w:pStyle w:val="Header"/>
      <w:jc w:val="right"/>
    </w:pPr>
    <w:r>
      <w:tab/>
      <w:t>PCT/CTC/33/2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43CAA"/>
    <w:rsid w:val="00056816"/>
    <w:rsid w:val="00075432"/>
    <w:rsid w:val="000756C6"/>
    <w:rsid w:val="000760CC"/>
    <w:rsid w:val="000968ED"/>
    <w:rsid w:val="000A3D97"/>
    <w:rsid w:val="000A6309"/>
    <w:rsid w:val="000B5F3F"/>
    <w:rsid w:val="000C649D"/>
    <w:rsid w:val="000D46FE"/>
    <w:rsid w:val="000E14AC"/>
    <w:rsid w:val="000F5E56"/>
    <w:rsid w:val="00104044"/>
    <w:rsid w:val="00111BB0"/>
    <w:rsid w:val="001362EE"/>
    <w:rsid w:val="001647D5"/>
    <w:rsid w:val="001702FA"/>
    <w:rsid w:val="001832A6"/>
    <w:rsid w:val="001B1201"/>
    <w:rsid w:val="001D4107"/>
    <w:rsid w:val="00203D24"/>
    <w:rsid w:val="0021217E"/>
    <w:rsid w:val="00217FB1"/>
    <w:rsid w:val="002326AB"/>
    <w:rsid w:val="00234688"/>
    <w:rsid w:val="00243430"/>
    <w:rsid w:val="002634C4"/>
    <w:rsid w:val="00273046"/>
    <w:rsid w:val="002928D3"/>
    <w:rsid w:val="002B26A0"/>
    <w:rsid w:val="002E29C7"/>
    <w:rsid w:val="002F1FE6"/>
    <w:rsid w:val="002F39CD"/>
    <w:rsid w:val="002F4E68"/>
    <w:rsid w:val="00300D8F"/>
    <w:rsid w:val="00312F7F"/>
    <w:rsid w:val="003514C1"/>
    <w:rsid w:val="00361450"/>
    <w:rsid w:val="003673CF"/>
    <w:rsid w:val="003845C1"/>
    <w:rsid w:val="003A6F89"/>
    <w:rsid w:val="003B38C1"/>
    <w:rsid w:val="003C34E9"/>
    <w:rsid w:val="003D2335"/>
    <w:rsid w:val="003F6F01"/>
    <w:rsid w:val="00423B08"/>
    <w:rsid w:val="00423E3E"/>
    <w:rsid w:val="00427AF4"/>
    <w:rsid w:val="00442A32"/>
    <w:rsid w:val="004647DA"/>
    <w:rsid w:val="00466D9E"/>
    <w:rsid w:val="00474062"/>
    <w:rsid w:val="004769D1"/>
    <w:rsid w:val="00477D6B"/>
    <w:rsid w:val="004A2942"/>
    <w:rsid w:val="004B446A"/>
    <w:rsid w:val="004B6994"/>
    <w:rsid w:val="004C572F"/>
    <w:rsid w:val="004D4954"/>
    <w:rsid w:val="005019FF"/>
    <w:rsid w:val="0052652C"/>
    <w:rsid w:val="0053057A"/>
    <w:rsid w:val="00556076"/>
    <w:rsid w:val="00560A29"/>
    <w:rsid w:val="00573F0D"/>
    <w:rsid w:val="00596424"/>
    <w:rsid w:val="005C6649"/>
    <w:rsid w:val="005C79F6"/>
    <w:rsid w:val="00605827"/>
    <w:rsid w:val="00636FC6"/>
    <w:rsid w:val="00645512"/>
    <w:rsid w:val="00646050"/>
    <w:rsid w:val="006713CA"/>
    <w:rsid w:val="00671E38"/>
    <w:rsid w:val="00675BDF"/>
    <w:rsid w:val="00676C5C"/>
    <w:rsid w:val="00687CDD"/>
    <w:rsid w:val="006A5C36"/>
    <w:rsid w:val="006C238E"/>
    <w:rsid w:val="006C322C"/>
    <w:rsid w:val="006C5B74"/>
    <w:rsid w:val="006C712A"/>
    <w:rsid w:val="006D3315"/>
    <w:rsid w:val="006E65FA"/>
    <w:rsid w:val="006F04BC"/>
    <w:rsid w:val="0070049D"/>
    <w:rsid w:val="00705803"/>
    <w:rsid w:val="007078D4"/>
    <w:rsid w:val="00720EFD"/>
    <w:rsid w:val="007559E3"/>
    <w:rsid w:val="007578A4"/>
    <w:rsid w:val="00761CD8"/>
    <w:rsid w:val="007854AF"/>
    <w:rsid w:val="00786F89"/>
    <w:rsid w:val="00793A7C"/>
    <w:rsid w:val="007A37BA"/>
    <w:rsid w:val="007A398A"/>
    <w:rsid w:val="007A3EC4"/>
    <w:rsid w:val="007D1613"/>
    <w:rsid w:val="007E4593"/>
    <w:rsid w:val="007E4C0E"/>
    <w:rsid w:val="008543C9"/>
    <w:rsid w:val="008728D9"/>
    <w:rsid w:val="008A134B"/>
    <w:rsid w:val="008B12A3"/>
    <w:rsid w:val="008B2CC1"/>
    <w:rsid w:val="008B60B2"/>
    <w:rsid w:val="008C660E"/>
    <w:rsid w:val="008D5EAB"/>
    <w:rsid w:val="00903F68"/>
    <w:rsid w:val="0090731E"/>
    <w:rsid w:val="00916EE2"/>
    <w:rsid w:val="00934DF7"/>
    <w:rsid w:val="00941949"/>
    <w:rsid w:val="009551CD"/>
    <w:rsid w:val="00966A22"/>
    <w:rsid w:val="0096722F"/>
    <w:rsid w:val="00980843"/>
    <w:rsid w:val="009A31F1"/>
    <w:rsid w:val="009A53C9"/>
    <w:rsid w:val="009C5310"/>
    <w:rsid w:val="009E2791"/>
    <w:rsid w:val="009E3F6F"/>
    <w:rsid w:val="009F499F"/>
    <w:rsid w:val="00A0628B"/>
    <w:rsid w:val="00A37342"/>
    <w:rsid w:val="00A42DAF"/>
    <w:rsid w:val="00A45BD8"/>
    <w:rsid w:val="00A53F2A"/>
    <w:rsid w:val="00A869B7"/>
    <w:rsid w:val="00A90F0A"/>
    <w:rsid w:val="00AB6815"/>
    <w:rsid w:val="00AC205C"/>
    <w:rsid w:val="00AF0A6B"/>
    <w:rsid w:val="00B05A69"/>
    <w:rsid w:val="00B43BC8"/>
    <w:rsid w:val="00B74BB7"/>
    <w:rsid w:val="00B75281"/>
    <w:rsid w:val="00B92F1F"/>
    <w:rsid w:val="00B9734B"/>
    <w:rsid w:val="00BA30E2"/>
    <w:rsid w:val="00BB23EE"/>
    <w:rsid w:val="00BC039A"/>
    <w:rsid w:val="00C00276"/>
    <w:rsid w:val="00C02229"/>
    <w:rsid w:val="00C11BFE"/>
    <w:rsid w:val="00C328AA"/>
    <w:rsid w:val="00C411AD"/>
    <w:rsid w:val="00C42435"/>
    <w:rsid w:val="00C5047D"/>
    <w:rsid w:val="00C5068F"/>
    <w:rsid w:val="00C86D74"/>
    <w:rsid w:val="00CD04F1"/>
    <w:rsid w:val="00CF6256"/>
    <w:rsid w:val="00CF681A"/>
    <w:rsid w:val="00D07C78"/>
    <w:rsid w:val="00D3391E"/>
    <w:rsid w:val="00D45252"/>
    <w:rsid w:val="00D61EC6"/>
    <w:rsid w:val="00D71B4D"/>
    <w:rsid w:val="00D93D4C"/>
    <w:rsid w:val="00D93D55"/>
    <w:rsid w:val="00DD7B7F"/>
    <w:rsid w:val="00E12B66"/>
    <w:rsid w:val="00E14C7F"/>
    <w:rsid w:val="00E15015"/>
    <w:rsid w:val="00E31B4F"/>
    <w:rsid w:val="00E335FE"/>
    <w:rsid w:val="00E35192"/>
    <w:rsid w:val="00E827BF"/>
    <w:rsid w:val="00E82F6F"/>
    <w:rsid w:val="00E955BE"/>
    <w:rsid w:val="00EA2A90"/>
    <w:rsid w:val="00EA7D6E"/>
    <w:rsid w:val="00EB2F76"/>
    <w:rsid w:val="00EB363F"/>
    <w:rsid w:val="00EC4E49"/>
    <w:rsid w:val="00ED77FB"/>
    <w:rsid w:val="00EE45FA"/>
    <w:rsid w:val="00EF044F"/>
    <w:rsid w:val="00F043DE"/>
    <w:rsid w:val="00F63809"/>
    <w:rsid w:val="00F66152"/>
    <w:rsid w:val="00F84CA5"/>
    <w:rsid w:val="00F9165B"/>
    <w:rsid w:val="00F97228"/>
    <w:rsid w:val="00F97351"/>
    <w:rsid w:val="00FA2FA2"/>
    <w:rsid w:val="00FC482F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23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596424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596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0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2FA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loria.mirescu@patentamt.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.riedl@patentamt.at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es.raumauf@patentamt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ctlegal.wipo.int/eGuide/view-doc.xhtml?doc-code=AT&amp;doc-lang=en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xport/sites/www/pct/en/docs/circulars/2024/167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PCT/CTC/33/2</vt:lpstr>
      <vt:lpstr>PCT/CTC/33/</vt:lpstr>
    </vt:vector>
  </TitlesOfParts>
  <Company>WIPO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</dc:title>
  <dc:creator>NOVRUZOVA Elnara</dc:creator>
  <cp:keywords>FOR OFFICIAL USE ONLY</cp:keywords>
  <cp:lastModifiedBy>SAKR Sally</cp:lastModifiedBy>
  <cp:revision>2</cp:revision>
  <cp:lastPrinted>2011-02-15T11:56:00Z</cp:lastPrinted>
  <dcterms:created xsi:type="dcterms:W3CDTF">2026-01-06T09:08:00Z</dcterms:created>
  <dcterms:modified xsi:type="dcterms:W3CDTF">2026-01-06T09:08:00Z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2025-11-27T14:25:03Z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2862c55a-3e94-4e4f-af41-115f64ab3cac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