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6C433" w14:textId="174DA136" w:rsidR="008B2CC1" w:rsidRPr="00F043DE" w:rsidRDefault="00727E12" w:rsidP="00761CD8">
      <w:pPr>
        <w:pBdr>
          <w:bottom w:val="single" w:sz="4" w:space="9" w:color="auto"/>
        </w:pBdr>
        <w:spacing w:after="120"/>
        <w:jc w:val="right"/>
        <w:rPr>
          <w:b/>
          <w:sz w:val="32"/>
          <w:szCs w:val="40"/>
        </w:rPr>
      </w:pPr>
      <w:r w:rsidRPr="000B79EF">
        <w:rPr>
          <w:noProof/>
        </w:rPr>
        <w:drawing>
          <wp:inline distT="0" distB="0" distL="0" distR="0" wp14:anchorId="182E611F" wp14:editId="542D0FF0">
            <wp:extent cx="3246120" cy="1516380"/>
            <wp:effectExtent l="0" t="0" r="0" b="7620"/>
            <wp:docPr id="1" name="Picture 1" descr="Эмблема Всемирной организации интеллектуальной собственности (ВОИС)&#10;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10;"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rotWithShape="1">
                    <a:blip r:embed="rId8">
                      <a:extLst>
                        <a:ext uri="{28A0092B-C50C-407E-A947-70E740481C1C}">
                          <a14:useLocalDpi xmlns:a14="http://schemas.microsoft.com/office/drawing/2010/main" val="0"/>
                        </a:ext>
                      </a:extLst>
                    </a:blip>
                    <a:srcRect t="7010"/>
                    <a:stretch>
                      <a:fillRect/>
                    </a:stretch>
                  </pic:blipFill>
                  <pic:spPr bwMode="auto">
                    <a:xfrm>
                      <a:off x="0" y="0"/>
                      <a:ext cx="3246120" cy="1516380"/>
                    </a:xfrm>
                    <a:prstGeom prst="rect">
                      <a:avLst/>
                    </a:prstGeom>
                    <a:noFill/>
                    <a:ln>
                      <a:noFill/>
                    </a:ln>
                    <a:extLst>
                      <a:ext uri="{53640926-AAD7-44D8-BBD7-CCE9431645EC}">
                        <a14:shadowObscured xmlns:a14="http://schemas.microsoft.com/office/drawing/2010/main"/>
                      </a:ext>
                    </a:extLst>
                  </pic:spPr>
                </pic:pic>
              </a:graphicData>
            </a:graphic>
          </wp:inline>
        </w:drawing>
      </w:r>
    </w:p>
    <w:p w14:paraId="7561BB34" w14:textId="3B9A6BD1" w:rsidR="008B2CC1" w:rsidRPr="002326AB" w:rsidRDefault="00761CD8" w:rsidP="00EB2F76">
      <w:pPr>
        <w:jc w:val="right"/>
        <w:rPr>
          <w:rFonts w:ascii="Arial Black" w:hAnsi="Arial Black"/>
          <w:caps/>
          <w:sz w:val="15"/>
          <w:szCs w:val="15"/>
        </w:rPr>
      </w:pPr>
      <w:r>
        <w:rPr>
          <w:rFonts w:ascii="Arial Black" w:hAnsi="Arial Black"/>
          <w:caps/>
          <w:sz w:val="15"/>
          <w:szCs w:val="15"/>
        </w:rPr>
        <w:t>PCT/CTC/33/</w:t>
      </w:r>
      <w:bookmarkStart w:id="0" w:name="Code"/>
      <w:bookmarkEnd w:id="0"/>
      <w:r>
        <w:rPr>
          <w:rFonts w:ascii="Arial Black" w:hAnsi="Arial Black"/>
          <w:caps/>
          <w:sz w:val="15"/>
          <w:szCs w:val="15"/>
        </w:rPr>
        <w:t>13</w:t>
      </w:r>
    </w:p>
    <w:p w14:paraId="4157C28F" w14:textId="6CB2CDA9" w:rsidR="008B2CC1" w:rsidRPr="000A3D97" w:rsidRDefault="00EB2F76" w:rsidP="00EB2F76">
      <w:pPr>
        <w:jc w:val="right"/>
        <w:rPr>
          <w:rFonts w:ascii="Arial Black" w:hAnsi="Arial Black"/>
          <w:caps/>
          <w:sz w:val="15"/>
          <w:szCs w:val="15"/>
        </w:rPr>
      </w:pPr>
      <w:r>
        <w:rPr>
          <w:rFonts w:ascii="Arial Black" w:hAnsi="Arial Black"/>
          <w:caps/>
          <w:sz w:val="15"/>
          <w:szCs w:val="15"/>
        </w:rPr>
        <w:t>ОРИГИНАЛ:</w:t>
      </w:r>
      <w:r w:rsidR="00067D6C">
        <w:rPr>
          <w:rFonts w:ascii="Arial Black" w:hAnsi="Arial Black"/>
          <w:caps/>
          <w:sz w:val="15"/>
          <w:szCs w:val="15"/>
        </w:rPr>
        <w:t xml:space="preserve"> </w:t>
      </w:r>
      <w:bookmarkStart w:id="1" w:name="Original"/>
      <w:r>
        <w:rPr>
          <w:rFonts w:ascii="Arial Black" w:hAnsi="Arial Black"/>
          <w:caps/>
          <w:sz w:val="15"/>
          <w:szCs w:val="15"/>
        </w:rPr>
        <w:t>АНГЛИЙСКИЙ</w:t>
      </w:r>
    </w:p>
    <w:bookmarkEnd w:id="1"/>
    <w:p w14:paraId="5ECFCDC6" w14:textId="672D1012" w:rsidR="008B2CC1" w:rsidRPr="000A3D97" w:rsidRDefault="00EB2F76" w:rsidP="000A3D97">
      <w:pPr>
        <w:spacing w:after="1200"/>
        <w:jc w:val="right"/>
        <w:rPr>
          <w:rFonts w:ascii="Arial Black" w:hAnsi="Arial Black"/>
          <w:caps/>
          <w:sz w:val="15"/>
          <w:szCs w:val="15"/>
        </w:rPr>
      </w:pPr>
      <w:r>
        <w:rPr>
          <w:rFonts w:ascii="Arial Black" w:hAnsi="Arial Black"/>
          <w:caps/>
          <w:sz w:val="15"/>
          <w:szCs w:val="15"/>
        </w:rPr>
        <w:t>ДАТА:</w:t>
      </w:r>
      <w:r w:rsidR="00067D6C">
        <w:rPr>
          <w:rFonts w:ascii="Arial Black" w:hAnsi="Arial Black"/>
          <w:caps/>
          <w:sz w:val="15"/>
          <w:szCs w:val="15"/>
        </w:rPr>
        <w:t xml:space="preserve"> </w:t>
      </w:r>
      <w:bookmarkStart w:id="2" w:name="Date"/>
      <w:r>
        <w:rPr>
          <w:rFonts w:ascii="Arial Black" w:hAnsi="Arial Black"/>
          <w:caps/>
          <w:sz w:val="15"/>
          <w:szCs w:val="15"/>
        </w:rPr>
        <w:t>19 ДЕКАБРЯ 2025 ГОДА</w:t>
      </w:r>
    </w:p>
    <w:bookmarkEnd w:id="2"/>
    <w:p w14:paraId="65161F5C" w14:textId="77777777" w:rsidR="008B2CC1" w:rsidRPr="004B446A" w:rsidRDefault="00761CD8" w:rsidP="004B446A">
      <w:pPr>
        <w:spacing w:after="480"/>
        <w:rPr>
          <w:b/>
          <w:bCs/>
        </w:rPr>
      </w:pPr>
      <w:r>
        <w:rPr>
          <w:b/>
          <w:bCs/>
          <w:sz w:val="28"/>
          <w:szCs w:val="24"/>
        </w:rPr>
        <w:t>Договор о патентной кооперации (PCT)</w:t>
      </w:r>
      <w:r>
        <w:rPr>
          <w:b/>
          <w:bCs/>
          <w:sz w:val="28"/>
          <w:szCs w:val="24"/>
        </w:rPr>
        <w:br/>
        <w:t>Комитет по техническому сотрудничеству</w:t>
      </w:r>
    </w:p>
    <w:p w14:paraId="1CBE04FC" w14:textId="77777777" w:rsidR="00A90F0A" w:rsidRDefault="00761CD8" w:rsidP="00A90F0A">
      <w:pPr>
        <w:outlineLvl w:val="1"/>
        <w:rPr>
          <w:b/>
          <w:sz w:val="24"/>
          <w:szCs w:val="24"/>
        </w:rPr>
      </w:pPr>
      <w:r>
        <w:rPr>
          <w:b/>
          <w:sz w:val="24"/>
          <w:szCs w:val="24"/>
        </w:rPr>
        <w:t>Тридцать третья сессия</w:t>
      </w:r>
    </w:p>
    <w:p w14:paraId="40D1F4FD" w14:textId="77777777" w:rsidR="008B2CC1" w:rsidRPr="003845C1" w:rsidRDefault="00761CD8" w:rsidP="00F9165B">
      <w:pPr>
        <w:spacing w:after="720"/>
        <w:outlineLvl w:val="1"/>
        <w:rPr>
          <w:b/>
          <w:sz w:val="24"/>
          <w:szCs w:val="24"/>
        </w:rPr>
      </w:pPr>
      <w:r>
        <w:rPr>
          <w:b/>
          <w:sz w:val="24"/>
          <w:szCs w:val="24"/>
        </w:rPr>
        <w:t>Женева, 2–6 февраля 2026 года</w:t>
      </w:r>
    </w:p>
    <w:p w14:paraId="51B065A7" w14:textId="7632CE6F" w:rsidR="008B2CC1" w:rsidRPr="003845C1" w:rsidRDefault="009A31F1" w:rsidP="00DD7B7F">
      <w:pPr>
        <w:spacing w:after="360"/>
        <w:outlineLvl w:val="0"/>
        <w:rPr>
          <w:caps/>
          <w:sz w:val="24"/>
        </w:rPr>
      </w:pPr>
      <w:bookmarkStart w:id="3" w:name="TitleOfDoc"/>
      <w:r>
        <w:rPr>
          <w:caps/>
          <w:sz w:val="24"/>
        </w:rPr>
        <w:t xml:space="preserve">ПРОДЛЕНИЕ НАЗНАЧЕНИЯ ИЗРАИЛЬСКОГО ПАТЕНТНОГО ВЕДОМСТВА В КАЧЕСТВЕ МЕЖДУНАРОДНОГО ПОИСКОВОГО ОРГАНА И ОРГАНА МЕЖДУНАРОДНОЙ ПРЕДВАРИТЕЛЬНОЙ ЭКСПЕРТИЗЫ В РАМКАХ PCT </w:t>
      </w:r>
    </w:p>
    <w:p w14:paraId="7738860A" w14:textId="24FE54E8" w:rsidR="002928D3" w:rsidRPr="00F9165B" w:rsidRDefault="009A31F1" w:rsidP="001D4107">
      <w:pPr>
        <w:spacing w:after="1040"/>
        <w:rPr>
          <w:i/>
        </w:rPr>
      </w:pPr>
      <w:bookmarkStart w:id="4" w:name="Prepared"/>
      <w:bookmarkEnd w:id="3"/>
      <w:bookmarkEnd w:id="4"/>
      <w:r>
        <w:rPr>
          <w:i/>
        </w:rPr>
        <w:t>Документ подготовлен Международным бюро</w:t>
      </w:r>
    </w:p>
    <w:p w14:paraId="4E7B2DAF" w14:textId="22DDD2B5" w:rsidR="002326AB" w:rsidRDefault="009A31F1" w:rsidP="002326AB">
      <w:pPr>
        <w:spacing w:after="220"/>
      </w:pPr>
      <w:r>
        <w:t>1.</w:t>
      </w:r>
      <w:r>
        <w:tab/>
        <w:t>Все действующие международные органы были назначены Ассамблеей РСТ на срок, заканчивающийся 31 декабря 2027 года.</w:t>
      </w:r>
      <w:r w:rsidR="00067D6C">
        <w:t xml:space="preserve"> </w:t>
      </w:r>
      <w:r>
        <w:t>До истечения этого срока Ассамблея должна будет принять решение о продлении назначения каждого из действующих международных органов, который пожелает получить продление срока своего назначения, и для этого предварительно запросить мнение Комитета (см. статьи PCT 16(3)(e) и 32(3)).</w:t>
      </w:r>
      <w:r w:rsidR="00067D6C">
        <w:t xml:space="preserve"> </w:t>
      </w:r>
      <w:r>
        <w:t>Информация о данной процедуре и роли Комитета приводится в документе PCT/CTC/33/INF/1.</w:t>
      </w:r>
    </w:p>
    <w:p w14:paraId="518176C0" w14:textId="527AC11B" w:rsidR="009A31F1" w:rsidRDefault="009A31F1" w:rsidP="002326AB">
      <w:pPr>
        <w:spacing w:after="220"/>
      </w:pPr>
      <w:r>
        <w:t>2.</w:t>
      </w:r>
      <w:r>
        <w:tab/>
        <w:t>30 октября 2025 года Израильское патентное ведомство подало заявление о продлении своего назначения, которое воспроизводится в приложении к настоящему документу.</w:t>
      </w:r>
    </w:p>
    <w:p w14:paraId="5AECB256" w14:textId="086B29CF" w:rsidR="009A31F1" w:rsidRDefault="009A31F1" w:rsidP="009A31F1">
      <w:pPr>
        <w:spacing w:after="220"/>
        <w:ind w:left="5533"/>
        <w:rPr>
          <w:i/>
        </w:rPr>
      </w:pPr>
      <w:r>
        <w:rPr>
          <w:i/>
        </w:rPr>
        <w:t>3.</w:t>
      </w:r>
      <w:r>
        <w:rPr>
          <w:i/>
        </w:rPr>
        <w:tab/>
        <w:t>Комитету предлагается высказать свое мнение по данному вопросу.</w:t>
      </w:r>
    </w:p>
    <w:p w14:paraId="27CF3FCB" w14:textId="77777777" w:rsidR="009A31F1" w:rsidRDefault="009A31F1" w:rsidP="009A31F1">
      <w:pPr>
        <w:spacing w:after="220"/>
        <w:jc w:val="both"/>
        <w:rPr>
          <w:i/>
        </w:rPr>
      </w:pPr>
    </w:p>
    <w:p w14:paraId="593F9160" w14:textId="77777777" w:rsidR="009A31F1" w:rsidRDefault="009A31F1" w:rsidP="009A31F1">
      <w:pPr>
        <w:spacing w:after="220"/>
        <w:ind w:left="4966" w:firstLine="567"/>
        <w:jc w:val="both"/>
        <w:sectPr w:rsidR="009A31F1" w:rsidSect="009A31F1">
          <w:headerReference w:type="default" r:id="rId9"/>
          <w:headerReference w:type="first" r:id="rId10"/>
          <w:endnotePr>
            <w:numFmt w:val="decimal"/>
          </w:endnotePr>
          <w:pgSz w:w="11907" w:h="16840" w:code="9"/>
          <w:pgMar w:top="567" w:right="1134" w:bottom="1418" w:left="1418" w:header="510" w:footer="1021" w:gutter="0"/>
          <w:cols w:space="720"/>
          <w:titlePg/>
          <w:docGrid w:linePitch="299"/>
        </w:sectPr>
      </w:pPr>
      <w:r>
        <w:t>[Приложение следует]</w:t>
      </w:r>
    </w:p>
    <w:p w14:paraId="1C2CA1D0" w14:textId="77777777" w:rsidR="009A31F1" w:rsidRDefault="009A31F1" w:rsidP="009A31F1">
      <w:pPr>
        <w:rPr>
          <w:i/>
        </w:rPr>
      </w:pPr>
    </w:p>
    <w:p w14:paraId="77F0B892" w14:textId="77777777" w:rsidR="009A31F1" w:rsidRDefault="009A31F1" w:rsidP="009A31F1">
      <w:pPr>
        <w:pStyle w:val="Heading2"/>
        <w:jc w:val="center"/>
      </w:pPr>
      <w:r>
        <w:t>Заявление о продлении назначения в качестве Международного поискового органа и Органа международной предварительной экспертизы в рамках РСТ</w:t>
      </w:r>
    </w:p>
    <w:p w14:paraId="68E5AD2D" w14:textId="77777777" w:rsidR="009A31F1" w:rsidRDefault="009A31F1" w:rsidP="009A31F1">
      <w:pPr>
        <w:pStyle w:val="SectionHeading"/>
      </w:pPr>
      <w:r>
        <w:t>1 – Общие сведения</w:t>
      </w:r>
    </w:p>
    <w:p w14:paraId="3D4C6112" w14:textId="391AF82B" w:rsidR="00393C9B" w:rsidRPr="002309D0" w:rsidRDefault="00393C9B" w:rsidP="00393C9B">
      <w:pPr>
        <w:pStyle w:val="Question"/>
        <w:spacing w:after="480"/>
        <w:rPr>
          <w:b w:val="0"/>
        </w:rPr>
      </w:pPr>
      <w:r>
        <w:t>(a)</w:t>
      </w:r>
      <w:r>
        <w:tab/>
        <w:t>Название ведомства или межправительственной организации:</w:t>
      </w:r>
      <w:r w:rsidR="00067D6C">
        <w:rPr>
          <w:color w:val="C00000"/>
        </w:rPr>
        <w:t xml:space="preserve"> </w:t>
      </w:r>
      <w:r>
        <w:rPr>
          <w:b w:val="0"/>
        </w:rPr>
        <w:t>Израильское патентное ведомство (ILPO)</w:t>
      </w:r>
    </w:p>
    <w:p w14:paraId="3634CB1A" w14:textId="77777777" w:rsidR="00393C9B" w:rsidRDefault="00393C9B" w:rsidP="00393C9B">
      <w:pPr>
        <w:pStyle w:val="Question"/>
        <w:spacing w:after="480"/>
      </w:pPr>
      <w:r>
        <w:t>(b)</w:t>
      </w:r>
      <w:r>
        <w:tab/>
        <w:t>Имя и контактная информация должностного лица, к которому можно обратиться с любыми вопросами по поводу настоящего заявления:</w:t>
      </w:r>
    </w:p>
    <w:p w14:paraId="22607CF0" w14:textId="77777777" w:rsidR="00393C9B" w:rsidRPr="002309D0" w:rsidRDefault="00393C9B" w:rsidP="00393C9B">
      <w:pPr>
        <w:pStyle w:val="Question"/>
        <w:spacing w:after="480"/>
        <w:rPr>
          <w:b w:val="0"/>
        </w:rPr>
      </w:pPr>
      <w:r>
        <w:rPr>
          <w:b w:val="0"/>
        </w:rPr>
        <w:t>Барух (Барри) Ньюман, руководитель группы, отдел РСТ</w:t>
      </w:r>
    </w:p>
    <w:p w14:paraId="6AA5CA84" w14:textId="14BE4098" w:rsidR="00393C9B" w:rsidRPr="00C945D7" w:rsidRDefault="00393C9B" w:rsidP="00393C9B">
      <w:pPr>
        <w:pStyle w:val="Question"/>
        <w:spacing w:after="480"/>
        <w:rPr>
          <w:b w:val="0"/>
        </w:rPr>
      </w:pPr>
      <w:r>
        <w:rPr>
          <w:b w:val="0"/>
        </w:rPr>
        <w:t>Электронная почта:</w:t>
      </w:r>
      <w:r w:rsidR="00067D6C">
        <w:rPr>
          <w:b w:val="0"/>
        </w:rPr>
        <w:t xml:space="preserve"> </w:t>
      </w:r>
      <w:r>
        <w:rPr>
          <w:rStyle w:val="Hyperlink"/>
          <w:b w:val="0"/>
          <w:bCs w:val="0"/>
          <w:szCs w:val="20"/>
        </w:rPr>
        <w:t>BaruchN@justice.gov.il</w:t>
      </w:r>
    </w:p>
    <w:p w14:paraId="75572728" w14:textId="77777777" w:rsidR="00393C9B" w:rsidRDefault="00393C9B" w:rsidP="00393C9B">
      <w:pPr>
        <w:pStyle w:val="Question"/>
      </w:pPr>
      <w:r>
        <w:t>(b)</w:t>
      </w:r>
      <w:r>
        <w:tab/>
        <w:t>Дата получения Генеральным директором заявления о продлении назначения:</w:t>
      </w:r>
    </w:p>
    <w:p w14:paraId="2F67CDC7" w14:textId="5DFF8C10" w:rsidR="00393C9B" w:rsidRPr="00393C9B" w:rsidRDefault="00393C9B" w:rsidP="00393C9B">
      <w:pPr>
        <w:pStyle w:val="Answer"/>
        <w:rPr>
          <w:iCs/>
        </w:rPr>
      </w:pPr>
      <w:r>
        <w:t>30 октября 2025 года</w:t>
      </w:r>
    </w:p>
    <w:p w14:paraId="671168CF" w14:textId="77777777" w:rsidR="009A31F1" w:rsidRPr="002B3808" w:rsidRDefault="009A31F1" w:rsidP="009A31F1">
      <w:pPr>
        <w:pStyle w:val="SectionHeading"/>
      </w:pPr>
      <w:r>
        <w:t>2 – МИНИМУМ ТРЕБОВАНИЙ ДЛЯ НАЗНАЧЕНИЯ</w:t>
      </w:r>
    </w:p>
    <w:p w14:paraId="21EECB02" w14:textId="251A63DC" w:rsidR="009A31F1" w:rsidRDefault="009A31F1" w:rsidP="009A31F1">
      <w:r>
        <w:t xml:space="preserve">В дополнение к ежегодному отчету ведомства или организации о системе управления качеством за 2025 год («отчет о системе УК» </w:t>
      </w:r>
      <w:hyperlink r:id="rId11" w:anchor="IL" w:history="1">
        <w:r>
          <w:rPr>
            <w:rStyle w:val="Hyperlink"/>
          </w:rPr>
          <w:t>https://www.wipo.int/en/web/pct-system/quality/authorities#IL</w:t>
        </w:r>
      </w:hyperlink>
      <w:r>
        <w:t>), подготовленному в соответствии с пунктами 21.31 и 21.32 Руководства по проведению международного поиска и международной предварительной экспертизы («Руководство»), Орган предоставляет следующую информацию.</w:t>
      </w:r>
    </w:p>
    <w:p w14:paraId="60EEBE3A" w14:textId="77777777" w:rsidR="009A31F1" w:rsidRPr="002B3808" w:rsidRDefault="009A31F1" w:rsidP="009A31F1">
      <w:pPr>
        <w:pStyle w:val="SectionHeading"/>
      </w:pPr>
      <w:r>
        <w:t>2.1 – ВОЗМОЖНОСТИ ДЛЯ ПРОВЕДЕНИЯ ПОИСКА И ЭКСПЕРТИЗЫ</w:t>
      </w:r>
    </w:p>
    <w:p w14:paraId="4204A13E" w14:textId="2AD32336" w:rsidR="009A31F1" w:rsidRDefault="009A31F1" w:rsidP="009A31F1">
      <w:pPr>
        <w:pStyle w:val="RuleQuote"/>
      </w:pPr>
      <w:r>
        <w:t>Правила 36.1(i) и 63.1(i). Национальное ведомство или межправительственная организация должны иметь по крайней мере 100</w:t>
      </w:r>
      <w:r w:rsidR="007947D2">
        <w:t> </w:t>
      </w:r>
      <w:r>
        <w:t>сотрудников, занятых полную рабочую неделю и обладающих достаточной технической квалификацией для проведения поиска и экспертизы.</w:t>
      </w:r>
    </w:p>
    <w:p w14:paraId="46AAB020" w14:textId="726BFA5D" w:rsidR="009A31F1" w:rsidRDefault="009A31F1" w:rsidP="00393C9B">
      <w:pPr>
        <w:pStyle w:val="RuleQuote"/>
        <w:ind w:left="0" w:right="53"/>
        <w:rPr>
          <w:i w:val="0"/>
          <w:iCs w:val="0"/>
        </w:rPr>
      </w:pPr>
      <w:r>
        <w:rPr>
          <w:i w:val="0"/>
          <w:iCs w:val="0"/>
        </w:rPr>
        <w:t>Отчет о системе УК содержит предоставленную Органом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 21.15(i) Руководства, а также о программах обучения и повышения квалификации сотрудников, участвующих в процессе поиска и экспертизы, в соответствии с пунктом 21.15(vi).</w:t>
      </w:r>
      <w:r w:rsidR="00067D6C">
        <w:rPr>
          <w:i w:val="0"/>
          <w:iCs w:val="0"/>
        </w:rPr>
        <w:t xml:space="preserve"> </w:t>
      </w:r>
      <w:r>
        <w:rPr>
          <w:i w:val="0"/>
          <w:iCs w:val="0"/>
        </w:rPr>
        <w:t>Орган также указывает следующую информацию о количестве сотрудников, обладающих квалификацией для проведения поиска и экспертизы.</w:t>
      </w:r>
      <w:r w:rsidR="00067D6C">
        <w:rPr>
          <w:i w:val="0"/>
          <w:iCs w:val="0"/>
        </w:rPr>
        <w:t xml:space="preserve"> </w:t>
      </w:r>
    </w:p>
    <w:p w14:paraId="7B23337F" w14:textId="77777777" w:rsidR="00C5047D" w:rsidRPr="00776619" w:rsidRDefault="00C5047D" w:rsidP="009A31F1">
      <w:pPr>
        <w:ind w:left="540"/>
        <w:jc w:val="both"/>
        <w:rPr>
          <w:rFonts w:ascii="Helvetica" w:hAnsi="Helvetica" w:cs="Helvetica"/>
          <w:color w:val="000000" w:themeColor="text1"/>
          <w:szCs w:val="22"/>
        </w:rPr>
      </w:pPr>
    </w:p>
    <w:p w14:paraId="70EE9A7D" w14:textId="77777777" w:rsidR="00C5047D" w:rsidRPr="009D0055" w:rsidRDefault="00C5047D" w:rsidP="009A31F1">
      <w:pPr>
        <w:ind w:left="540"/>
        <w:jc w:val="both"/>
        <w:rPr>
          <w:rFonts w:ascii="Helvetica" w:hAnsi="Helvetica" w:cs="Helvetica"/>
          <w:i/>
          <w:iCs/>
          <w:color w:val="000000" w:themeColor="text1"/>
          <w:szCs w:val="22"/>
        </w:rPr>
      </w:pPr>
    </w:p>
    <w:p w14:paraId="0066CCED" w14:textId="77777777" w:rsidR="00C5047D" w:rsidRDefault="00C5047D" w:rsidP="00393C9B">
      <w:pPr>
        <w:pStyle w:val="Question"/>
        <w:spacing w:after="480"/>
      </w:pPr>
      <w:r>
        <w:lastRenderedPageBreak/>
        <w:t>Количество сотрудников, обладающих квалификацией для проведения поиска и экспертизы:</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Количество сотрудников, обладающих квалификацией для проведения поиска и экспертизы"/>
        <w:tblDescription w:val="В этой таблице приведены данные о количестве экспертов (в пересчете на занятых полный рабочий день) и имеющих квалификацию для работы в технических областях механики, электротехники/электроники, химии и биотехнологии, средний стаж работы в качестве экзаменаторов в каждой из этих областей, а также разбивка их квалификаций."/>
      </w:tblPr>
      <w:tblGrid>
        <w:gridCol w:w="2114"/>
        <w:gridCol w:w="1850"/>
        <w:gridCol w:w="1701"/>
        <w:gridCol w:w="709"/>
        <w:gridCol w:w="1276"/>
        <w:gridCol w:w="1417"/>
      </w:tblGrid>
      <w:tr w:rsidR="002309D0" w:rsidRPr="002309D0" w14:paraId="5CE7881C" w14:textId="77777777" w:rsidTr="00C02CBC">
        <w:trPr>
          <w:cantSplit/>
          <w:tblHeader/>
        </w:trPr>
        <w:tc>
          <w:tcPr>
            <w:tcW w:w="2114" w:type="dxa"/>
            <w:vMerge w:val="restart"/>
            <w:tcBorders>
              <w:top w:val="single" w:sz="4" w:space="0" w:color="auto"/>
              <w:left w:val="single" w:sz="4" w:space="0" w:color="auto"/>
              <w:right w:val="single" w:sz="4" w:space="0" w:color="auto"/>
            </w:tcBorders>
            <w:hideMark/>
          </w:tcPr>
          <w:p w14:paraId="56A14F2F" w14:textId="77777777" w:rsidR="00393C9B" w:rsidRPr="002309D0" w:rsidRDefault="00393C9B" w:rsidP="007F4BEC">
            <w:pPr>
              <w:keepNext/>
              <w:keepLines/>
              <w:suppressAutoHyphens/>
              <w:rPr>
                <w:rFonts w:eastAsia="Times New Roman"/>
                <w:b/>
                <w:bCs/>
                <w:szCs w:val="22"/>
              </w:rPr>
            </w:pPr>
            <w:r>
              <w:rPr>
                <w:b/>
                <w:bCs/>
                <w:szCs w:val="22"/>
              </w:rPr>
              <w:t>Область техники</w:t>
            </w:r>
          </w:p>
        </w:tc>
        <w:tc>
          <w:tcPr>
            <w:tcW w:w="1850" w:type="dxa"/>
            <w:vMerge w:val="restart"/>
            <w:tcBorders>
              <w:top w:val="single" w:sz="4" w:space="0" w:color="auto"/>
              <w:left w:val="single" w:sz="4" w:space="0" w:color="auto"/>
              <w:right w:val="single" w:sz="4" w:space="0" w:color="auto"/>
            </w:tcBorders>
            <w:hideMark/>
          </w:tcPr>
          <w:p w14:paraId="056799B7" w14:textId="77777777" w:rsidR="00393C9B" w:rsidRPr="002309D0" w:rsidRDefault="00393C9B" w:rsidP="007F4BEC">
            <w:pPr>
              <w:keepNext/>
              <w:keepLines/>
              <w:suppressAutoHyphens/>
              <w:rPr>
                <w:rFonts w:eastAsia="Times New Roman"/>
                <w:b/>
                <w:bCs/>
                <w:szCs w:val="22"/>
              </w:rPr>
            </w:pPr>
            <w:r>
              <w:rPr>
                <w:b/>
                <w:bCs/>
                <w:szCs w:val="22"/>
              </w:rPr>
              <w:t>Количество сотрудников (в пересчете на занятых полную рабочую неделю)</w:t>
            </w:r>
          </w:p>
        </w:tc>
        <w:tc>
          <w:tcPr>
            <w:tcW w:w="1701" w:type="dxa"/>
            <w:vMerge w:val="restart"/>
            <w:tcBorders>
              <w:top w:val="single" w:sz="4" w:space="0" w:color="auto"/>
              <w:left w:val="single" w:sz="4" w:space="0" w:color="auto"/>
              <w:right w:val="single" w:sz="4" w:space="0" w:color="auto"/>
            </w:tcBorders>
            <w:hideMark/>
          </w:tcPr>
          <w:p w14:paraId="7280BA93" w14:textId="77777777" w:rsidR="00393C9B" w:rsidRPr="002309D0" w:rsidRDefault="00393C9B" w:rsidP="007F4BEC">
            <w:pPr>
              <w:suppressAutoHyphens/>
              <w:rPr>
                <w:rFonts w:eastAsia="Times New Roman"/>
                <w:b/>
                <w:bCs/>
                <w:szCs w:val="24"/>
              </w:rPr>
            </w:pPr>
            <w:r>
              <w:rPr>
                <w:b/>
                <w:bCs/>
              </w:rPr>
              <w:t>Средний стаж в качестве эксперта (по числу лет)</w:t>
            </w:r>
          </w:p>
        </w:tc>
        <w:tc>
          <w:tcPr>
            <w:tcW w:w="3402" w:type="dxa"/>
            <w:gridSpan w:val="3"/>
            <w:tcBorders>
              <w:top w:val="single" w:sz="4" w:space="0" w:color="auto"/>
              <w:left w:val="single" w:sz="4" w:space="0" w:color="auto"/>
              <w:bottom w:val="single" w:sz="4" w:space="0" w:color="auto"/>
              <w:right w:val="single" w:sz="4" w:space="0" w:color="auto"/>
            </w:tcBorders>
            <w:hideMark/>
          </w:tcPr>
          <w:p w14:paraId="4F8282FA" w14:textId="77777777" w:rsidR="00393C9B" w:rsidRPr="002309D0" w:rsidRDefault="00393C9B" w:rsidP="007F4BEC">
            <w:pPr>
              <w:suppressAutoHyphens/>
              <w:rPr>
                <w:rFonts w:eastAsia="Times New Roman"/>
                <w:b/>
                <w:bCs/>
                <w:szCs w:val="24"/>
              </w:rPr>
            </w:pPr>
            <w:r>
              <w:rPr>
                <w:b/>
                <w:bCs/>
              </w:rPr>
              <w:t>В разбивке по уровням квалификации</w:t>
            </w:r>
          </w:p>
        </w:tc>
      </w:tr>
      <w:tr w:rsidR="002309D0" w:rsidRPr="002309D0" w14:paraId="5A23BCF5" w14:textId="77777777" w:rsidTr="00C02CBC">
        <w:trPr>
          <w:cantSplit/>
          <w:tblHeader/>
        </w:trPr>
        <w:tc>
          <w:tcPr>
            <w:tcW w:w="2114" w:type="dxa"/>
            <w:vMerge/>
            <w:tcBorders>
              <w:left w:val="single" w:sz="4" w:space="0" w:color="auto"/>
              <w:bottom w:val="single" w:sz="4" w:space="0" w:color="auto"/>
              <w:right w:val="single" w:sz="4" w:space="0" w:color="auto"/>
            </w:tcBorders>
          </w:tcPr>
          <w:p w14:paraId="395D8B77" w14:textId="77777777" w:rsidR="00393C9B" w:rsidRPr="002309D0" w:rsidRDefault="00393C9B" w:rsidP="007F4BEC">
            <w:pPr>
              <w:keepNext/>
              <w:keepLines/>
              <w:suppressAutoHyphens/>
              <w:rPr>
                <w:b/>
                <w:bCs/>
                <w:szCs w:val="22"/>
                <w:lang w:eastAsia="en-US" w:bidi="he-IL"/>
              </w:rPr>
            </w:pPr>
          </w:p>
        </w:tc>
        <w:tc>
          <w:tcPr>
            <w:tcW w:w="1850" w:type="dxa"/>
            <w:vMerge/>
            <w:tcBorders>
              <w:left w:val="single" w:sz="4" w:space="0" w:color="auto"/>
              <w:bottom w:val="single" w:sz="4" w:space="0" w:color="auto"/>
              <w:right w:val="single" w:sz="4" w:space="0" w:color="auto"/>
            </w:tcBorders>
          </w:tcPr>
          <w:p w14:paraId="54BC2048" w14:textId="77777777" w:rsidR="00393C9B" w:rsidRPr="002309D0" w:rsidRDefault="00393C9B" w:rsidP="007F4BEC">
            <w:pPr>
              <w:keepNext/>
              <w:keepLines/>
              <w:suppressAutoHyphens/>
              <w:rPr>
                <w:b/>
                <w:bCs/>
                <w:szCs w:val="22"/>
                <w:lang w:eastAsia="en-US" w:bidi="he-IL"/>
              </w:rPr>
            </w:pPr>
          </w:p>
        </w:tc>
        <w:tc>
          <w:tcPr>
            <w:tcW w:w="1701" w:type="dxa"/>
            <w:vMerge/>
            <w:tcBorders>
              <w:left w:val="single" w:sz="4" w:space="0" w:color="auto"/>
              <w:bottom w:val="single" w:sz="4" w:space="0" w:color="auto"/>
              <w:right w:val="single" w:sz="4" w:space="0" w:color="auto"/>
            </w:tcBorders>
          </w:tcPr>
          <w:p w14:paraId="502F5202" w14:textId="77777777" w:rsidR="00393C9B" w:rsidRPr="002309D0" w:rsidRDefault="00393C9B" w:rsidP="007F4BEC">
            <w:pPr>
              <w:suppressAutoHyphens/>
              <w:rPr>
                <w:b/>
                <w:bCs/>
                <w:lang w:eastAsia="en-US" w:bidi="he-IL"/>
              </w:rPr>
            </w:pPr>
          </w:p>
        </w:tc>
        <w:tc>
          <w:tcPr>
            <w:tcW w:w="709" w:type="dxa"/>
            <w:tcBorders>
              <w:top w:val="single" w:sz="4" w:space="0" w:color="auto"/>
              <w:left w:val="single" w:sz="4" w:space="0" w:color="auto"/>
              <w:bottom w:val="single" w:sz="4" w:space="0" w:color="auto"/>
              <w:right w:val="single" w:sz="4" w:space="0" w:color="auto"/>
            </w:tcBorders>
          </w:tcPr>
          <w:p w14:paraId="4269E720" w14:textId="379569D5" w:rsidR="00393C9B" w:rsidRPr="002309D0" w:rsidRDefault="00393C9B" w:rsidP="007F4BEC">
            <w:pPr>
              <w:suppressAutoHyphens/>
            </w:pPr>
            <w:r>
              <w:t>PhD</w:t>
            </w:r>
          </w:p>
        </w:tc>
        <w:tc>
          <w:tcPr>
            <w:tcW w:w="1276" w:type="dxa"/>
            <w:tcBorders>
              <w:top w:val="single" w:sz="4" w:space="0" w:color="auto"/>
              <w:left w:val="single" w:sz="4" w:space="0" w:color="auto"/>
              <w:bottom w:val="single" w:sz="4" w:space="0" w:color="auto"/>
              <w:right w:val="single" w:sz="4" w:space="0" w:color="auto"/>
            </w:tcBorders>
          </w:tcPr>
          <w:p w14:paraId="73D48CA4" w14:textId="77777777" w:rsidR="00393C9B" w:rsidRPr="002309D0" w:rsidRDefault="00393C9B" w:rsidP="007F4BEC">
            <w:pPr>
              <w:suppressAutoHyphens/>
            </w:pPr>
            <w:r>
              <w:t>степень магистра</w:t>
            </w:r>
          </w:p>
        </w:tc>
        <w:tc>
          <w:tcPr>
            <w:tcW w:w="1417" w:type="dxa"/>
            <w:tcBorders>
              <w:top w:val="single" w:sz="4" w:space="0" w:color="auto"/>
              <w:left w:val="single" w:sz="4" w:space="0" w:color="auto"/>
              <w:bottom w:val="single" w:sz="4" w:space="0" w:color="auto"/>
              <w:right w:val="single" w:sz="4" w:space="0" w:color="auto"/>
            </w:tcBorders>
          </w:tcPr>
          <w:p w14:paraId="3C245D80" w14:textId="77777777" w:rsidR="00393C9B" w:rsidRPr="002309D0" w:rsidRDefault="00393C9B" w:rsidP="007F4BEC">
            <w:pPr>
              <w:suppressAutoHyphens/>
            </w:pPr>
            <w:r>
              <w:t>степень бакалавра</w:t>
            </w:r>
          </w:p>
        </w:tc>
      </w:tr>
      <w:tr w:rsidR="002309D0" w:rsidRPr="002309D0" w14:paraId="26527776" w14:textId="77777777" w:rsidTr="00C02CBC">
        <w:trPr>
          <w:cantSplit/>
        </w:trPr>
        <w:tc>
          <w:tcPr>
            <w:tcW w:w="2114" w:type="dxa"/>
            <w:tcBorders>
              <w:top w:val="single" w:sz="4" w:space="0" w:color="auto"/>
              <w:left w:val="single" w:sz="4" w:space="0" w:color="auto"/>
              <w:bottom w:val="single" w:sz="4" w:space="0" w:color="auto"/>
              <w:right w:val="single" w:sz="4" w:space="0" w:color="auto"/>
            </w:tcBorders>
            <w:hideMark/>
          </w:tcPr>
          <w:p w14:paraId="2814EB75" w14:textId="77777777" w:rsidR="00393C9B" w:rsidRPr="002309D0" w:rsidRDefault="00393C9B" w:rsidP="007F4BEC">
            <w:pPr>
              <w:keepNext/>
              <w:keepLines/>
              <w:suppressAutoHyphens/>
              <w:rPr>
                <w:rFonts w:eastAsia="Times New Roman"/>
                <w:szCs w:val="22"/>
              </w:rPr>
            </w:pPr>
            <w:r>
              <w:t>Механика</w:t>
            </w:r>
          </w:p>
        </w:tc>
        <w:tc>
          <w:tcPr>
            <w:tcW w:w="1850" w:type="dxa"/>
            <w:tcBorders>
              <w:top w:val="single" w:sz="4" w:space="0" w:color="auto"/>
              <w:left w:val="single" w:sz="4" w:space="0" w:color="auto"/>
              <w:bottom w:val="single" w:sz="4" w:space="0" w:color="auto"/>
              <w:right w:val="single" w:sz="4" w:space="0" w:color="auto"/>
            </w:tcBorders>
          </w:tcPr>
          <w:p w14:paraId="4599A2EC" w14:textId="77777777" w:rsidR="00393C9B" w:rsidRPr="002309D0" w:rsidRDefault="00393C9B" w:rsidP="007F4BEC">
            <w:pPr>
              <w:keepNext/>
              <w:keepLines/>
              <w:suppressAutoHyphens/>
              <w:jc w:val="center"/>
              <w:rPr>
                <w:rFonts w:eastAsia="Times New Roman"/>
                <w:szCs w:val="22"/>
              </w:rPr>
            </w:pPr>
            <w:r>
              <w:t>27</w:t>
            </w:r>
          </w:p>
        </w:tc>
        <w:tc>
          <w:tcPr>
            <w:tcW w:w="1701" w:type="dxa"/>
            <w:tcBorders>
              <w:top w:val="single" w:sz="4" w:space="0" w:color="auto"/>
              <w:left w:val="single" w:sz="4" w:space="0" w:color="auto"/>
              <w:bottom w:val="single" w:sz="4" w:space="0" w:color="auto"/>
              <w:right w:val="single" w:sz="4" w:space="0" w:color="auto"/>
            </w:tcBorders>
          </w:tcPr>
          <w:p w14:paraId="320C1326" w14:textId="77777777" w:rsidR="00393C9B" w:rsidRPr="002309D0" w:rsidRDefault="00393C9B" w:rsidP="007F4BEC">
            <w:pPr>
              <w:keepNext/>
              <w:keepLines/>
              <w:suppressAutoHyphens/>
              <w:jc w:val="center"/>
              <w:rPr>
                <w:rFonts w:eastAsia="Times New Roman"/>
                <w:szCs w:val="22"/>
              </w:rPr>
            </w:pPr>
            <w:r>
              <w:t>10</w:t>
            </w:r>
          </w:p>
        </w:tc>
        <w:tc>
          <w:tcPr>
            <w:tcW w:w="709" w:type="dxa"/>
            <w:tcBorders>
              <w:top w:val="single" w:sz="4" w:space="0" w:color="auto"/>
              <w:left w:val="single" w:sz="4" w:space="0" w:color="auto"/>
              <w:bottom w:val="single" w:sz="4" w:space="0" w:color="auto"/>
              <w:right w:val="single" w:sz="4" w:space="0" w:color="auto"/>
            </w:tcBorders>
          </w:tcPr>
          <w:p w14:paraId="1447635D" w14:textId="77777777" w:rsidR="00393C9B" w:rsidRPr="002309D0" w:rsidRDefault="00393C9B" w:rsidP="007F4BEC">
            <w:pPr>
              <w:keepNext/>
              <w:keepLines/>
              <w:suppressAutoHyphens/>
              <w:jc w:val="center"/>
              <w:rPr>
                <w:rFonts w:eastAsia="Times New Roman"/>
                <w:szCs w:val="22"/>
              </w:rPr>
            </w:pPr>
            <w:r>
              <w:t>11%</w:t>
            </w:r>
          </w:p>
        </w:tc>
        <w:tc>
          <w:tcPr>
            <w:tcW w:w="1276" w:type="dxa"/>
            <w:tcBorders>
              <w:top w:val="single" w:sz="4" w:space="0" w:color="auto"/>
              <w:left w:val="single" w:sz="4" w:space="0" w:color="auto"/>
              <w:bottom w:val="single" w:sz="4" w:space="0" w:color="auto"/>
              <w:right w:val="single" w:sz="4" w:space="0" w:color="auto"/>
            </w:tcBorders>
          </w:tcPr>
          <w:p w14:paraId="11BB9000" w14:textId="77777777" w:rsidR="00393C9B" w:rsidRPr="002309D0" w:rsidRDefault="00393C9B" w:rsidP="007F4BEC">
            <w:pPr>
              <w:keepNext/>
              <w:keepLines/>
              <w:suppressAutoHyphens/>
              <w:jc w:val="center"/>
              <w:rPr>
                <w:rFonts w:eastAsia="Times New Roman"/>
                <w:szCs w:val="22"/>
              </w:rPr>
            </w:pPr>
            <w:r>
              <w:t>63%</w:t>
            </w:r>
          </w:p>
        </w:tc>
        <w:tc>
          <w:tcPr>
            <w:tcW w:w="1417" w:type="dxa"/>
            <w:tcBorders>
              <w:top w:val="single" w:sz="4" w:space="0" w:color="auto"/>
              <w:left w:val="single" w:sz="4" w:space="0" w:color="auto"/>
              <w:bottom w:val="single" w:sz="4" w:space="0" w:color="auto"/>
              <w:right w:val="single" w:sz="4" w:space="0" w:color="auto"/>
            </w:tcBorders>
          </w:tcPr>
          <w:p w14:paraId="638FFFBA" w14:textId="77777777" w:rsidR="00393C9B" w:rsidRPr="002309D0" w:rsidRDefault="00393C9B" w:rsidP="007F4BEC">
            <w:pPr>
              <w:keepNext/>
              <w:keepLines/>
              <w:suppressAutoHyphens/>
              <w:jc w:val="center"/>
              <w:rPr>
                <w:rFonts w:eastAsia="Times New Roman"/>
                <w:szCs w:val="22"/>
              </w:rPr>
            </w:pPr>
            <w:r>
              <w:t>26%</w:t>
            </w:r>
          </w:p>
        </w:tc>
      </w:tr>
      <w:tr w:rsidR="002309D0" w:rsidRPr="002309D0" w14:paraId="47D3E221" w14:textId="77777777" w:rsidTr="00C02CBC">
        <w:trPr>
          <w:cantSplit/>
        </w:trPr>
        <w:tc>
          <w:tcPr>
            <w:tcW w:w="2114" w:type="dxa"/>
            <w:tcBorders>
              <w:top w:val="single" w:sz="4" w:space="0" w:color="auto"/>
              <w:left w:val="single" w:sz="4" w:space="0" w:color="auto"/>
              <w:bottom w:val="single" w:sz="4" w:space="0" w:color="auto"/>
              <w:right w:val="single" w:sz="4" w:space="0" w:color="auto"/>
            </w:tcBorders>
            <w:hideMark/>
          </w:tcPr>
          <w:p w14:paraId="44BDAB21" w14:textId="77777777" w:rsidR="00393C9B" w:rsidRPr="002309D0" w:rsidRDefault="00393C9B" w:rsidP="007F4BEC">
            <w:pPr>
              <w:keepNext/>
              <w:keepLines/>
              <w:suppressAutoHyphens/>
              <w:rPr>
                <w:rFonts w:eastAsia="Times New Roman"/>
                <w:szCs w:val="22"/>
              </w:rPr>
            </w:pPr>
            <w:r>
              <w:t>Электричество/</w:t>
            </w:r>
            <w:r>
              <w:br/>
              <w:t>электроника</w:t>
            </w:r>
          </w:p>
        </w:tc>
        <w:tc>
          <w:tcPr>
            <w:tcW w:w="1850" w:type="dxa"/>
            <w:tcBorders>
              <w:top w:val="single" w:sz="4" w:space="0" w:color="auto"/>
              <w:left w:val="single" w:sz="4" w:space="0" w:color="auto"/>
              <w:bottom w:val="single" w:sz="4" w:space="0" w:color="auto"/>
              <w:right w:val="single" w:sz="4" w:space="0" w:color="auto"/>
            </w:tcBorders>
          </w:tcPr>
          <w:p w14:paraId="3B5AF2D8" w14:textId="77777777" w:rsidR="00393C9B" w:rsidRPr="002309D0" w:rsidRDefault="00393C9B" w:rsidP="007F4BEC">
            <w:pPr>
              <w:keepNext/>
              <w:keepLines/>
              <w:suppressAutoHyphens/>
              <w:jc w:val="center"/>
              <w:rPr>
                <w:rFonts w:eastAsia="Times New Roman"/>
                <w:szCs w:val="22"/>
              </w:rPr>
            </w:pPr>
            <w:r>
              <w:t>42</w:t>
            </w:r>
          </w:p>
        </w:tc>
        <w:tc>
          <w:tcPr>
            <w:tcW w:w="1701" w:type="dxa"/>
            <w:tcBorders>
              <w:top w:val="single" w:sz="4" w:space="0" w:color="auto"/>
              <w:left w:val="single" w:sz="4" w:space="0" w:color="auto"/>
              <w:bottom w:val="single" w:sz="4" w:space="0" w:color="auto"/>
              <w:right w:val="single" w:sz="4" w:space="0" w:color="auto"/>
            </w:tcBorders>
          </w:tcPr>
          <w:p w14:paraId="2B232ADA" w14:textId="77777777" w:rsidR="00393C9B" w:rsidRPr="002309D0" w:rsidRDefault="00393C9B" w:rsidP="007F4BEC">
            <w:pPr>
              <w:keepNext/>
              <w:keepLines/>
              <w:suppressAutoHyphens/>
              <w:jc w:val="center"/>
              <w:rPr>
                <w:rFonts w:eastAsia="Times New Roman"/>
                <w:szCs w:val="22"/>
              </w:rPr>
            </w:pPr>
            <w:r>
              <w:t>10</w:t>
            </w:r>
          </w:p>
        </w:tc>
        <w:tc>
          <w:tcPr>
            <w:tcW w:w="709" w:type="dxa"/>
            <w:tcBorders>
              <w:top w:val="single" w:sz="4" w:space="0" w:color="auto"/>
              <w:left w:val="single" w:sz="4" w:space="0" w:color="auto"/>
              <w:bottom w:val="single" w:sz="4" w:space="0" w:color="auto"/>
              <w:right w:val="single" w:sz="4" w:space="0" w:color="auto"/>
            </w:tcBorders>
          </w:tcPr>
          <w:p w14:paraId="7F2FB3A0" w14:textId="77777777" w:rsidR="00393C9B" w:rsidRPr="002309D0" w:rsidRDefault="00393C9B" w:rsidP="007F4BEC">
            <w:pPr>
              <w:keepNext/>
              <w:keepLines/>
              <w:suppressAutoHyphens/>
              <w:jc w:val="center"/>
              <w:rPr>
                <w:rFonts w:eastAsia="Times New Roman"/>
                <w:szCs w:val="22"/>
              </w:rPr>
            </w:pPr>
            <w:r>
              <w:t>14%</w:t>
            </w:r>
          </w:p>
        </w:tc>
        <w:tc>
          <w:tcPr>
            <w:tcW w:w="1276" w:type="dxa"/>
            <w:tcBorders>
              <w:top w:val="single" w:sz="4" w:space="0" w:color="auto"/>
              <w:left w:val="single" w:sz="4" w:space="0" w:color="auto"/>
              <w:bottom w:val="single" w:sz="4" w:space="0" w:color="auto"/>
              <w:right w:val="single" w:sz="4" w:space="0" w:color="auto"/>
            </w:tcBorders>
          </w:tcPr>
          <w:p w14:paraId="640AF76F" w14:textId="77777777" w:rsidR="00393C9B" w:rsidRPr="002309D0" w:rsidRDefault="00393C9B" w:rsidP="007F4BEC">
            <w:pPr>
              <w:keepNext/>
              <w:keepLines/>
              <w:suppressAutoHyphens/>
              <w:jc w:val="center"/>
              <w:rPr>
                <w:rFonts w:eastAsia="Times New Roman"/>
                <w:szCs w:val="22"/>
              </w:rPr>
            </w:pPr>
            <w:r>
              <w:t>67%</w:t>
            </w:r>
          </w:p>
        </w:tc>
        <w:tc>
          <w:tcPr>
            <w:tcW w:w="1417" w:type="dxa"/>
            <w:tcBorders>
              <w:top w:val="single" w:sz="4" w:space="0" w:color="auto"/>
              <w:left w:val="single" w:sz="4" w:space="0" w:color="auto"/>
              <w:bottom w:val="single" w:sz="4" w:space="0" w:color="auto"/>
              <w:right w:val="single" w:sz="4" w:space="0" w:color="auto"/>
            </w:tcBorders>
          </w:tcPr>
          <w:p w14:paraId="13C35656" w14:textId="77777777" w:rsidR="00393C9B" w:rsidRPr="002309D0" w:rsidRDefault="00393C9B" w:rsidP="007F4BEC">
            <w:pPr>
              <w:keepNext/>
              <w:keepLines/>
              <w:suppressAutoHyphens/>
              <w:jc w:val="center"/>
              <w:rPr>
                <w:rFonts w:eastAsia="Times New Roman"/>
                <w:szCs w:val="22"/>
              </w:rPr>
            </w:pPr>
            <w:r>
              <w:t>19%</w:t>
            </w:r>
          </w:p>
        </w:tc>
      </w:tr>
      <w:tr w:rsidR="002309D0" w:rsidRPr="002309D0" w14:paraId="49782584" w14:textId="77777777" w:rsidTr="00C02CBC">
        <w:trPr>
          <w:cantSplit/>
        </w:trPr>
        <w:tc>
          <w:tcPr>
            <w:tcW w:w="2114" w:type="dxa"/>
            <w:tcBorders>
              <w:top w:val="single" w:sz="4" w:space="0" w:color="auto"/>
              <w:left w:val="single" w:sz="4" w:space="0" w:color="auto"/>
              <w:bottom w:val="single" w:sz="4" w:space="0" w:color="auto"/>
              <w:right w:val="single" w:sz="4" w:space="0" w:color="auto"/>
            </w:tcBorders>
            <w:hideMark/>
          </w:tcPr>
          <w:p w14:paraId="2696F15E" w14:textId="77777777" w:rsidR="00393C9B" w:rsidRPr="002309D0" w:rsidRDefault="00393C9B" w:rsidP="007F4BEC">
            <w:pPr>
              <w:keepNext/>
              <w:keepLines/>
              <w:suppressAutoHyphens/>
              <w:rPr>
                <w:rFonts w:eastAsia="Times New Roman"/>
                <w:szCs w:val="22"/>
              </w:rPr>
            </w:pPr>
            <w:r>
              <w:t>Химия</w:t>
            </w:r>
          </w:p>
        </w:tc>
        <w:tc>
          <w:tcPr>
            <w:tcW w:w="1850" w:type="dxa"/>
            <w:tcBorders>
              <w:top w:val="single" w:sz="4" w:space="0" w:color="auto"/>
              <w:left w:val="single" w:sz="4" w:space="0" w:color="auto"/>
              <w:bottom w:val="single" w:sz="4" w:space="0" w:color="auto"/>
              <w:right w:val="single" w:sz="4" w:space="0" w:color="auto"/>
            </w:tcBorders>
          </w:tcPr>
          <w:p w14:paraId="07B673C6" w14:textId="77777777" w:rsidR="00393C9B" w:rsidRPr="002309D0" w:rsidRDefault="00393C9B" w:rsidP="007F4BEC">
            <w:pPr>
              <w:keepNext/>
              <w:keepLines/>
              <w:suppressAutoHyphens/>
              <w:jc w:val="center"/>
              <w:rPr>
                <w:rFonts w:eastAsia="Times New Roman"/>
                <w:szCs w:val="22"/>
              </w:rPr>
            </w:pPr>
            <w:r>
              <w:t>38</w:t>
            </w:r>
          </w:p>
        </w:tc>
        <w:tc>
          <w:tcPr>
            <w:tcW w:w="1701" w:type="dxa"/>
            <w:tcBorders>
              <w:top w:val="single" w:sz="4" w:space="0" w:color="auto"/>
              <w:left w:val="single" w:sz="4" w:space="0" w:color="auto"/>
              <w:bottom w:val="single" w:sz="4" w:space="0" w:color="auto"/>
              <w:right w:val="single" w:sz="4" w:space="0" w:color="auto"/>
            </w:tcBorders>
          </w:tcPr>
          <w:p w14:paraId="7D84377C" w14:textId="77777777" w:rsidR="00393C9B" w:rsidRPr="002309D0" w:rsidRDefault="00393C9B" w:rsidP="007F4BEC">
            <w:pPr>
              <w:keepNext/>
              <w:keepLines/>
              <w:suppressAutoHyphens/>
              <w:jc w:val="center"/>
              <w:rPr>
                <w:rFonts w:eastAsia="Times New Roman"/>
                <w:szCs w:val="22"/>
              </w:rPr>
            </w:pPr>
            <w:r>
              <w:t>12</w:t>
            </w:r>
          </w:p>
        </w:tc>
        <w:tc>
          <w:tcPr>
            <w:tcW w:w="709" w:type="dxa"/>
            <w:tcBorders>
              <w:top w:val="single" w:sz="4" w:space="0" w:color="auto"/>
              <w:left w:val="single" w:sz="4" w:space="0" w:color="auto"/>
              <w:bottom w:val="single" w:sz="4" w:space="0" w:color="auto"/>
              <w:right w:val="single" w:sz="4" w:space="0" w:color="auto"/>
            </w:tcBorders>
          </w:tcPr>
          <w:p w14:paraId="545197F7" w14:textId="77777777" w:rsidR="00393C9B" w:rsidRPr="002309D0" w:rsidRDefault="00393C9B" w:rsidP="007F4BEC">
            <w:pPr>
              <w:keepNext/>
              <w:keepLines/>
              <w:suppressAutoHyphens/>
              <w:jc w:val="center"/>
              <w:rPr>
                <w:rFonts w:eastAsia="Times New Roman"/>
                <w:szCs w:val="22"/>
              </w:rPr>
            </w:pPr>
            <w:r>
              <w:t>34%</w:t>
            </w:r>
          </w:p>
        </w:tc>
        <w:tc>
          <w:tcPr>
            <w:tcW w:w="1276" w:type="dxa"/>
            <w:tcBorders>
              <w:top w:val="single" w:sz="4" w:space="0" w:color="auto"/>
              <w:left w:val="single" w:sz="4" w:space="0" w:color="auto"/>
              <w:bottom w:val="single" w:sz="4" w:space="0" w:color="auto"/>
              <w:right w:val="single" w:sz="4" w:space="0" w:color="auto"/>
            </w:tcBorders>
          </w:tcPr>
          <w:p w14:paraId="593FCBC0" w14:textId="77777777" w:rsidR="00393C9B" w:rsidRPr="002309D0" w:rsidRDefault="00393C9B" w:rsidP="007F4BEC">
            <w:pPr>
              <w:keepNext/>
              <w:keepLines/>
              <w:suppressAutoHyphens/>
              <w:jc w:val="center"/>
              <w:rPr>
                <w:rFonts w:eastAsia="Times New Roman"/>
                <w:szCs w:val="22"/>
              </w:rPr>
            </w:pPr>
            <w:r>
              <w:t>63%</w:t>
            </w:r>
          </w:p>
        </w:tc>
        <w:tc>
          <w:tcPr>
            <w:tcW w:w="1417" w:type="dxa"/>
            <w:tcBorders>
              <w:top w:val="single" w:sz="4" w:space="0" w:color="auto"/>
              <w:left w:val="single" w:sz="4" w:space="0" w:color="auto"/>
              <w:bottom w:val="single" w:sz="4" w:space="0" w:color="auto"/>
              <w:right w:val="single" w:sz="4" w:space="0" w:color="auto"/>
            </w:tcBorders>
          </w:tcPr>
          <w:p w14:paraId="7F78699A" w14:textId="77777777" w:rsidR="00393C9B" w:rsidRPr="002309D0" w:rsidRDefault="00393C9B" w:rsidP="007F4BEC">
            <w:pPr>
              <w:keepNext/>
              <w:keepLines/>
              <w:suppressAutoHyphens/>
              <w:jc w:val="center"/>
              <w:rPr>
                <w:rFonts w:eastAsia="Times New Roman"/>
                <w:szCs w:val="22"/>
              </w:rPr>
            </w:pPr>
            <w:r>
              <w:t>3%</w:t>
            </w:r>
          </w:p>
        </w:tc>
      </w:tr>
      <w:tr w:rsidR="002309D0" w:rsidRPr="002309D0" w14:paraId="4C7C3DB2" w14:textId="77777777" w:rsidTr="00C02CBC">
        <w:trPr>
          <w:cantSplit/>
        </w:trPr>
        <w:tc>
          <w:tcPr>
            <w:tcW w:w="2114" w:type="dxa"/>
            <w:tcBorders>
              <w:top w:val="single" w:sz="4" w:space="0" w:color="auto"/>
              <w:left w:val="single" w:sz="4" w:space="0" w:color="auto"/>
              <w:bottom w:val="single" w:sz="4" w:space="0" w:color="auto"/>
              <w:right w:val="single" w:sz="4" w:space="0" w:color="auto"/>
            </w:tcBorders>
            <w:hideMark/>
          </w:tcPr>
          <w:p w14:paraId="21441A70" w14:textId="77777777" w:rsidR="00393C9B" w:rsidRPr="002309D0" w:rsidRDefault="00393C9B" w:rsidP="007F4BEC">
            <w:pPr>
              <w:keepNext/>
              <w:keepLines/>
              <w:suppressAutoHyphens/>
              <w:rPr>
                <w:rFonts w:eastAsia="Times New Roman"/>
                <w:szCs w:val="22"/>
              </w:rPr>
            </w:pPr>
            <w:r>
              <w:t>Биотехнологии</w:t>
            </w:r>
          </w:p>
        </w:tc>
        <w:tc>
          <w:tcPr>
            <w:tcW w:w="1850" w:type="dxa"/>
            <w:tcBorders>
              <w:top w:val="single" w:sz="4" w:space="0" w:color="auto"/>
              <w:left w:val="single" w:sz="4" w:space="0" w:color="auto"/>
              <w:bottom w:val="single" w:sz="4" w:space="0" w:color="auto"/>
              <w:right w:val="single" w:sz="4" w:space="0" w:color="auto"/>
            </w:tcBorders>
          </w:tcPr>
          <w:p w14:paraId="4CB6FA3A" w14:textId="77777777" w:rsidR="00393C9B" w:rsidRPr="002309D0" w:rsidRDefault="00393C9B" w:rsidP="007F4BEC">
            <w:pPr>
              <w:keepNext/>
              <w:keepLines/>
              <w:suppressAutoHyphens/>
              <w:jc w:val="center"/>
              <w:rPr>
                <w:rFonts w:eastAsia="Times New Roman"/>
                <w:szCs w:val="22"/>
              </w:rPr>
            </w:pPr>
            <w:r>
              <w:t>23</w:t>
            </w:r>
          </w:p>
        </w:tc>
        <w:tc>
          <w:tcPr>
            <w:tcW w:w="1701" w:type="dxa"/>
            <w:tcBorders>
              <w:top w:val="single" w:sz="4" w:space="0" w:color="auto"/>
              <w:left w:val="single" w:sz="4" w:space="0" w:color="auto"/>
              <w:bottom w:val="single" w:sz="4" w:space="0" w:color="auto"/>
              <w:right w:val="single" w:sz="4" w:space="0" w:color="auto"/>
            </w:tcBorders>
          </w:tcPr>
          <w:p w14:paraId="22AA5E1C" w14:textId="77777777" w:rsidR="00393C9B" w:rsidRPr="002309D0" w:rsidRDefault="00393C9B" w:rsidP="007F4BEC">
            <w:pPr>
              <w:keepNext/>
              <w:keepLines/>
              <w:suppressAutoHyphens/>
              <w:jc w:val="center"/>
              <w:rPr>
                <w:rFonts w:eastAsia="Times New Roman"/>
                <w:szCs w:val="22"/>
              </w:rPr>
            </w:pPr>
            <w:r>
              <w:t>15</w:t>
            </w:r>
          </w:p>
        </w:tc>
        <w:tc>
          <w:tcPr>
            <w:tcW w:w="709" w:type="dxa"/>
            <w:tcBorders>
              <w:top w:val="single" w:sz="4" w:space="0" w:color="auto"/>
              <w:left w:val="single" w:sz="4" w:space="0" w:color="auto"/>
              <w:bottom w:val="single" w:sz="4" w:space="0" w:color="auto"/>
              <w:right w:val="single" w:sz="4" w:space="0" w:color="auto"/>
            </w:tcBorders>
          </w:tcPr>
          <w:p w14:paraId="7CE9263E" w14:textId="77777777" w:rsidR="00393C9B" w:rsidRPr="002309D0" w:rsidRDefault="00393C9B" w:rsidP="007F4BEC">
            <w:pPr>
              <w:keepNext/>
              <w:keepLines/>
              <w:suppressAutoHyphens/>
              <w:jc w:val="center"/>
              <w:rPr>
                <w:rFonts w:eastAsia="Times New Roman"/>
                <w:szCs w:val="22"/>
              </w:rPr>
            </w:pPr>
            <w:r>
              <w:t>57%</w:t>
            </w:r>
          </w:p>
        </w:tc>
        <w:tc>
          <w:tcPr>
            <w:tcW w:w="1276" w:type="dxa"/>
            <w:tcBorders>
              <w:top w:val="single" w:sz="4" w:space="0" w:color="auto"/>
              <w:left w:val="single" w:sz="4" w:space="0" w:color="auto"/>
              <w:bottom w:val="single" w:sz="4" w:space="0" w:color="auto"/>
              <w:right w:val="single" w:sz="4" w:space="0" w:color="auto"/>
            </w:tcBorders>
          </w:tcPr>
          <w:p w14:paraId="176D2312" w14:textId="77777777" w:rsidR="00393C9B" w:rsidRPr="002309D0" w:rsidRDefault="00393C9B" w:rsidP="007F4BEC">
            <w:pPr>
              <w:keepNext/>
              <w:keepLines/>
              <w:suppressAutoHyphens/>
              <w:jc w:val="center"/>
              <w:rPr>
                <w:rFonts w:eastAsia="Times New Roman"/>
                <w:szCs w:val="22"/>
              </w:rPr>
            </w:pPr>
            <w:r>
              <w:t>30%</w:t>
            </w:r>
          </w:p>
        </w:tc>
        <w:tc>
          <w:tcPr>
            <w:tcW w:w="1417" w:type="dxa"/>
            <w:tcBorders>
              <w:top w:val="single" w:sz="4" w:space="0" w:color="auto"/>
              <w:left w:val="single" w:sz="4" w:space="0" w:color="auto"/>
              <w:bottom w:val="single" w:sz="4" w:space="0" w:color="auto"/>
              <w:right w:val="single" w:sz="4" w:space="0" w:color="auto"/>
            </w:tcBorders>
          </w:tcPr>
          <w:p w14:paraId="50E71778" w14:textId="77777777" w:rsidR="00393C9B" w:rsidRPr="002309D0" w:rsidRDefault="00393C9B" w:rsidP="007F4BEC">
            <w:pPr>
              <w:keepNext/>
              <w:keepLines/>
              <w:suppressAutoHyphens/>
              <w:jc w:val="center"/>
              <w:rPr>
                <w:rFonts w:eastAsia="Times New Roman"/>
                <w:szCs w:val="22"/>
              </w:rPr>
            </w:pPr>
            <w:r>
              <w:t>13%</w:t>
            </w:r>
          </w:p>
        </w:tc>
      </w:tr>
      <w:tr w:rsidR="002309D0" w:rsidRPr="002309D0" w14:paraId="5768F6E6" w14:textId="77777777" w:rsidTr="00C02CBC">
        <w:trPr>
          <w:cantSplit/>
        </w:trPr>
        <w:tc>
          <w:tcPr>
            <w:tcW w:w="2114" w:type="dxa"/>
            <w:tcBorders>
              <w:top w:val="single" w:sz="4" w:space="0" w:color="auto"/>
              <w:left w:val="single" w:sz="4" w:space="0" w:color="auto"/>
              <w:bottom w:val="single" w:sz="4" w:space="0" w:color="auto"/>
              <w:right w:val="single" w:sz="4" w:space="0" w:color="auto"/>
            </w:tcBorders>
            <w:hideMark/>
          </w:tcPr>
          <w:p w14:paraId="5557AD1B" w14:textId="77777777" w:rsidR="00393C9B" w:rsidRPr="002309D0" w:rsidRDefault="00393C9B" w:rsidP="007F4BEC">
            <w:pPr>
              <w:suppressAutoHyphens/>
              <w:rPr>
                <w:rFonts w:eastAsia="Times New Roman"/>
                <w:i/>
                <w:iCs/>
                <w:szCs w:val="22"/>
              </w:rPr>
            </w:pPr>
            <w:r>
              <w:rPr>
                <w:i/>
                <w:iCs/>
                <w:szCs w:val="22"/>
              </w:rPr>
              <w:t>Итого</w:t>
            </w:r>
          </w:p>
        </w:tc>
        <w:tc>
          <w:tcPr>
            <w:tcW w:w="1850" w:type="dxa"/>
            <w:tcBorders>
              <w:top w:val="single" w:sz="4" w:space="0" w:color="auto"/>
              <w:left w:val="single" w:sz="4" w:space="0" w:color="auto"/>
              <w:bottom w:val="single" w:sz="4" w:space="0" w:color="auto"/>
              <w:right w:val="single" w:sz="4" w:space="0" w:color="auto"/>
            </w:tcBorders>
          </w:tcPr>
          <w:p w14:paraId="1F98BDAD" w14:textId="77777777" w:rsidR="00393C9B" w:rsidRPr="002309D0" w:rsidRDefault="00393C9B" w:rsidP="007F4BEC">
            <w:pPr>
              <w:suppressAutoHyphens/>
              <w:jc w:val="center"/>
              <w:rPr>
                <w:rFonts w:eastAsia="Times New Roman"/>
                <w:i/>
                <w:iCs/>
                <w:szCs w:val="22"/>
              </w:rPr>
            </w:pPr>
            <w:r>
              <w:rPr>
                <w:i/>
                <w:iCs/>
                <w:szCs w:val="22"/>
              </w:rPr>
              <w:t>130</w:t>
            </w:r>
          </w:p>
        </w:tc>
        <w:tc>
          <w:tcPr>
            <w:tcW w:w="1701" w:type="dxa"/>
            <w:tcBorders>
              <w:top w:val="single" w:sz="4" w:space="0" w:color="auto"/>
              <w:left w:val="single" w:sz="4" w:space="0" w:color="auto"/>
              <w:bottom w:val="single" w:sz="4" w:space="0" w:color="auto"/>
              <w:right w:val="single" w:sz="4" w:space="0" w:color="auto"/>
            </w:tcBorders>
          </w:tcPr>
          <w:p w14:paraId="41B159A8" w14:textId="77777777" w:rsidR="00393C9B" w:rsidRPr="002309D0" w:rsidRDefault="00393C9B" w:rsidP="007F4BEC">
            <w:pPr>
              <w:suppressAutoHyphens/>
              <w:jc w:val="center"/>
              <w:rPr>
                <w:rFonts w:eastAsia="Times New Roman"/>
                <w:i/>
                <w:iCs/>
                <w:szCs w:val="22"/>
              </w:rPr>
            </w:pPr>
            <w:r>
              <w:rPr>
                <w:i/>
                <w:iCs/>
                <w:szCs w:val="22"/>
              </w:rPr>
              <w:t>11,5</w:t>
            </w:r>
          </w:p>
        </w:tc>
        <w:tc>
          <w:tcPr>
            <w:tcW w:w="709" w:type="dxa"/>
            <w:tcBorders>
              <w:top w:val="single" w:sz="4" w:space="0" w:color="auto"/>
              <w:left w:val="single" w:sz="4" w:space="0" w:color="auto"/>
              <w:bottom w:val="single" w:sz="4" w:space="0" w:color="auto"/>
              <w:right w:val="single" w:sz="4" w:space="0" w:color="auto"/>
            </w:tcBorders>
          </w:tcPr>
          <w:p w14:paraId="4BC96AA1" w14:textId="77777777" w:rsidR="00393C9B" w:rsidRPr="002309D0" w:rsidRDefault="00393C9B" w:rsidP="007F4BEC">
            <w:pPr>
              <w:suppressAutoHyphens/>
              <w:jc w:val="center"/>
              <w:rPr>
                <w:rFonts w:eastAsia="Times New Roman"/>
                <w:i/>
                <w:iCs/>
                <w:szCs w:val="22"/>
                <w:lang w:eastAsia="en-US" w:bidi="he-IL"/>
              </w:rPr>
            </w:pPr>
          </w:p>
        </w:tc>
        <w:tc>
          <w:tcPr>
            <w:tcW w:w="1276" w:type="dxa"/>
            <w:tcBorders>
              <w:top w:val="single" w:sz="4" w:space="0" w:color="auto"/>
              <w:left w:val="single" w:sz="4" w:space="0" w:color="auto"/>
              <w:bottom w:val="single" w:sz="4" w:space="0" w:color="auto"/>
              <w:right w:val="single" w:sz="4" w:space="0" w:color="auto"/>
            </w:tcBorders>
          </w:tcPr>
          <w:p w14:paraId="090C9236" w14:textId="77777777" w:rsidR="00393C9B" w:rsidRPr="002309D0" w:rsidRDefault="00393C9B" w:rsidP="007F4BEC">
            <w:pPr>
              <w:suppressAutoHyphens/>
              <w:jc w:val="center"/>
              <w:rPr>
                <w:rFonts w:eastAsia="Times New Roman"/>
                <w:i/>
                <w:iCs/>
                <w:szCs w:val="22"/>
                <w:lang w:eastAsia="en-US" w:bidi="he-IL"/>
              </w:rPr>
            </w:pPr>
          </w:p>
        </w:tc>
        <w:tc>
          <w:tcPr>
            <w:tcW w:w="1417" w:type="dxa"/>
            <w:tcBorders>
              <w:top w:val="single" w:sz="4" w:space="0" w:color="auto"/>
              <w:left w:val="single" w:sz="4" w:space="0" w:color="auto"/>
              <w:bottom w:val="single" w:sz="4" w:space="0" w:color="auto"/>
              <w:right w:val="single" w:sz="4" w:space="0" w:color="auto"/>
            </w:tcBorders>
          </w:tcPr>
          <w:p w14:paraId="4251CE6D" w14:textId="77777777" w:rsidR="00393C9B" w:rsidRPr="002309D0" w:rsidRDefault="00393C9B" w:rsidP="007F4BEC">
            <w:pPr>
              <w:suppressAutoHyphens/>
              <w:jc w:val="center"/>
              <w:rPr>
                <w:rFonts w:eastAsia="Times New Roman"/>
                <w:i/>
                <w:iCs/>
                <w:szCs w:val="22"/>
                <w:lang w:eastAsia="en-US" w:bidi="he-IL"/>
              </w:rPr>
            </w:pPr>
          </w:p>
        </w:tc>
      </w:tr>
    </w:tbl>
    <w:p w14:paraId="30138561" w14:textId="6F2F1FF4" w:rsidR="009A31F1" w:rsidRDefault="009A31F1" w:rsidP="009A31F1"/>
    <w:p w14:paraId="44ED2F5F" w14:textId="77777777" w:rsidR="00C5047D" w:rsidRDefault="00C5047D" w:rsidP="009A31F1"/>
    <w:p w14:paraId="1633CD0D" w14:textId="04BB7779" w:rsidR="00C5047D" w:rsidRDefault="00C5047D" w:rsidP="00C5047D">
      <w:pPr>
        <w:pStyle w:val="RuleQuote"/>
        <w:ind w:left="0"/>
        <w:rPr>
          <w:i w:val="0"/>
          <w:iCs w:val="0"/>
        </w:rPr>
      </w:pPr>
      <w:r>
        <w:rPr>
          <w:i w:val="0"/>
          <w:iCs w:val="0"/>
        </w:rPr>
        <w:t>Прочая информация, помимо отчета о системе УК и приведенной выше таблицы (необязательно):</w:t>
      </w:r>
      <w:r w:rsidR="00067D6C">
        <w:rPr>
          <w:i w:val="0"/>
          <w:iCs w:val="0"/>
        </w:rPr>
        <w:t xml:space="preserve"> </w:t>
      </w:r>
    </w:p>
    <w:p w14:paraId="41EDAA34" w14:textId="77777777" w:rsidR="00776619" w:rsidRDefault="00776619" w:rsidP="00C5047D">
      <w:pPr>
        <w:pStyle w:val="RuleQuote"/>
        <w:ind w:left="0"/>
        <w:rPr>
          <w:i w:val="0"/>
          <w:iCs w:val="0"/>
        </w:rPr>
      </w:pPr>
    </w:p>
    <w:p w14:paraId="60AF6307" w14:textId="7317350D" w:rsidR="00C5047D" w:rsidRPr="002B3808" w:rsidRDefault="00C5047D" w:rsidP="00C5047D">
      <w:pPr>
        <w:pStyle w:val="SectionHeading"/>
      </w:pPr>
      <w:r>
        <w:t>2.2 – МИНИМУМ ДОКУМЕНТАЦИИ – ПРЕДОСТАВЛЕНИЕ ДЛЯ ОЗНАКОМЛЕНИЯ</w:t>
      </w:r>
    </w:p>
    <w:p w14:paraId="44503BDA" w14:textId="77777777" w:rsidR="00C5047D" w:rsidRDefault="00C5047D" w:rsidP="00C5047D">
      <w:pPr>
        <w:pStyle w:val="RuleQuote"/>
      </w:pPr>
      <w:r>
        <w:t>Правила 36.1(ii) и 63.1(ii). Это ведомство или организация должны в рамках минимума документации, упомянутого в правиле 34, предоставлять для ознакомления любой патент и любую патентную заявку, выданные или опубликованные ими и, если применимо, их правопредшественником(-ами), в соответствии с требованиями, установленными Административной инструкцией.</w:t>
      </w:r>
    </w:p>
    <w:p w14:paraId="5514EF50" w14:textId="3E5C5846" w:rsidR="00C5047D" w:rsidRDefault="00C5047D" w:rsidP="00C5047D">
      <w:pPr>
        <w:pStyle w:val="RuleQuote"/>
        <w:rPr>
          <w:szCs w:val="24"/>
        </w:rPr>
      </w:pPr>
      <w:r>
        <w:t xml:space="preserve">Требования, указанные в Административной инструкции, изложены в </w:t>
      </w:r>
      <w:hyperlink r:id="rId12" w:history="1">
        <w:r>
          <w:rPr>
            <w:rStyle w:val="Hyperlink"/>
          </w:rPr>
          <w:t>циркуляре C. PCT 1672</w:t>
        </w:r>
      </w:hyperlink>
      <w:r>
        <w:t xml:space="preserve"> от 19 июня 2024 года.</w:t>
      </w:r>
    </w:p>
    <w:p w14:paraId="1F2DB717" w14:textId="5E4ECE89" w:rsidR="00C5047D" w:rsidRDefault="00C5047D" w:rsidP="00C5047D">
      <w:pPr>
        <w:pStyle w:val="Question"/>
        <w:spacing w:after="0"/>
        <w:rPr>
          <w:b w:val="0"/>
          <w:bCs w:val="0"/>
        </w:rPr>
      </w:pPr>
      <w:r>
        <w:rPr>
          <w:b w:val="0"/>
          <w:bCs w:val="0"/>
        </w:rPr>
        <w:t>О предоставлении для ознакомления любого патента и любой патентной заявки, выданных или опубликованных ведомством либо, если применимо, ведомствами, являющимися членами межправительственной организации, в рамках минимума документации, упомянутого в правиле 34, в соответствии с договоренностью, принятой Ассамблеей РСТ в пункте 8 документа PCT/A/55/2, сообщается следующее:</w:t>
      </w:r>
      <w:r>
        <w:rPr>
          <w:b w:val="0"/>
          <w:bCs w:val="0"/>
        </w:rPr>
        <w:br/>
      </w:r>
      <w:r>
        <w:rPr>
          <w:b w:val="0"/>
          <w:bCs w:val="0"/>
        </w:rPr>
        <w:br/>
        <w:t>Либо</w:t>
      </w:r>
      <w:r>
        <w:rPr>
          <w:b w:val="0"/>
          <w:bCs w:val="0"/>
        </w:rPr>
        <w:br/>
      </w:r>
      <w:r>
        <w:rPr>
          <w:b w:val="0"/>
          <w:bCs w:val="0"/>
        </w:rPr>
        <w:br/>
      </w:r>
      <w:sdt>
        <w:sdtPr>
          <w:rPr>
            <w:b w:val="0"/>
            <w:bCs w:val="0"/>
          </w:rPr>
          <w:id w:val="-178122316"/>
          <w14:checkbox>
            <w14:checked w14:val="1"/>
            <w14:checkedState w14:val="2612" w14:font="MS Gothic"/>
            <w14:uncheckedState w14:val="2610" w14:font="MS Gothic"/>
          </w14:checkbox>
        </w:sdtPr>
        <w:sdtEndPr/>
        <w:sdtContent>
          <w:r>
            <w:rPr>
              <w:rFonts w:ascii="MS Gothic" w:eastAsia="MS Gothic" w:hAnsi="MS Gothic" w:hint="eastAsia"/>
              <w:b w:val="0"/>
              <w:bCs w:val="0"/>
            </w:rPr>
            <w:t>☒</w:t>
          </w:r>
        </w:sdtContent>
      </w:sdt>
      <w:r w:rsidR="00C02CBC" w:rsidRPr="00C02CBC">
        <w:rPr>
          <w:b w:val="0"/>
          <w:bCs w:val="0"/>
        </w:rPr>
        <w:t xml:space="preserve"> </w:t>
      </w:r>
      <w:r w:rsidR="00C02CBC">
        <w:rPr>
          <w:b w:val="0"/>
          <w:bCs w:val="0"/>
        </w:rPr>
        <w:t>«</w:t>
      </w:r>
      <w:r>
        <w:rPr>
          <w:b w:val="0"/>
          <w:bCs w:val="0"/>
        </w:rPr>
        <w:t>Целевая группа по минимуму документации PCT проверила наличие фондов патентной документации в период до 1 ноября 2025 года и подтверждает, что требования соблюдены.</w:t>
      </w:r>
      <w:r w:rsidR="00067D6C">
        <w:rPr>
          <w:b w:val="0"/>
          <w:bCs w:val="0"/>
        </w:rPr>
        <w:t xml:space="preserve"> </w:t>
      </w:r>
      <w:r>
        <w:rPr>
          <w:b w:val="0"/>
          <w:bCs w:val="0"/>
        </w:rPr>
        <w:t>Информация об объеме и формате документов, которые были предоставлены Органом для ознакомления, опубликована в Бюллетене PCT 23 октября 2025 года по адресу:</w:t>
      </w:r>
      <w:r w:rsidR="00067D6C">
        <w:rPr>
          <w:b w:val="0"/>
          <w:bCs w:val="0"/>
        </w:rPr>
        <w:t xml:space="preserve"> </w:t>
      </w:r>
      <w:hyperlink r:id="rId13" w:anchor="page=221" w:history="1">
        <w:r>
          <w:rPr>
            <w:rStyle w:val="Hyperlink"/>
            <w:b w:val="0"/>
            <w:szCs w:val="20"/>
          </w:rPr>
          <w:t>https://www.wipo.int/documents/d/pct-system/docs-en-official-notices-officialnotices.pdf#page=197</w:t>
        </w:r>
      </w:hyperlink>
      <w:r w:rsidR="00C02CBC">
        <w:rPr>
          <w:b w:val="0"/>
          <w:bCs w:val="0"/>
        </w:rPr>
        <w:t>».</w:t>
      </w:r>
    </w:p>
    <w:p w14:paraId="37D5BDD4" w14:textId="77777777" w:rsidR="00C5047D" w:rsidRDefault="00C5047D" w:rsidP="00614770">
      <w:pPr>
        <w:pStyle w:val="Answer"/>
        <w:ind w:left="0"/>
      </w:pPr>
    </w:p>
    <w:p w14:paraId="1DE04B01" w14:textId="77777777" w:rsidR="00C5047D" w:rsidRDefault="00C5047D" w:rsidP="00C5047D">
      <w:pPr>
        <w:pStyle w:val="Answer"/>
        <w:ind w:left="0"/>
      </w:pPr>
      <w:r>
        <w:t>либо:</w:t>
      </w:r>
    </w:p>
    <w:p w14:paraId="40AA28CD" w14:textId="5D97E59B" w:rsidR="00C5047D" w:rsidRDefault="0091649A" w:rsidP="00C5047D">
      <w:pPr>
        <w:pStyle w:val="Answer"/>
        <w:ind w:left="0"/>
      </w:pPr>
      <w:sdt>
        <w:sdtPr>
          <w:id w:val="229279132"/>
          <w14:checkbox>
            <w14:checked w14:val="0"/>
            <w14:checkedState w14:val="2612" w14:font="MS Gothic"/>
            <w14:uncheckedState w14:val="2610" w14:font="MS Gothic"/>
          </w14:checkbox>
        </w:sdtPr>
        <w:sdtEndPr/>
        <w:sdtContent>
          <w:r w:rsidR="006A5C36">
            <w:rPr>
              <w:rFonts w:ascii="MS Gothic" w:eastAsia="MS Gothic" w:hAnsi="MS Gothic" w:hint="eastAsia"/>
            </w:rPr>
            <w:t>☐</w:t>
          </w:r>
        </w:sdtContent>
      </w:sdt>
      <w:r w:rsidR="006931C7">
        <w:t xml:space="preserve"> «Орган сообщает о предоставлении доступа к своему фонду патентной документации, с указанием сроков, в которые Целевая группа по минимуму документации PCT может подтвердить проведение проверки и предоставление полного доступа (см. ниже).</w:t>
      </w:r>
      <w:r w:rsidR="00067D6C">
        <w:t xml:space="preserve"> </w:t>
      </w:r>
      <w:r w:rsidR="006931C7">
        <w:t>Просьба предоставить подробную информацию о вашем ведомственном досье с любыми соответствующими ссылками».</w:t>
      </w:r>
    </w:p>
    <w:p w14:paraId="29122C8D" w14:textId="77777777" w:rsidR="006A5C36" w:rsidRDefault="006A5C36" w:rsidP="00C5047D">
      <w:pPr>
        <w:pStyle w:val="Answer"/>
        <w:ind w:left="0"/>
      </w:pPr>
    </w:p>
    <w:p w14:paraId="19A4C13D" w14:textId="77777777" w:rsidR="00C5047D" w:rsidRPr="002B3808" w:rsidRDefault="00C5047D" w:rsidP="00C5047D">
      <w:pPr>
        <w:pStyle w:val="SectionHeading"/>
      </w:pPr>
      <w:r>
        <w:t>2.3 – МИНИМУМ ДОКУМЕНТАЦИИ – ДОСТУП</w:t>
      </w:r>
    </w:p>
    <w:p w14:paraId="6096117B" w14:textId="77777777" w:rsidR="00C5047D" w:rsidRDefault="00C5047D" w:rsidP="00C5047D">
      <w:pPr>
        <w:pStyle w:val="RuleQuote"/>
        <w:rPr>
          <w:i w:val="0"/>
          <w:iCs w:val="0"/>
        </w:rPr>
      </w:pPr>
      <w:r>
        <w:t>Правила 36.1(iii) и 63.1(iii). Это ведомство или организация должны иметь в своем распоряжении или постоянно обеспечивать доступ, по крайней мере, к минимуму документации, упомянутому в правиле 34, для целей поиска в соответствии с Административной инструкцией.</w:t>
      </w:r>
    </w:p>
    <w:p w14:paraId="78299118" w14:textId="5084916E" w:rsidR="00C5047D" w:rsidRDefault="00C5047D" w:rsidP="00C5047D">
      <w:pPr>
        <w:pStyle w:val="RuleQuote"/>
        <w:ind w:left="0"/>
        <w:rPr>
          <w:i w:val="0"/>
          <w:iCs w:val="0"/>
        </w:rPr>
      </w:pPr>
      <w:r>
        <w:rPr>
          <w:i w:val="0"/>
          <w:iCs w:val="0"/>
        </w:rPr>
        <w:t>В отчет о системе УК входит предоставляемая Органом информация об имеющейся инфраструктуре, обеспечивающей наличие, доступность, надлежащее расположение и хранение, по крайней мере, минимума документации, указанной в правиле 34, для целей поиска и экспертизы в соответствии с пунктом 21.15(iv) Руководства.</w:t>
      </w:r>
      <w:r w:rsidR="00067D6C">
        <w:rPr>
          <w:i w:val="0"/>
          <w:iCs w:val="0"/>
        </w:rPr>
        <w:t xml:space="preserve"> </w:t>
      </w:r>
    </w:p>
    <w:p w14:paraId="6DB037C2" w14:textId="14DF2C4C" w:rsidR="00C5047D" w:rsidRDefault="00C5047D" w:rsidP="00C5047D">
      <w:pPr>
        <w:pStyle w:val="RuleQuote"/>
        <w:ind w:left="0"/>
        <w:rPr>
          <w:i w:val="0"/>
          <w:iCs w:val="0"/>
        </w:rPr>
      </w:pPr>
      <w:r>
        <w:rPr>
          <w:i w:val="0"/>
          <w:iCs w:val="0"/>
        </w:rPr>
        <w:t>Прочая информация, выходящая за рамки отчета о системе УК (необязательно):</w:t>
      </w:r>
      <w:r w:rsidR="00067D6C">
        <w:rPr>
          <w:i w:val="0"/>
          <w:iCs w:val="0"/>
        </w:rPr>
        <w:t xml:space="preserve"> </w:t>
      </w:r>
    </w:p>
    <w:p w14:paraId="143C4AE9" w14:textId="77777777" w:rsidR="00C90371" w:rsidRDefault="00C90371" w:rsidP="00C5047D">
      <w:pPr>
        <w:pStyle w:val="RuleQuote"/>
        <w:ind w:left="0"/>
        <w:rPr>
          <w:i w:val="0"/>
          <w:iCs w:val="0"/>
        </w:rPr>
      </w:pPr>
    </w:p>
    <w:p w14:paraId="6EF613BF" w14:textId="5C5B313A" w:rsidR="00C5047D" w:rsidRPr="002B3808" w:rsidRDefault="00C5047D" w:rsidP="00C5047D">
      <w:pPr>
        <w:pStyle w:val="SectionHeading"/>
      </w:pPr>
      <w:r>
        <w:t>2.4 – УПРАВЛЕНИЕ КАЧЕСТВОМ</w:t>
      </w:r>
    </w:p>
    <w:p w14:paraId="71608889" w14:textId="77777777" w:rsidR="00C5047D" w:rsidRDefault="00C5047D" w:rsidP="00C5047D">
      <w:pPr>
        <w:pStyle w:val="RuleQuote"/>
      </w:pPr>
      <w:r>
        <w:t>Правила 36.1(iv) и 63.1(iv).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w:t>
      </w:r>
    </w:p>
    <w:p w14:paraId="1F62DD3E" w14:textId="77777777" w:rsidR="00C5047D" w:rsidRDefault="00C5047D" w:rsidP="00C5047D">
      <w:pPr>
        <w:pStyle w:val="RuleQuote"/>
        <w:ind w:left="0"/>
        <w:rPr>
          <w:i w:val="0"/>
          <w:iCs w:val="0"/>
        </w:rPr>
      </w:pPr>
      <w:r>
        <w:rPr>
          <w:i w:val="0"/>
          <w:iCs w:val="0"/>
        </w:rPr>
        <w:t>В отчет о системе УК включаются предоставляемые Органом сведения о действующей системе управления качеством в соответствии с главой 21 Руководства и предусмотренный пунктом 21.09 отчет о механизмах внутреннего контроля, которые более подробно описаны в пунктах 21.27–21.30 Руководства.</w:t>
      </w:r>
    </w:p>
    <w:p w14:paraId="3CB44395" w14:textId="7F88B4D4" w:rsidR="00C5047D" w:rsidRDefault="00C5047D" w:rsidP="00C5047D">
      <w:pPr>
        <w:pStyle w:val="RuleQuote"/>
        <w:ind w:left="0"/>
        <w:rPr>
          <w:i w:val="0"/>
          <w:iCs w:val="0"/>
        </w:rPr>
      </w:pPr>
      <w:r>
        <w:rPr>
          <w:i w:val="0"/>
          <w:iCs w:val="0"/>
        </w:rPr>
        <w:t>Прочая информация, выходящая за рамки отчета о системе УК (необязательно):</w:t>
      </w:r>
      <w:r w:rsidR="00067D6C">
        <w:rPr>
          <w:i w:val="0"/>
          <w:iCs w:val="0"/>
        </w:rPr>
        <w:t xml:space="preserve"> </w:t>
      </w:r>
    </w:p>
    <w:p w14:paraId="7C9D5636" w14:textId="77777777" w:rsidR="00C90371" w:rsidRDefault="00C90371" w:rsidP="00C5047D">
      <w:pPr>
        <w:pStyle w:val="RuleQuote"/>
        <w:ind w:left="0"/>
        <w:rPr>
          <w:i w:val="0"/>
          <w:iCs w:val="0"/>
        </w:rPr>
      </w:pPr>
    </w:p>
    <w:p w14:paraId="3B307B49" w14:textId="77777777" w:rsidR="00C5047D" w:rsidRDefault="00C5047D" w:rsidP="00C5047D">
      <w:pPr>
        <w:pStyle w:val="SectionHeading"/>
      </w:pPr>
      <w:r>
        <w:t>3 – СФЕРА ДЕЯТЕЛЬНОСТИ</w:t>
      </w:r>
    </w:p>
    <w:p w14:paraId="4DF663EE" w14:textId="77777777" w:rsidR="00C5047D" w:rsidRDefault="00C5047D" w:rsidP="00C5047D">
      <w:pPr>
        <w:pStyle w:val="Question"/>
        <w:numPr>
          <w:ilvl w:val="0"/>
          <w:numId w:val="8"/>
        </w:numPr>
        <w:spacing w:after="240"/>
        <w:rPr>
          <w:i/>
          <w:iCs/>
        </w:rPr>
      </w:pPr>
      <w:r>
        <w:tab/>
        <w:t>Сфера деятельности в текущий период</w:t>
      </w:r>
    </w:p>
    <w:p w14:paraId="00647516" w14:textId="7774A1AE" w:rsidR="00C5047D" w:rsidRPr="003F6F01" w:rsidRDefault="00C5047D" w:rsidP="00C5047D">
      <w:pPr>
        <w:pStyle w:val="Question"/>
        <w:keepNext w:val="0"/>
        <w:spacing w:after="480"/>
      </w:pPr>
      <w:r>
        <w:rPr>
          <w:b w:val="0"/>
          <w:bCs w:val="0"/>
        </w:rPr>
        <w:t xml:space="preserve">С информацией о получающих ведомствах,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 языке (языках), на котором (которых) предлагаются услуги, и другими сведениями о сфере деятельности можно ознакомиться в </w:t>
      </w:r>
      <w:r>
        <w:rPr>
          <w:b w:val="0"/>
          <w:bCs w:val="0"/>
          <w:i/>
          <w:iCs/>
        </w:rPr>
        <w:t>Руководстве РСТ для заявителя</w:t>
      </w:r>
      <w:r>
        <w:rPr>
          <w:b w:val="0"/>
          <w:bCs w:val="0"/>
        </w:rPr>
        <w:t xml:space="preserve"> по следующим ссылкам:</w:t>
      </w:r>
      <w:r w:rsidR="00067D6C">
        <w:rPr>
          <w:b w:val="0"/>
          <w:bCs w:val="0"/>
        </w:rPr>
        <w:t xml:space="preserve"> </w:t>
      </w:r>
      <w:hyperlink r:id="rId14" w:history="1">
        <w:r>
          <w:rPr>
            <w:rStyle w:val="Hyperlink"/>
            <w:b w:val="0"/>
            <w:szCs w:val="20"/>
          </w:rPr>
          <w:t>https://pctlegal.wipo.int/eGuide/view-doc.xhtml?doc-code=IL&amp;doc-lang=en#ISA</w:t>
        </w:r>
      </w:hyperlink>
      <w:r>
        <w:rPr>
          <w:b w:val="0"/>
          <w:bCs w:val="0"/>
        </w:rPr>
        <w:t xml:space="preserve"> и </w:t>
      </w:r>
      <w:hyperlink r:id="rId15" w:history="1">
        <w:r>
          <w:rPr>
            <w:rStyle w:val="Hyperlink"/>
            <w:b w:val="0"/>
            <w:szCs w:val="20"/>
          </w:rPr>
          <w:t>https://pctlegal.wipo.int/eGuide/view-doc.xhtml?doc-code=IL&amp;doc-lang=en#IPEA</w:t>
        </w:r>
      </w:hyperlink>
      <w:r>
        <w:rPr>
          <w:b w:val="0"/>
          <w:bCs w:val="0"/>
          <w:i/>
          <w:iCs/>
        </w:rPr>
        <w:t>.</w:t>
      </w:r>
    </w:p>
    <w:p w14:paraId="28EC7561" w14:textId="058E97A1" w:rsidR="00C5047D" w:rsidRDefault="00A66BEF" w:rsidP="00A66BEF">
      <w:pPr>
        <w:pStyle w:val="Question"/>
        <w:numPr>
          <w:ilvl w:val="0"/>
          <w:numId w:val="8"/>
        </w:numPr>
        <w:spacing w:after="240"/>
      </w:pPr>
      <w:r>
        <w:lastRenderedPageBreak/>
        <w:tab/>
        <w:t xml:space="preserve">Планируемые изменения в сфере деятельности Органа, такие как получающие ведомства, для которых Орган является компетентным, и предлагаемые языки (при наличии таковых): </w:t>
      </w:r>
    </w:p>
    <w:p w14:paraId="47EB7F15" w14:textId="0A6CF258" w:rsidR="005B6C67" w:rsidRPr="002309D0" w:rsidRDefault="005B6C67" w:rsidP="005B6C67">
      <w:pPr>
        <w:jc w:val="both"/>
        <w:rPr>
          <w:bCs/>
        </w:rPr>
      </w:pPr>
      <w:r>
        <w:t>Начиная с 2012 года Израильское патентное ведомство (ILPO) выполняет функции Международного органа в отношении международных заявок, поданных в ПВ/IL, ПВ/МБ, ПВ/US и ПВ/GE, оказывая услуги заявителям из Израиля, США и Грузии.</w:t>
      </w:r>
    </w:p>
    <w:p w14:paraId="695C9176" w14:textId="7D3F80F3" w:rsidR="005B6C67" w:rsidRPr="002309D0" w:rsidRDefault="005B6C67" w:rsidP="005B6C67">
      <w:pPr>
        <w:jc w:val="both"/>
        <w:rPr>
          <w:bCs/>
        </w:rPr>
      </w:pPr>
      <w:r>
        <w:t>С тех пор ILPO предоставляет высококачественные услуги по поиску и экспертизе во всех технических областях, включая новые технологии.</w:t>
      </w:r>
    </w:p>
    <w:p w14:paraId="5D6A3B9A" w14:textId="7C448DBB" w:rsidR="005B6C67" w:rsidRPr="002309D0" w:rsidRDefault="005B6C67" w:rsidP="005B6C67">
      <w:pPr>
        <w:jc w:val="both"/>
        <w:rPr>
          <w:bCs/>
        </w:rPr>
      </w:pPr>
      <w:r>
        <w:t>В настоящее время ILPO ведет работу с заявками PCT на английском языке.</w:t>
      </w:r>
      <w:r w:rsidR="00067D6C">
        <w:t xml:space="preserve"> </w:t>
      </w:r>
      <w:r>
        <w:t>Все эксперты свободно владеют английским языком и ивритом, а также дополнительно владеют арабским, русским и основными европейскими языками.</w:t>
      </w:r>
      <w:r w:rsidR="00067D6C">
        <w:t xml:space="preserve"> </w:t>
      </w:r>
      <w:r>
        <w:t>Кроме того, все эксперты имеют доступ к современным автоматизированным ИИ-инструментам, которые помогают понимать и составлять тексты на языках помимо английского.</w:t>
      </w:r>
      <w:r w:rsidR="00067D6C">
        <w:t xml:space="preserve"> </w:t>
      </w:r>
      <w:r>
        <w:t>Успешная интеграция ИИ в процедуру экспертизы позволяет ILPO обрабатывать большее число заявок РСТ без увеличения числа экспертов, обеспечивая при этом более полный и глубокий анализ, что в конечном итоге повышает качество и эффективность международного поиска и экспертизы.</w:t>
      </w:r>
    </w:p>
    <w:p w14:paraId="4F7D797B" w14:textId="77777777" w:rsidR="005B6C67" w:rsidRPr="002309D0" w:rsidRDefault="005B6C67" w:rsidP="005B6C67">
      <w:pPr>
        <w:jc w:val="both"/>
        <w:rPr>
          <w:bCs/>
        </w:rPr>
      </w:pPr>
    </w:p>
    <w:p w14:paraId="1BAA4B29" w14:textId="77777777" w:rsidR="005B6C67" w:rsidRPr="002309D0" w:rsidRDefault="005B6C67" w:rsidP="005B6C67">
      <w:pPr>
        <w:jc w:val="both"/>
        <w:rPr>
          <w:bCs/>
        </w:rPr>
      </w:pPr>
      <w:r>
        <w:t>В свете вышесказанного ILPO планирует расширить сферу своей деятельности в качестве МПО/ОМПЭ:</w:t>
      </w:r>
    </w:p>
    <w:p w14:paraId="6F1237D0" w14:textId="77777777" w:rsidR="005B6C67" w:rsidRPr="002309D0" w:rsidRDefault="005B6C67" w:rsidP="005B6C67">
      <w:pPr>
        <w:jc w:val="both"/>
        <w:rPr>
          <w:bCs/>
        </w:rPr>
      </w:pPr>
    </w:p>
    <w:p w14:paraId="28F41130" w14:textId="77777777" w:rsidR="005B6C67" w:rsidRPr="002309D0" w:rsidRDefault="005B6C67" w:rsidP="005B6C67">
      <w:pPr>
        <w:pStyle w:val="ListParagraph"/>
        <w:numPr>
          <w:ilvl w:val="0"/>
          <w:numId w:val="10"/>
        </w:numPr>
        <w:jc w:val="both"/>
        <w:rPr>
          <w:b/>
        </w:rPr>
      </w:pPr>
      <w:r>
        <w:rPr>
          <w:b/>
        </w:rPr>
        <w:t>Расширение компетенции для работы с дополнительными получающими ведомствами</w:t>
      </w:r>
    </w:p>
    <w:p w14:paraId="36442432" w14:textId="77777777" w:rsidR="005B6C67" w:rsidRPr="002309D0" w:rsidRDefault="005B6C67" w:rsidP="005B6C67">
      <w:pPr>
        <w:spacing w:after="120"/>
        <w:ind w:left="720"/>
        <w:jc w:val="both"/>
        <w:rPr>
          <w:bCs/>
        </w:rPr>
      </w:pPr>
      <w:r>
        <w:t>ILPO готово расширить свою компетенцию, с тем чтобы получать и проводить поиск и экспертизу в отношении заявок РСТ из дополнительных получающих ведомств, с которыми оно не работает в настоящее время.</w:t>
      </w:r>
    </w:p>
    <w:p w14:paraId="6F2D701F" w14:textId="77777777" w:rsidR="005B6C67" w:rsidRPr="002309D0" w:rsidRDefault="005B6C67" w:rsidP="005B6C67">
      <w:pPr>
        <w:pStyle w:val="ListParagraph"/>
        <w:numPr>
          <w:ilvl w:val="0"/>
          <w:numId w:val="10"/>
        </w:numPr>
        <w:jc w:val="both"/>
        <w:rPr>
          <w:b/>
        </w:rPr>
      </w:pPr>
      <w:r>
        <w:rPr>
          <w:b/>
        </w:rPr>
        <w:t>Увеличение числа предлагаемых языков</w:t>
      </w:r>
    </w:p>
    <w:p w14:paraId="3D334CEC" w14:textId="3630FA43" w:rsidR="005B6C67" w:rsidRPr="002309D0" w:rsidRDefault="005B6C67" w:rsidP="005B6C67">
      <w:pPr>
        <w:spacing w:after="120"/>
        <w:ind w:left="720"/>
        <w:jc w:val="both"/>
        <w:rPr>
          <w:bCs/>
        </w:rPr>
      </w:pPr>
      <w:bookmarkStart w:id="5" w:name="_Hlk212659811"/>
      <w:r>
        <w:t>Расширение деятельности ILPO за счет охвата дополнительных получающих ведомств первоначально будет предполагать проведение поиска и экспертизы на английском языке, как это происходит в настоящее время.</w:t>
      </w:r>
      <w:r w:rsidR="00067D6C">
        <w:t xml:space="preserve"> </w:t>
      </w:r>
      <w:r>
        <w:t>Впоследствии ILPO планирует предлагать свои услуги по поиску и экспертизе на дополнительных языках, отдавая предпочтение тем, которыми владеют его эксперты, таким как арабский, русский, французский и испанский.</w:t>
      </w:r>
      <w:r w:rsidR="00067D6C">
        <w:t xml:space="preserve"> </w:t>
      </w:r>
      <w:r>
        <w:t>Для обеспечения качества и единообразия в работе с различными языками будут использоваться инструменты перевода и анализа на основе ИИ.</w:t>
      </w:r>
    </w:p>
    <w:bookmarkEnd w:id="5"/>
    <w:p w14:paraId="741AD6B8" w14:textId="77777777" w:rsidR="005B6C67" w:rsidRPr="002309D0" w:rsidRDefault="005B6C67" w:rsidP="005B6C67">
      <w:pPr>
        <w:pStyle w:val="ListParagraph"/>
        <w:numPr>
          <w:ilvl w:val="0"/>
          <w:numId w:val="10"/>
        </w:numPr>
        <w:jc w:val="both"/>
        <w:rPr>
          <w:b/>
        </w:rPr>
      </w:pPr>
      <w:r>
        <w:rPr>
          <w:b/>
        </w:rPr>
        <w:t>Составление всеобъемлющих перечней материалов из известного уровня техники</w:t>
      </w:r>
    </w:p>
    <w:p w14:paraId="44AC3AA4" w14:textId="17983EEA" w:rsidR="005B6C67" w:rsidRPr="002309D0" w:rsidRDefault="005B6C67" w:rsidP="005B6C67">
      <w:pPr>
        <w:spacing w:after="120"/>
        <w:ind w:left="720"/>
        <w:jc w:val="both"/>
        <w:rPr>
          <w:bCs/>
        </w:rPr>
      </w:pPr>
      <w:r>
        <w:t>ILPO планирует увеличить объем информации, содержащейся в отчете о поисковой стратегии, путем включения в него полного списка документов, относящихся к известному уровню техники, помимо тех, которые приводятся в отчете о международном поиске (</w:t>
      </w:r>
      <w:r w:rsidR="00D73B3B">
        <w:t>ОМП</w:t>
      </w:r>
      <w:r>
        <w:t>), с сортировкой по степени значимости для заявленного изобретения.</w:t>
      </w:r>
      <w:r w:rsidR="00067D6C">
        <w:t xml:space="preserve"> </w:t>
      </w:r>
      <w:r>
        <w:t>Этот список будет составляться с помощью поисковых инструментов на основе ИИ, которыми располагает ILPO.</w:t>
      </w:r>
    </w:p>
    <w:p w14:paraId="1E5291B4" w14:textId="77777777" w:rsidR="005B6C67" w:rsidRPr="002309D0" w:rsidRDefault="005B6C67" w:rsidP="005B6C67">
      <w:pPr>
        <w:pStyle w:val="ListParagraph"/>
        <w:numPr>
          <w:ilvl w:val="0"/>
          <w:numId w:val="10"/>
        </w:numPr>
        <w:jc w:val="both"/>
        <w:rPr>
          <w:b/>
        </w:rPr>
      </w:pPr>
      <w:r>
        <w:rPr>
          <w:b/>
        </w:rPr>
        <w:t>Введение отчетов об анализе патентного ландшафта</w:t>
      </w:r>
    </w:p>
    <w:p w14:paraId="30771BBA" w14:textId="072E5EEC" w:rsidR="005B6C67" w:rsidRPr="002309D0" w:rsidRDefault="005B6C67" w:rsidP="005B6C67">
      <w:pPr>
        <w:ind w:left="720"/>
        <w:jc w:val="both"/>
        <w:rPr>
          <w:bCs/>
        </w:rPr>
      </w:pPr>
      <w:r>
        <w:t>ILPO планирует внедрить отчеты об анализе патентного ландшафта, содержащие показатели инновационной деятельности и визуальные карты патентного ландшафта, с тем чтобы давать заявителям более глубокое представление о техническ</w:t>
      </w:r>
      <w:r w:rsidR="00D73B3B">
        <w:t>их</w:t>
      </w:r>
      <w:r>
        <w:t xml:space="preserve"> област</w:t>
      </w:r>
      <w:r w:rsidR="00D73B3B">
        <w:t>ях</w:t>
      </w:r>
      <w:r>
        <w:t>, к котор</w:t>
      </w:r>
      <w:r w:rsidR="00D73B3B">
        <w:t>ым</w:t>
      </w:r>
      <w:r>
        <w:t xml:space="preserve"> относятся заявленные ими изобретения, в качестве дополнительной информации, прилагаемой к отчетам о поиске.</w:t>
      </w:r>
    </w:p>
    <w:p w14:paraId="408FFD2A" w14:textId="77777777" w:rsidR="005B6C67" w:rsidRPr="005B6C67" w:rsidRDefault="005B6C67" w:rsidP="005B6C67">
      <w:pPr>
        <w:pStyle w:val="Answer"/>
        <w:ind w:left="0"/>
      </w:pPr>
    </w:p>
    <w:p w14:paraId="5EB9384A" w14:textId="77777777" w:rsidR="00C90371" w:rsidRPr="00C90371" w:rsidRDefault="00C90371" w:rsidP="00C90371">
      <w:pPr>
        <w:pStyle w:val="Answer"/>
        <w:ind w:left="0"/>
      </w:pPr>
    </w:p>
    <w:p w14:paraId="0330D9AA" w14:textId="77777777" w:rsidR="00C5047D" w:rsidRPr="002B3808" w:rsidRDefault="00C5047D" w:rsidP="00C5047D">
      <w:pPr>
        <w:pStyle w:val="SectionHeading"/>
      </w:pPr>
      <w:r>
        <w:lastRenderedPageBreak/>
        <w:t>4 – ПРОЧЕЕ</w:t>
      </w:r>
    </w:p>
    <w:p w14:paraId="041B071C" w14:textId="4D128F52" w:rsidR="00C5047D" w:rsidRDefault="00C5047D" w:rsidP="00C5047D">
      <w:r>
        <w:t>Любая дополнительная информация, имеющая отношение к продлению назначения в качестве Международного поискового органа и Органа международной предварительной экспертизы.</w:t>
      </w:r>
      <w:r w:rsidR="00067D6C">
        <w:t xml:space="preserve"> </w:t>
      </w:r>
    </w:p>
    <w:p w14:paraId="7C0855F5" w14:textId="77777777" w:rsidR="005B6C67" w:rsidRDefault="005B6C67" w:rsidP="00C5047D"/>
    <w:p w14:paraId="02B91148" w14:textId="772E9CE7" w:rsidR="005B6C67" w:rsidRPr="002309D0" w:rsidRDefault="005B6C67" w:rsidP="00E25F96">
      <w:pPr>
        <w:spacing w:after="120"/>
        <w:jc w:val="both"/>
        <w:rPr>
          <w:rFonts w:asciiTheme="minorBidi" w:eastAsia="Calibri" w:hAnsiTheme="minorBidi" w:cstheme="minorBidi"/>
          <w:b/>
          <w:szCs w:val="22"/>
        </w:rPr>
      </w:pPr>
      <w:r>
        <w:t>Израильское патентное ведомство (ILPO) работает в качестве Международного поискового органа и Органа международной предварительной экспертизы (МПО/ОМПЭ) в рамках Договора о патентной кооперации (РСТ) с 1 июня 2012 года, после своего назначения в октябре 2009 года.</w:t>
      </w:r>
      <w:r w:rsidR="00067D6C">
        <w:t xml:space="preserve"> </w:t>
      </w:r>
      <w:r>
        <w:t>Опираясь на более чем десятилетний опыт успешной деятельности, ILPO хочет расширить свои полномочия в качестве МПО и ОМПЭ.</w:t>
      </w:r>
      <w:r w:rsidR="00067D6C">
        <w:t xml:space="preserve"> </w:t>
      </w:r>
      <w:r>
        <w:t xml:space="preserve">В основе этого намерения лежат признанные возможности, значительные достижения и стратегическое представление о дальнейшем вкладе ILPO в систему РСТ, а также его </w:t>
      </w:r>
      <w:r w:rsidR="00D73B3B">
        <w:t xml:space="preserve">неизменное </w:t>
      </w:r>
      <w:r>
        <w:t>стремлени</w:t>
      </w:r>
      <w:r w:rsidR="00D73B3B">
        <w:t>е</w:t>
      </w:r>
      <w:r>
        <w:t xml:space="preserve"> поддерживать инновации и развитие интеллектуальной собственности в мире.</w:t>
      </w:r>
      <w:bookmarkStart w:id="6" w:name="_Hlk209637017"/>
    </w:p>
    <w:p w14:paraId="6CC037BF" w14:textId="77777777" w:rsidR="00736CAF" w:rsidRPr="002309D0" w:rsidRDefault="00736CAF" w:rsidP="00E25F96">
      <w:pPr>
        <w:spacing w:after="120"/>
        <w:jc w:val="both"/>
        <w:rPr>
          <w:rFonts w:asciiTheme="minorBidi" w:eastAsia="Calibri" w:hAnsiTheme="minorBidi" w:cstheme="minorBidi"/>
          <w:b/>
          <w:szCs w:val="22"/>
          <w:lang w:bidi="he-IL"/>
        </w:rPr>
      </w:pPr>
    </w:p>
    <w:p w14:paraId="225F158D" w14:textId="36555560" w:rsidR="005B6C67" w:rsidRPr="002309D0" w:rsidRDefault="005B6C67" w:rsidP="005B6C67">
      <w:pPr>
        <w:pStyle w:val="ListParagraph"/>
        <w:numPr>
          <w:ilvl w:val="0"/>
          <w:numId w:val="11"/>
        </w:numPr>
        <w:spacing w:after="120"/>
        <w:ind w:left="357" w:hanging="357"/>
        <w:contextualSpacing w:val="0"/>
        <w:jc w:val="both"/>
        <w:rPr>
          <w:rFonts w:eastAsia="Calibri"/>
          <w:b/>
          <w:szCs w:val="22"/>
        </w:rPr>
      </w:pPr>
      <w:r>
        <w:rPr>
          <w:b/>
          <w:szCs w:val="22"/>
        </w:rPr>
        <w:t>Приверженность качеству: экспертиза, международные стандарты и передовые методы экспертизы</w:t>
      </w:r>
    </w:p>
    <w:p w14:paraId="34CA873C" w14:textId="60687CD4" w:rsidR="005B6C67" w:rsidRPr="002309D0" w:rsidRDefault="005B6C67" w:rsidP="005B6C67">
      <w:pPr>
        <w:spacing w:after="120"/>
        <w:ind w:left="357"/>
        <w:jc w:val="both"/>
        <w:rPr>
          <w:rFonts w:eastAsia="Calibri"/>
          <w:bCs/>
          <w:szCs w:val="22"/>
        </w:rPr>
      </w:pPr>
      <w:r>
        <w:t>Израильское патентное ведомство (ILPO) предоставляет высококачественные услуги по международному поиску и экспертизе в полном соответствии с правовыми документами РСТ и международными стандартами. Его команда опытных экспертов проводит точный и всеобъемлющий поиск по известному уровню техники и оценку патентоспособности во всех технических областях, включая такие передовые технологии, как искусственный интеллект (ИИ), квантовые вычисления, биоинформатика, биотехнологии, пищевые технологии, кибербезопасность, здравоохранение и устойчивые технологии.</w:t>
      </w:r>
      <w:r w:rsidR="00067D6C">
        <w:t xml:space="preserve"> </w:t>
      </w:r>
      <w:r>
        <w:t>Постоянное повышение квалификации, включая профессиональные курсы по новым технологиям и программы обучения с использованием ИИ, обеспечивает соблюдение экспертами новейших правовых и технических требований.</w:t>
      </w:r>
      <w:r w:rsidR="00067D6C">
        <w:t xml:space="preserve"> </w:t>
      </w:r>
      <w:r>
        <w:t xml:space="preserve">Руководство по экспертизе патентных заявок охватывает все технические области, включая такие </w:t>
      </w:r>
      <w:r w:rsidR="00360C73">
        <w:t xml:space="preserve">не охваченные Руководством по проведению международного поиска и международной предварительной экспертизы </w:t>
      </w:r>
      <w:r>
        <w:t>особые случаи, как изобретения, связанные с антителами, субпопуляциями, полиморфизмом</w:t>
      </w:r>
      <w:r w:rsidR="00360C73">
        <w:t xml:space="preserve"> и</w:t>
      </w:r>
      <w:r>
        <w:t xml:space="preserve"> процентом идентичности последовательностей.</w:t>
      </w:r>
    </w:p>
    <w:p w14:paraId="58B2C770" w14:textId="77777777" w:rsidR="005B6C67" w:rsidRPr="002309D0" w:rsidRDefault="005B6C67" w:rsidP="005B6C67">
      <w:pPr>
        <w:spacing w:after="240"/>
        <w:ind w:left="357"/>
        <w:jc w:val="both"/>
        <w:rPr>
          <w:rFonts w:eastAsia="Calibri"/>
          <w:bCs/>
          <w:szCs w:val="22"/>
        </w:rPr>
      </w:pPr>
      <w:r>
        <w:t>В основе этого стремления к обеспечению высочайшего качества лежит надежная система управления качеством, сертифицированная по стандарту ISO 9001:2015 с 2016 года после сертификации по стандарту ISO 9001:2008 с 2010 года и охватывающая все службы ILPO, а также внедрение передовых методов управления рисками в соответствии с ISO 31000:2018 и ISO/IEC 23894:2023 для управления рисками, связанными с ИИ.</w:t>
      </w:r>
    </w:p>
    <w:bookmarkEnd w:id="6"/>
    <w:p w14:paraId="5D99E7D5" w14:textId="77777777" w:rsidR="005B6C67" w:rsidRPr="002309D0" w:rsidRDefault="005B6C67" w:rsidP="005B6C67">
      <w:pPr>
        <w:pStyle w:val="ListParagraph"/>
        <w:numPr>
          <w:ilvl w:val="0"/>
          <w:numId w:val="11"/>
        </w:numPr>
        <w:spacing w:after="120"/>
        <w:ind w:left="357" w:hanging="357"/>
        <w:contextualSpacing w:val="0"/>
        <w:jc w:val="both"/>
        <w:rPr>
          <w:rFonts w:eastAsia="Calibri"/>
          <w:b/>
          <w:szCs w:val="22"/>
        </w:rPr>
      </w:pPr>
      <w:r>
        <w:rPr>
          <w:b/>
          <w:szCs w:val="22"/>
        </w:rPr>
        <w:t>Применение передовых технологий для повышения качества и эффективности патентной экспертизы</w:t>
      </w:r>
    </w:p>
    <w:p w14:paraId="745FAF8A" w14:textId="1BADB0D8" w:rsidR="005B6C67" w:rsidRPr="002309D0" w:rsidRDefault="005B6C67" w:rsidP="005B6C67">
      <w:pPr>
        <w:spacing w:after="120"/>
        <w:ind w:left="357"/>
        <w:jc w:val="both"/>
        <w:rPr>
          <w:rFonts w:eastAsia="Calibri"/>
          <w:bCs/>
          <w:szCs w:val="22"/>
        </w:rPr>
      </w:pPr>
      <w:r>
        <w:t>ILPO, как современное патентное ведомство, уделяет большое внимание интеграции передовых ИТ-систем с целью повышения доступности и качества обслуживания как национальных, так и международных заявителей.</w:t>
      </w:r>
      <w:r w:rsidR="00067D6C">
        <w:t xml:space="preserve"> </w:t>
      </w:r>
      <w:r>
        <w:t>Надежные онлайновые услуги ILPO, предоставляемые полностью на английском языке, обеспечивают беспрепятственную подачу заявок, отслеживание хода обработки заявок в режиме реального времени, цифровую переписку и безопасные онлайновые платежи, что очень удобно для международных пользователей.</w:t>
      </w:r>
    </w:p>
    <w:p w14:paraId="15DE472F" w14:textId="136C0604" w:rsidR="005B6C67" w:rsidRPr="002309D0" w:rsidRDefault="005B6C67" w:rsidP="005B6C67">
      <w:pPr>
        <w:spacing w:after="120"/>
        <w:ind w:left="357"/>
        <w:jc w:val="both"/>
        <w:rPr>
          <w:rFonts w:eastAsia="Calibri"/>
          <w:bCs/>
          <w:szCs w:val="22"/>
        </w:rPr>
      </w:pPr>
      <w:r>
        <w:t xml:space="preserve">ILPO постоянно вкладывает значительные средства в передовые ИТ-системы и цифровые инструменты в соответствии со своей политикой обеспечения современных, высококачественных и эффективных процессов поиска и экспертизы для </w:t>
      </w:r>
      <w:r>
        <w:lastRenderedPageBreak/>
        <w:t>заинтересованных сторон.</w:t>
      </w:r>
      <w:r w:rsidR="00067D6C">
        <w:t xml:space="preserve"> </w:t>
      </w:r>
      <w:r>
        <w:t>Передовые автоматизированные системы как для национальных, так и для международных заявок обеспечивают работу платформ для управляемых рабочих процессов с интегрированными механизмами контроля качества.</w:t>
      </w:r>
      <w:r w:rsidR="00067D6C">
        <w:t xml:space="preserve"> </w:t>
      </w:r>
      <w:r>
        <w:t>Эти платформы поддерживают регистрацию структурированных данных, предоставленных экспертом, и отправку автоматически созданных национальных отчетов и отчетов РСТ в формате PDF.</w:t>
      </w:r>
      <w:r w:rsidR="00067D6C">
        <w:t xml:space="preserve"> </w:t>
      </w:r>
      <w:r>
        <w:t>Отчеты РСТ также автоматически генерируются в формате XML в соответствии со стандартом ВОИС ST.96.</w:t>
      </w:r>
    </w:p>
    <w:p w14:paraId="0B5D87E8" w14:textId="2D65DB04" w:rsidR="005B6C67" w:rsidRPr="002309D0" w:rsidRDefault="005B6C67" w:rsidP="005B6C67">
      <w:pPr>
        <w:spacing w:after="120"/>
        <w:ind w:left="357"/>
        <w:jc w:val="both"/>
        <w:rPr>
          <w:rFonts w:eastAsia="Calibri"/>
          <w:bCs/>
          <w:szCs w:val="22"/>
        </w:rPr>
      </w:pPr>
      <w:r>
        <w:t>В ILPO в качестве стратегического инструмента мониторинга производительности и улучшения показателей качества используется сложная система бизнес-аналитик</w:t>
      </w:r>
      <w:r w:rsidR="00977B07">
        <w:t>и</w:t>
      </w:r>
      <w:r>
        <w:t>.</w:t>
      </w:r>
      <w:r w:rsidR="00067D6C">
        <w:t xml:space="preserve"> </w:t>
      </w:r>
      <w:r>
        <w:t>Кроме того, оптимизация распределения патентных заявок осуществляется с помощью бота, который анализирует множество параметров, обеспечивая сбалансированную нагрузку и своевременную обработку.</w:t>
      </w:r>
    </w:p>
    <w:p w14:paraId="6C6FA1D5" w14:textId="6FA56211" w:rsidR="00E25F96" w:rsidRPr="002309D0" w:rsidRDefault="005B6C67" w:rsidP="00E25F96">
      <w:pPr>
        <w:spacing w:after="240"/>
        <w:ind w:left="357"/>
        <w:jc w:val="both"/>
        <w:rPr>
          <w:rFonts w:eastAsia="Calibri"/>
          <w:bCs/>
          <w:szCs w:val="22"/>
        </w:rPr>
      </w:pPr>
      <w:r>
        <w:t>В целях дальнейшего повышения точности и эффективности ILPO использует передовые коммерческие инструменты поиска на основе ИИ, которые доказали свою высокую эффективность в выявлении известного уровня техники.</w:t>
      </w:r>
      <w:r w:rsidR="00067D6C">
        <w:t xml:space="preserve"> </w:t>
      </w:r>
      <w:r>
        <w:t>Недавно, после успешного пилотного проекта в 2024 году, была проведена комплексная интеграция ИИ-решений в рамках всей процедуры экспертизы, что позволило добиться заметных улучшений в плане последовательности, эффективности и общего качества процедуры экспертизы.</w:t>
      </w:r>
      <w:r w:rsidR="00067D6C">
        <w:t xml:space="preserve"> </w:t>
      </w:r>
      <w:r>
        <w:t>В поддержку этого стратегического начинания была создана новая руководящая должность менеджера по стратегии и операциям, связанным с ИИ, который будет отвечать за ответственную и стратегическую интеграцию ИИ в ILPO.</w:t>
      </w:r>
    </w:p>
    <w:p w14:paraId="11A066DC" w14:textId="77777777" w:rsidR="00E25F96" w:rsidRPr="002309D0" w:rsidRDefault="00E25F96" w:rsidP="00E25F96">
      <w:pPr>
        <w:pStyle w:val="ListParagraph"/>
        <w:numPr>
          <w:ilvl w:val="0"/>
          <w:numId w:val="11"/>
        </w:numPr>
        <w:spacing w:after="120"/>
        <w:ind w:left="357" w:hanging="357"/>
        <w:contextualSpacing w:val="0"/>
        <w:jc w:val="both"/>
        <w:rPr>
          <w:rFonts w:eastAsia="Calibri"/>
          <w:b/>
          <w:szCs w:val="22"/>
        </w:rPr>
      </w:pPr>
      <w:r>
        <w:rPr>
          <w:b/>
          <w:szCs w:val="22"/>
        </w:rPr>
        <w:t>Внедрение инноваций в системе PCT: роль ILPO</w:t>
      </w:r>
    </w:p>
    <w:p w14:paraId="5196D0C6" w14:textId="77777777" w:rsidR="00E25F96" w:rsidRPr="002309D0" w:rsidRDefault="00E25F96" w:rsidP="00E25F96">
      <w:pPr>
        <w:spacing w:after="120"/>
        <w:ind w:left="357"/>
        <w:jc w:val="both"/>
        <w:rPr>
          <w:rFonts w:eastAsia="Calibri"/>
          <w:bCs/>
          <w:szCs w:val="22"/>
        </w:rPr>
      </w:pPr>
      <w:r>
        <w:t>За время своей деятельности в качестве МПО/ОМПЭ ILPO накопило большой опыт внедрения инновационных решений, проведения соответствующих мероприятий и инициатив, став первопроходцем в освоении передовых технологий, а также в проведении политики, ориентированной на клиентов и инновации.</w:t>
      </w:r>
    </w:p>
    <w:p w14:paraId="21D42761" w14:textId="2026909A" w:rsidR="00E25F96" w:rsidRPr="002309D0" w:rsidRDefault="00E25F96" w:rsidP="00E25F96">
      <w:pPr>
        <w:spacing w:after="120"/>
        <w:ind w:left="357"/>
        <w:jc w:val="both"/>
        <w:rPr>
          <w:rFonts w:eastAsia="Calibri"/>
          <w:bCs/>
          <w:szCs w:val="22"/>
        </w:rPr>
      </w:pPr>
      <w:r>
        <w:t xml:space="preserve">Начиная с 2010 года ILPO является одним из первых подразделений министерства юстиции, где </w:t>
      </w:r>
      <w:r w:rsidR="00977B07">
        <w:t>существует возможность</w:t>
      </w:r>
      <w:r>
        <w:t xml:space="preserve"> </w:t>
      </w:r>
      <w:r w:rsidR="00977B07">
        <w:t>удаленной</w:t>
      </w:r>
      <w:r>
        <w:t xml:space="preserve"> работ</w:t>
      </w:r>
      <w:r w:rsidR="00977B07">
        <w:t>ы</w:t>
      </w:r>
      <w:r>
        <w:t xml:space="preserve"> и</w:t>
      </w:r>
      <w:r w:rsidR="00977B07">
        <w:t xml:space="preserve"> при этом</w:t>
      </w:r>
      <w:r>
        <w:t xml:space="preserve"> обеспечивается такая же рабочая среда, как в офисе.</w:t>
      </w:r>
      <w:r w:rsidR="00067D6C">
        <w:t xml:space="preserve"> </w:t>
      </w:r>
      <w:r>
        <w:t>Позднее эта инициатива была распространена на всех экспертов, проводящих экспертизы по существу и формальные экспертизы, что позволяет им работать до 50% рабочего времени удаленно.</w:t>
      </w:r>
    </w:p>
    <w:p w14:paraId="62F779D8" w14:textId="22299EB7" w:rsidR="00E25F96" w:rsidRPr="002309D0" w:rsidRDefault="00E25F96" w:rsidP="00E25F96">
      <w:pPr>
        <w:spacing w:after="120"/>
        <w:ind w:left="357"/>
        <w:jc w:val="both"/>
        <w:rPr>
          <w:rFonts w:eastAsia="Calibri"/>
          <w:bCs/>
          <w:szCs w:val="22"/>
        </w:rPr>
      </w:pPr>
      <w:r>
        <w:t>В 2012 году в ILPO была создана полностью безбумажная рабочая среда для формальной экспертизы и экспертизы по существу национальных и международных патентных заявок.</w:t>
      </w:r>
      <w:r w:rsidR="00067D6C">
        <w:t xml:space="preserve"> </w:t>
      </w:r>
      <w:r>
        <w:t>В том же году была запущена система электронной подачи заявок РСТ, позволяющая подавать все заявки РСТ в ПВ/IL. В 2015 году была введена система электронной подачи национальных патентных заявок, в результате чего почти все национальные заявки (&gt;99%) подаются в электронном виде.</w:t>
      </w:r>
    </w:p>
    <w:p w14:paraId="4B0A49DB" w14:textId="77777777" w:rsidR="00E25F96" w:rsidRPr="002309D0" w:rsidRDefault="00E25F96" w:rsidP="00E25F96">
      <w:pPr>
        <w:spacing w:after="120"/>
        <w:ind w:left="357"/>
        <w:jc w:val="both"/>
        <w:rPr>
          <w:rFonts w:eastAsia="Calibri"/>
          <w:bCs/>
          <w:szCs w:val="22"/>
        </w:rPr>
      </w:pPr>
      <w:r>
        <w:t>В 2024 году началась реализация пилотной программы, предусматривающей ежемесячную автоматическую передачу патентных данных в ВОИС вместо передачи данных вручную.</w:t>
      </w:r>
    </w:p>
    <w:p w14:paraId="64C03019" w14:textId="7295914B" w:rsidR="00E25F96" w:rsidRPr="002309D0" w:rsidRDefault="00E25F96" w:rsidP="00E25F96">
      <w:pPr>
        <w:ind w:left="357"/>
        <w:jc w:val="both"/>
        <w:rPr>
          <w:rFonts w:eastAsia="Calibri"/>
          <w:bCs/>
          <w:szCs w:val="22"/>
        </w:rPr>
      </w:pPr>
      <w:r>
        <w:t>Выступая в качестве МПО/ОМПЭ, ILPO неизменно играет ведущую роль в реализации международных проектов и инициатив на благо системы РСТ в целом.</w:t>
      </w:r>
      <w:r w:rsidR="00067D6C">
        <w:t xml:space="preserve"> </w:t>
      </w:r>
      <w:r>
        <w:t>Например, ILPO стало одним из первых ведомств, котор</w:t>
      </w:r>
      <w:r w:rsidR="00C13EB4">
        <w:t>о</w:t>
      </w:r>
      <w:r>
        <w:t xml:space="preserve">е: </w:t>
      </w:r>
    </w:p>
    <w:p w14:paraId="3C020B3F" w14:textId="1BCFAE0C" w:rsidR="00E25F96" w:rsidRPr="002309D0" w:rsidRDefault="00E25F96" w:rsidP="00E25F96">
      <w:pPr>
        <w:ind w:left="357"/>
        <w:jc w:val="both"/>
        <w:rPr>
          <w:rFonts w:eastAsia="Calibri"/>
          <w:bCs/>
          <w:szCs w:val="22"/>
        </w:rPr>
      </w:pPr>
      <w:r>
        <w:t>a)</w:t>
      </w:r>
      <w:r w:rsidR="00360C73">
        <w:t xml:space="preserve"> </w:t>
      </w:r>
      <w:r>
        <w:t>выпуска</w:t>
      </w:r>
      <w:r w:rsidR="00C13EB4">
        <w:t>е</w:t>
      </w:r>
      <w:r>
        <w:t xml:space="preserve">т не только отчет о международном поиске, но и отчет о поисковой стратегии, </w:t>
      </w:r>
    </w:p>
    <w:p w14:paraId="35763366" w14:textId="14D301C2" w:rsidR="00E25F96" w:rsidRPr="002309D0" w:rsidRDefault="00E25F96" w:rsidP="00E25F96">
      <w:pPr>
        <w:ind w:left="357"/>
        <w:jc w:val="both"/>
        <w:rPr>
          <w:rFonts w:eastAsia="Calibri"/>
          <w:bCs/>
          <w:szCs w:val="22"/>
        </w:rPr>
      </w:pPr>
      <w:r>
        <w:t>b)</w:t>
      </w:r>
      <w:r>
        <w:tab/>
      </w:r>
      <w:r w:rsidR="00360C73">
        <w:t xml:space="preserve">  </w:t>
      </w:r>
      <w:r>
        <w:t>выпуска</w:t>
      </w:r>
      <w:r w:rsidR="00C13EB4">
        <w:t>е</w:t>
      </w:r>
      <w:r>
        <w:t xml:space="preserve">т отчеты PCT в формате XML в соответствии со стандартом ВОИС ST.96, </w:t>
      </w:r>
    </w:p>
    <w:p w14:paraId="129E9CC9" w14:textId="0E29EF20" w:rsidR="00E25F96" w:rsidRPr="002309D0" w:rsidRDefault="00E25F96" w:rsidP="00E25F96">
      <w:pPr>
        <w:ind w:left="357"/>
        <w:jc w:val="both"/>
        <w:rPr>
          <w:rFonts w:eastAsia="Calibri"/>
          <w:bCs/>
          <w:szCs w:val="22"/>
        </w:rPr>
      </w:pPr>
      <w:r>
        <w:t>c)</w:t>
      </w:r>
      <w:r w:rsidR="00360C73">
        <w:t xml:space="preserve">  </w:t>
      </w:r>
      <w:r>
        <w:t>внедрил</w:t>
      </w:r>
      <w:r w:rsidR="00C13EB4">
        <w:t>о</w:t>
      </w:r>
      <w:r w:rsidR="00977B07">
        <w:t xml:space="preserve"> </w:t>
      </w:r>
      <w:r>
        <w:t xml:space="preserve">сервис «PCT Direct» вслед за ЕПВ, </w:t>
      </w:r>
    </w:p>
    <w:p w14:paraId="69F17E7E" w14:textId="6ED37F0C" w:rsidR="00E25F96" w:rsidRPr="002309D0" w:rsidRDefault="00E25F96" w:rsidP="00E25F96">
      <w:pPr>
        <w:spacing w:after="120"/>
        <w:ind w:left="357"/>
        <w:jc w:val="both"/>
        <w:rPr>
          <w:rFonts w:eastAsia="Calibri"/>
          <w:bCs/>
          <w:szCs w:val="22"/>
        </w:rPr>
      </w:pPr>
      <w:r>
        <w:t>d)</w:t>
      </w:r>
      <w:r>
        <w:tab/>
      </w:r>
      <w:r w:rsidR="00360C73">
        <w:t xml:space="preserve"> </w:t>
      </w:r>
      <w:r>
        <w:t>участву</w:t>
      </w:r>
      <w:r w:rsidR="00C13EB4">
        <w:t>е</w:t>
      </w:r>
      <w:r>
        <w:t>т в системе WIPO</w:t>
      </w:r>
      <w:r w:rsidR="00977B07">
        <w:t> </w:t>
      </w:r>
      <w:r>
        <w:t>CASE в качестве как осуществляющего, так и предоставляющего доступ ведомства вслед за ведомствами Содружества.</w:t>
      </w:r>
    </w:p>
    <w:p w14:paraId="708E9FCE" w14:textId="230DEC5B" w:rsidR="00E25F96" w:rsidRPr="002309D0" w:rsidRDefault="00E25F96" w:rsidP="00E25F96">
      <w:pPr>
        <w:spacing w:after="120"/>
        <w:ind w:left="357"/>
        <w:jc w:val="both"/>
        <w:rPr>
          <w:rFonts w:eastAsia="Calibri"/>
          <w:bCs/>
          <w:szCs w:val="22"/>
        </w:rPr>
      </w:pPr>
      <w:r>
        <w:lastRenderedPageBreak/>
        <w:t>ILPO продолжает внедрять инновации и совершенствовать свои ресурсы и услуги на благо заинтересованных сторон и всей системы РСТ.</w:t>
      </w:r>
      <w:r w:rsidR="00067D6C">
        <w:t xml:space="preserve"> </w:t>
      </w:r>
      <w:r>
        <w:t>Об этом свидетельствует внушительный список изменений и улучшений, отраженных в ежегодных отчетах о системе УК, а также инициативы, выдвинутые ILPO на международных форумах, таких как ежегодные заседания международных органов.</w:t>
      </w:r>
    </w:p>
    <w:p w14:paraId="2A95A197" w14:textId="1D4A3361" w:rsidR="00E25F96" w:rsidRPr="002309D0" w:rsidRDefault="00E25F96" w:rsidP="00E25F96">
      <w:pPr>
        <w:spacing w:after="120"/>
        <w:ind w:left="357"/>
        <w:jc w:val="both"/>
        <w:rPr>
          <w:rFonts w:eastAsia="Calibri"/>
          <w:bCs/>
          <w:szCs w:val="22"/>
        </w:rPr>
      </w:pPr>
      <w:r>
        <w:t>В целях дальнейшего укрепления своего ориентированного на инновации подхода ILPO в 2024 году создало центр инноваций, который будет заниматься разработкой и реализацией новых инициатив.</w:t>
      </w:r>
      <w:r w:rsidR="00067D6C">
        <w:t xml:space="preserve"> </w:t>
      </w:r>
      <w:r>
        <w:t>Кроме того, в 2024 году в результате стремления ILPO к использованию передовых технологий, в частности решений на основе ИИ, направленных на повышение качества и эффективности процессов поиска и экспертизы, операций ведомства и учебных программ, была учреждена группа по внедрению ИИ.</w:t>
      </w:r>
      <w:r w:rsidR="00067D6C">
        <w:t xml:space="preserve"> </w:t>
      </w:r>
      <w:r>
        <w:t xml:space="preserve">В ближайшее время будет назначен менеджер по стратегии и операциям, связанным с ИИ, который будет руководить </w:t>
      </w:r>
      <w:r w:rsidR="00977B07">
        <w:t>этой работой</w:t>
      </w:r>
      <w:r>
        <w:t xml:space="preserve"> и обеспечивать эффективную интеграцию ИИ во все ресурсы и сервисы ILPO.</w:t>
      </w:r>
    </w:p>
    <w:p w14:paraId="4964EC28" w14:textId="1D337089" w:rsidR="00E25F96" w:rsidRPr="002309D0" w:rsidRDefault="00E25F96" w:rsidP="00E25F96">
      <w:pPr>
        <w:ind w:left="357"/>
        <w:jc w:val="both"/>
        <w:rPr>
          <w:rFonts w:eastAsia="Calibri"/>
          <w:bCs/>
          <w:szCs w:val="22"/>
        </w:rPr>
      </w:pPr>
      <w:r>
        <w:t>В настоящее время ведется подготовка к обеспечению выполнения стандарта ISO 56001:2024 – недавно представленного стандарта для систем управления инновациями.</w:t>
      </w:r>
      <w:r w:rsidR="00067D6C">
        <w:t xml:space="preserve"> </w:t>
      </w:r>
      <w:r>
        <w:t>Эта инициатива отражает неизменное стремление ILPO к формированию культуры постоянного совершенствования и инноваций.</w:t>
      </w:r>
    </w:p>
    <w:p w14:paraId="3FC48D41" w14:textId="77777777" w:rsidR="00E25F96" w:rsidRPr="002309D0" w:rsidRDefault="00E25F96" w:rsidP="00E25F96">
      <w:pPr>
        <w:ind w:left="357"/>
        <w:jc w:val="both"/>
        <w:rPr>
          <w:rFonts w:eastAsia="Calibri"/>
          <w:bCs/>
          <w:szCs w:val="22"/>
          <w:lang w:bidi="he-IL"/>
        </w:rPr>
      </w:pPr>
    </w:p>
    <w:p w14:paraId="726BBE77" w14:textId="77777777" w:rsidR="00E25F96" w:rsidRPr="002309D0" w:rsidRDefault="00E25F96" w:rsidP="00E25F96">
      <w:pPr>
        <w:pStyle w:val="ListParagraph"/>
        <w:numPr>
          <w:ilvl w:val="0"/>
          <w:numId w:val="11"/>
        </w:numPr>
        <w:spacing w:after="120"/>
        <w:ind w:left="357" w:hanging="357"/>
        <w:contextualSpacing w:val="0"/>
        <w:jc w:val="both"/>
        <w:rPr>
          <w:rFonts w:eastAsia="Calibri"/>
          <w:b/>
          <w:szCs w:val="22"/>
        </w:rPr>
      </w:pPr>
      <w:r>
        <w:rPr>
          <w:b/>
          <w:szCs w:val="22"/>
        </w:rPr>
        <w:t>Приверженность глобальному сотрудничеству и гармонизации</w:t>
      </w:r>
    </w:p>
    <w:p w14:paraId="2A76E2DA" w14:textId="607B6DD4" w:rsidR="00E25F96" w:rsidRPr="002309D0" w:rsidRDefault="00E25F96" w:rsidP="00E25F96">
      <w:pPr>
        <w:pStyle w:val="ListParagraph"/>
        <w:spacing w:after="160"/>
        <w:ind w:left="360"/>
        <w:jc w:val="both"/>
        <w:rPr>
          <w:rFonts w:eastAsia="Calibri"/>
          <w:b/>
          <w:szCs w:val="22"/>
        </w:rPr>
      </w:pPr>
      <w:r>
        <w:t>ILPO активно участвует в международных форумах по ИС, а также в обмене информацией и сотрудничестве с другими ведомствами, демонстрируя свою приверженность делу создания согласованной и эффективной международной системы ИС.</w:t>
      </w:r>
      <w:r w:rsidR="00067D6C">
        <w:t xml:space="preserve"> </w:t>
      </w:r>
      <w:r>
        <w:t>К числу примеров такого глобального сотрудничества относятся:</w:t>
      </w:r>
    </w:p>
    <w:p w14:paraId="2DE99658" w14:textId="77777777" w:rsidR="00E25F96" w:rsidRPr="002309D0" w:rsidRDefault="00E25F96" w:rsidP="00E25F96">
      <w:pPr>
        <w:pStyle w:val="ListParagraph"/>
        <w:numPr>
          <w:ilvl w:val="0"/>
          <w:numId w:val="12"/>
        </w:numPr>
        <w:spacing w:after="160"/>
        <w:jc w:val="both"/>
        <w:rPr>
          <w:rFonts w:eastAsia="Calibri"/>
          <w:bCs/>
          <w:szCs w:val="22"/>
        </w:rPr>
      </w:pPr>
      <w:r>
        <w:t>участие в работе таких систем ВОИС, как Система централизованного доступа к результатам поиска и экспертизы (CASE) и Служба цифрового доступа к приоритетным документам (СЦД);</w:t>
      </w:r>
    </w:p>
    <w:p w14:paraId="75397CF1" w14:textId="77777777" w:rsidR="00E25F96" w:rsidRPr="002309D0" w:rsidRDefault="00E25F96" w:rsidP="00E25F96">
      <w:pPr>
        <w:pStyle w:val="ListParagraph"/>
        <w:numPr>
          <w:ilvl w:val="0"/>
          <w:numId w:val="12"/>
        </w:numPr>
        <w:jc w:val="both"/>
        <w:rPr>
          <w:rFonts w:eastAsia="Calibri"/>
          <w:bCs/>
          <w:szCs w:val="22"/>
        </w:rPr>
      </w:pPr>
      <w:r>
        <w:t>Механизм ускоренного патентного делопроизводства (PPH), включая механизмы PCT-PPH и глобальной системы PPH;</w:t>
      </w:r>
    </w:p>
    <w:p w14:paraId="397B14A0" w14:textId="77777777" w:rsidR="00E25F96" w:rsidRPr="002309D0" w:rsidRDefault="00E25F96" w:rsidP="00E25F96">
      <w:pPr>
        <w:pStyle w:val="ListParagraph"/>
        <w:numPr>
          <w:ilvl w:val="0"/>
          <w:numId w:val="12"/>
        </w:numPr>
        <w:jc w:val="both"/>
        <w:rPr>
          <w:rFonts w:eastAsia="Calibri"/>
          <w:bCs/>
          <w:szCs w:val="22"/>
        </w:rPr>
      </w:pPr>
      <w:r>
        <w:t>использование системы Совместной патентной классификации (CPC) для национальных заявок и заявок PCT;</w:t>
      </w:r>
    </w:p>
    <w:p w14:paraId="41D30755" w14:textId="77777777" w:rsidR="00E25F96" w:rsidRPr="002309D0" w:rsidRDefault="00E25F96" w:rsidP="00E25F96">
      <w:pPr>
        <w:pStyle w:val="ListParagraph"/>
        <w:numPr>
          <w:ilvl w:val="0"/>
          <w:numId w:val="12"/>
        </w:numPr>
        <w:spacing w:after="240"/>
        <w:ind w:left="1077" w:hanging="357"/>
        <w:contextualSpacing w:val="0"/>
        <w:jc w:val="both"/>
        <w:rPr>
          <w:rFonts w:eastAsia="Calibri"/>
          <w:bCs/>
          <w:szCs w:val="22"/>
        </w:rPr>
      </w:pPr>
      <w:r>
        <w:t>участие в Пилотном проекте по предоставлению отзывов об отчетах о международном поиске (ОМП) в рамках PCT при участии Ведомства Соединенного Королевства по вопросам интеллектуальной собственности и нескольких международных поисковых органов (МПО). В рамках этого проекта каждое участвующее ведомство предоставляет отзывы об ОМП по заявкам, которые перешли на национальную фазу в другом ведомстве.</w:t>
      </w:r>
    </w:p>
    <w:p w14:paraId="57CD0D1D" w14:textId="77777777" w:rsidR="00E25F96" w:rsidRPr="002309D0" w:rsidRDefault="00E25F96" w:rsidP="00E25F96">
      <w:pPr>
        <w:pStyle w:val="ListParagraph"/>
        <w:numPr>
          <w:ilvl w:val="0"/>
          <w:numId w:val="11"/>
        </w:numPr>
        <w:spacing w:after="120"/>
        <w:ind w:left="357" w:hanging="357"/>
        <w:contextualSpacing w:val="0"/>
        <w:jc w:val="both"/>
        <w:rPr>
          <w:rFonts w:eastAsia="Calibri"/>
          <w:b/>
          <w:szCs w:val="22"/>
        </w:rPr>
      </w:pPr>
      <w:r>
        <w:rPr>
          <w:b/>
          <w:szCs w:val="22"/>
        </w:rPr>
        <w:t>Приверженность постоянному совершенствованию и учет интересов заинтересованных сторон</w:t>
      </w:r>
    </w:p>
    <w:p w14:paraId="707CE514" w14:textId="36C6E4A3" w:rsidR="00E25F96" w:rsidRPr="002309D0" w:rsidRDefault="00E25F96" w:rsidP="00E25F96">
      <w:pPr>
        <w:pStyle w:val="ListParagraph"/>
        <w:spacing w:after="160"/>
        <w:ind w:left="360"/>
        <w:jc w:val="both"/>
        <w:rPr>
          <w:rFonts w:eastAsia="Calibri"/>
          <w:bCs/>
          <w:szCs w:val="22"/>
        </w:rPr>
      </w:pPr>
      <w:r>
        <w:t>ILPO сохраняет приверженность постоянному совершенствованию своих услуг, с тем чтобы лучше удовлетворять потребности и ожидания заинтересованных сторон.</w:t>
      </w:r>
      <w:r w:rsidR="00067D6C">
        <w:t xml:space="preserve"> </w:t>
      </w:r>
      <w:r>
        <w:t>ILPO постоянно создает новые услуги в интересах заинтересованных сторон.</w:t>
      </w:r>
      <w:r w:rsidR="00067D6C">
        <w:t xml:space="preserve"> </w:t>
      </w:r>
      <w:r>
        <w:t>Например, ILPO стало одним из первых международных органов, который начал выпускать отчеты о поисковой стратегии и внедрил механизм «PCT Direct», после того как он был реализован в ЕПВ.</w:t>
      </w:r>
      <w:r w:rsidR="00067D6C">
        <w:t xml:space="preserve"> </w:t>
      </w:r>
      <w:r>
        <w:t>Кроме того, в тех случаях, когда используются результаты предыдущего поиска, ILPO допускает возврат 50% пошлины за поиск.</w:t>
      </w:r>
      <w:r w:rsidR="00067D6C">
        <w:t xml:space="preserve"> </w:t>
      </w:r>
      <w:r>
        <w:t>В случае заявок, в отношении которых подается возражение об отсутствии единства изобретения, ILPO предоставляет частичный отчет о поиске, что помогает заявителям приниматься правильные решения.</w:t>
      </w:r>
    </w:p>
    <w:p w14:paraId="026D1E6A" w14:textId="77777777" w:rsidR="00E25F96" w:rsidRPr="002309D0" w:rsidRDefault="00E25F96" w:rsidP="00E25F96">
      <w:pPr>
        <w:pStyle w:val="ListParagraph"/>
        <w:spacing w:after="120"/>
        <w:ind w:left="357"/>
        <w:contextualSpacing w:val="0"/>
        <w:jc w:val="both"/>
        <w:rPr>
          <w:rFonts w:eastAsia="Calibri"/>
          <w:bCs/>
          <w:szCs w:val="22"/>
        </w:rPr>
      </w:pPr>
      <w:r>
        <w:lastRenderedPageBreak/>
        <w:t>В рамках недавней инициативы ILPO, реализуемой совместно с Израильским управлением инноваций, предпринимателям предоставляется услуга, предусматривающая проведение предварительного поиска.</w:t>
      </w:r>
    </w:p>
    <w:p w14:paraId="2F347C96" w14:textId="1F96F062" w:rsidR="00E25F96" w:rsidRPr="002309D0" w:rsidRDefault="00E25F96" w:rsidP="00E25F96">
      <w:pPr>
        <w:spacing w:after="120"/>
        <w:ind w:left="357"/>
        <w:jc w:val="both"/>
        <w:rPr>
          <w:rFonts w:eastAsia="Calibri"/>
          <w:bCs/>
          <w:szCs w:val="22"/>
        </w:rPr>
      </w:pPr>
      <w:r>
        <w:t>Следует отметить, что ILPO не только регулярно собирает отзывы у заинтересованных сторон, но и поддерживает с ними постоянные контакты и осуществляет сотрудничество в целях обеспечения широкого спектра механизмов, отвечающих их потребностям и ожиданиям.</w:t>
      </w:r>
      <w:r w:rsidR="00067D6C">
        <w:t xml:space="preserve"> </w:t>
      </w:r>
      <w:r>
        <w:t>Круглые столы и вебинары предоставляют им эффективную возможность для конструктивной обратной связи в отношении действующих и новых услуг ILPO.</w:t>
      </w:r>
      <w:r w:rsidR="00067D6C">
        <w:t xml:space="preserve"> </w:t>
      </w:r>
      <w:r>
        <w:t>Кроме того, ценную обратную связь позволяют получить консультации с ними до введения новых процедур (например, руководства по экспертизе и циркуляров уполномоченного по патентам).</w:t>
      </w:r>
      <w:r w:rsidR="00067D6C">
        <w:t xml:space="preserve"> </w:t>
      </w:r>
      <w:r>
        <w:t>Ознакомительные посещения промышленных предприятий и учебных заведений помогают получать отзывы об услугах ILPO.</w:t>
      </w:r>
      <w:r w:rsidR="00067D6C">
        <w:t xml:space="preserve"> </w:t>
      </w:r>
      <w:r>
        <w:t>Команда центра инноваций ILPO проводит обсуждения и интервью с ведущими заинтересованными сторонами, чтобы повышать качество и разнообразие услуг, предлагаемых заявителям.</w:t>
      </w:r>
    </w:p>
    <w:p w14:paraId="0B9C4331" w14:textId="4950E241" w:rsidR="00E25F96" w:rsidRPr="002309D0" w:rsidRDefault="00E25F96" w:rsidP="00E25F96">
      <w:pPr>
        <w:spacing w:after="240"/>
        <w:ind w:left="357"/>
        <w:jc w:val="both"/>
        <w:rPr>
          <w:rFonts w:eastAsia="Calibri"/>
          <w:bCs/>
          <w:szCs w:val="22"/>
        </w:rPr>
      </w:pPr>
      <w:r>
        <w:t>В рамках стремления к повышению качества услуг, предоставляемых заинтересованным сторонам, ILPO разработало соглашение об уровне обслуживания (SLA) для всех услуг, предоставляемых отделами ILPO, включая патентный отдел, отдел патентного администрирования, отдел РСТ, отдел промышленных образцов, отдел товарных знаков и юридический отдел.</w:t>
      </w:r>
    </w:p>
    <w:p w14:paraId="04CA57DE" w14:textId="076EE92C" w:rsidR="00E25F96" w:rsidRPr="002309D0" w:rsidRDefault="00E25F96" w:rsidP="00E25F96">
      <w:pPr>
        <w:pStyle w:val="ListParagraph"/>
        <w:numPr>
          <w:ilvl w:val="0"/>
          <w:numId w:val="11"/>
        </w:numPr>
        <w:spacing w:after="120"/>
        <w:ind w:left="357" w:hanging="357"/>
        <w:contextualSpacing w:val="0"/>
        <w:jc w:val="both"/>
        <w:rPr>
          <w:b/>
        </w:rPr>
      </w:pPr>
      <w:r>
        <w:rPr>
          <w:b/>
          <w:szCs w:val="22"/>
        </w:rPr>
        <w:t>Разнообразие</w:t>
      </w:r>
      <w:r>
        <w:rPr>
          <w:b/>
        </w:rPr>
        <w:br/>
      </w:r>
      <w:r>
        <w:t>Обеспечение разнообразия на рабочем месте стало мощным стимулом для позитивных изменений, способствующим формированию инновационной и творческой среды, которая способствует более эффективному решению проблем и принятию решений.</w:t>
      </w:r>
      <w:r w:rsidR="00067D6C">
        <w:t xml:space="preserve"> </w:t>
      </w:r>
      <w:r>
        <w:t>ILPO успешно выполнило поставленные израильским правительством задачи по обеспечению разнообразия, приняв на работу более 60% экспертов-женщин и представителей различных культурных, этнических и социально-экономических групп (людей с ограниченными возможностями, представителей меньшинств).</w:t>
      </w:r>
      <w:r w:rsidR="00C13EB4">
        <w:t xml:space="preserve"> </w:t>
      </w:r>
      <w:r>
        <w:t>Такая приверженность принципам инклюзивности не только улучшает динамику на рабочем месте, но и способствует успеху ведомства в целом.</w:t>
      </w:r>
      <w:r w:rsidR="00067D6C">
        <w:t xml:space="preserve"> </w:t>
      </w:r>
      <w:r>
        <w:t>Кроме того, ILPO запустило новую инициативу, в рамках которой заявки на патенты, в которых указано не менее 50% женщин-изобретателей, будут проходить экспертизу в ускоренном порядке.</w:t>
      </w:r>
    </w:p>
    <w:p w14:paraId="1BEC6111" w14:textId="61998170" w:rsidR="00C5047D" w:rsidRPr="005B6C67" w:rsidRDefault="00C5047D" w:rsidP="00E25F96"/>
    <w:p w14:paraId="565493DE" w14:textId="77777777" w:rsidR="00C5047D" w:rsidRPr="001D36DD" w:rsidRDefault="00C5047D" w:rsidP="00C5047D">
      <w:pPr>
        <w:pStyle w:val="SectionHeading"/>
      </w:pPr>
    </w:p>
    <w:p w14:paraId="05B9A047" w14:textId="77777777" w:rsidR="00C5047D" w:rsidRPr="00E64639" w:rsidRDefault="00C5047D" w:rsidP="00C5047D">
      <w:pPr>
        <w:pStyle w:val="Endofdocument-Annex"/>
        <w:rPr>
          <w:b/>
          <w:bCs/>
          <w:iCs/>
          <w:caps/>
          <w:szCs w:val="28"/>
        </w:rPr>
      </w:pPr>
      <w:r>
        <w:t>[Конец приложения и документа]</w:t>
      </w:r>
    </w:p>
    <w:p w14:paraId="3B3E50D2" w14:textId="77777777" w:rsidR="00C5047D" w:rsidRPr="009A31F1" w:rsidRDefault="00C5047D" w:rsidP="00C5047D"/>
    <w:sectPr w:rsidR="00C5047D" w:rsidRPr="009A31F1" w:rsidSect="009A31F1">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A9C8C" w14:textId="77777777" w:rsidR="00803B39" w:rsidRDefault="00803B39">
      <w:r>
        <w:separator/>
      </w:r>
    </w:p>
  </w:endnote>
  <w:endnote w:type="continuationSeparator" w:id="0">
    <w:p w14:paraId="53C3513E" w14:textId="77777777" w:rsidR="00803B39" w:rsidRDefault="00803B39" w:rsidP="003B38C1">
      <w:r>
        <w:separator/>
      </w:r>
    </w:p>
    <w:p w14:paraId="0710A107" w14:textId="77777777" w:rsidR="00803B39" w:rsidRPr="001D36DD" w:rsidRDefault="00803B39" w:rsidP="003B38C1">
      <w:pPr>
        <w:spacing w:after="60"/>
        <w:rPr>
          <w:sz w:val="17"/>
          <w:lang w:val="en-GB"/>
        </w:rPr>
      </w:pPr>
      <w:r w:rsidRPr="001D36DD">
        <w:rPr>
          <w:sz w:val="17"/>
          <w:lang w:val="en-GB"/>
        </w:rPr>
        <w:t>[Endnote continued from previous page]</w:t>
      </w:r>
    </w:p>
  </w:endnote>
  <w:endnote w:type="continuationNotice" w:id="1">
    <w:p w14:paraId="6A07CB0A" w14:textId="77777777" w:rsidR="00803B39" w:rsidRPr="001D36DD" w:rsidRDefault="00803B39" w:rsidP="003B38C1">
      <w:pPr>
        <w:spacing w:before="60"/>
        <w:jc w:val="right"/>
        <w:rPr>
          <w:sz w:val="17"/>
          <w:szCs w:val="17"/>
          <w:lang w:val="en-GB"/>
        </w:rPr>
      </w:pPr>
      <w:r w:rsidRPr="001D36DD">
        <w:rPr>
          <w:sz w:val="17"/>
          <w:szCs w:val="17"/>
          <w:lang w:val="en-GB"/>
        </w:rPr>
        <w:t xml:space="preserve">[Endnote </w:t>
      </w:r>
      <w:proofErr w:type="gramStart"/>
      <w:r w:rsidRPr="001D36DD">
        <w:rPr>
          <w:sz w:val="17"/>
          <w:szCs w:val="17"/>
          <w:lang w:val="en-GB"/>
        </w:rPr>
        <w:t>continued on</w:t>
      </w:r>
      <w:proofErr w:type="gramEnd"/>
      <w:r w:rsidRPr="001D36DD">
        <w:rPr>
          <w:sz w:val="17"/>
          <w:szCs w:val="17"/>
          <w:lang w:val="en-GB"/>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3582A" w14:textId="77777777" w:rsidR="00803B39" w:rsidRDefault="00803B39">
      <w:r>
        <w:separator/>
      </w:r>
    </w:p>
  </w:footnote>
  <w:footnote w:type="continuationSeparator" w:id="0">
    <w:p w14:paraId="1EB13AEC" w14:textId="77777777" w:rsidR="00803B39" w:rsidRDefault="00803B39" w:rsidP="008B60B2">
      <w:r>
        <w:separator/>
      </w:r>
    </w:p>
    <w:p w14:paraId="102E217E" w14:textId="77777777" w:rsidR="00803B39" w:rsidRPr="001D36DD" w:rsidRDefault="00803B39" w:rsidP="008B60B2">
      <w:pPr>
        <w:spacing w:after="60"/>
        <w:rPr>
          <w:sz w:val="17"/>
          <w:szCs w:val="17"/>
          <w:lang w:val="en-GB"/>
        </w:rPr>
      </w:pPr>
      <w:r w:rsidRPr="001D36DD">
        <w:rPr>
          <w:sz w:val="17"/>
          <w:szCs w:val="17"/>
          <w:lang w:val="en-GB"/>
        </w:rPr>
        <w:t>[Footnote continued from previous page]</w:t>
      </w:r>
    </w:p>
  </w:footnote>
  <w:footnote w:type="continuationNotice" w:id="1">
    <w:p w14:paraId="08760516" w14:textId="77777777" w:rsidR="00803B39" w:rsidRPr="001D36DD" w:rsidRDefault="00803B39" w:rsidP="008B60B2">
      <w:pPr>
        <w:spacing w:before="60"/>
        <w:jc w:val="right"/>
        <w:rPr>
          <w:sz w:val="17"/>
          <w:szCs w:val="17"/>
          <w:lang w:val="en-GB"/>
        </w:rPr>
      </w:pPr>
      <w:r w:rsidRPr="001D36DD">
        <w:rPr>
          <w:sz w:val="17"/>
          <w:szCs w:val="17"/>
          <w:lang w:val="en-GB"/>
        </w:rPr>
        <w:t xml:space="preserve">[Footnote </w:t>
      </w:r>
      <w:proofErr w:type="gramStart"/>
      <w:r w:rsidRPr="001D36DD">
        <w:rPr>
          <w:sz w:val="17"/>
          <w:szCs w:val="17"/>
          <w:lang w:val="en-GB"/>
        </w:rPr>
        <w:t>continued on</w:t>
      </w:r>
      <w:proofErr w:type="gramEnd"/>
      <w:r w:rsidRPr="001D36DD">
        <w:rPr>
          <w:sz w:val="17"/>
          <w:szCs w:val="17"/>
          <w:lang w:val="en-GB"/>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31779"/>
      <w:docPartObj>
        <w:docPartGallery w:val="Page Numbers (Top of Page)"/>
        <w:docPartUnique/>
      </w:docPartObj>
    </w:sdtPr>
    <w:sdtEndPr>
      <w:rPr>
        <w:noProof/>
      </w:rPr>
    </w:sdtEndPr>
    <w:sdtContent>
      <w:p w14:paraId="2BB837D4" w14:textId="76CC6F66" w:rsidR="009A31F1" w:rsidRDefault="009A31F1">
        <w:pPr>
          <w:pStyle w:val="Header"/>
          <w:jc w:val="right"/>
        </w:pPr>
        <w:r>
          <w:fldChar w:fldCharType="begin"/>
        </w:r>
        <w:r>
          <w:instrText xml:space="preserve"> PAGE   \* MERGEFORMAT </w:instrText>
        </w:r>
        <w:r>
          <w:fldChar w:fldCharType="separate"/>
        </w:r>
        <w:r>
          <w:t>2</w:t>
        </w:r>
        <w:r>
          <w:fldChar w:fldCharType="end"/>
        </w:r>
      </w:p>
    </w:sdtContent>
  </w:sdt>
  <w:p w14:paraId="6371419D" w14:textId="77777777" w:rsidR="00D07C78" w:rsidRDefault="00D07C7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C0374" w14:textId="157E8231" w:rsidR="009A31F1" w:rsidRDefault="009A31F1">
    <w:pPr>
      <w:pStyle w:val="Header"/>
    </w:pPr>
  </w:p>
  <w:p w14:paraId="76D2A8A0" w14:textId="77777777" w:rsidR="009A31F1" w:rsidRDefault="009A31F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6932588"/>
      <w:docPartObj>
        <w:docPartGallery w:val="Page Numbers (Top of Page)"/>
        <w:docPartUnique/>
      </w:docPartObj>
    </w:sdtPr>
    <w:sdtEndPr>
      <w:rPr>
        <w:noProof/>
      </w:rPr>
    </w:sdtEndPr>
    <w:sdtContent>
      <w:p w14:paraId="291261F9" w14:textId="0A28D775" w:rsidR="009A31F1" w:rsidRPr="00346ECC" w:rsidRDefault="009A31F1" w:rsidP="009A31F1">
        <w:pPr>
          <w:jc w:val="right"/>
          <w:rPr>
            <w:caps/>
          </w:rPr>
        </w:pPr>
        <w:r>
          <w:rPr>
            <w:caps/>
          </w:rPr>
          <w:t>PCT/CTC/33/13</w:t>
        </w:r>
      </w:p>
      <w:p w14:paraId="28DB5474" w14:textId="77777777" w:rsidR="009A31F1" w:rsidRDefault="009A31F1" w:rsidP="009A31F1">
        <w:pPr>
          <w:pStyle w:val="Header"/>
          <w:jc w:val="right"/>
          <w:rPr>
            <w:noProof/>
          </w:rPr>
        </w:pPr>
        <w:r>
          <w:t xml:space="preserve">Приложение, стр. </w:t>
        </w:r>
        <w:r>
          <w:fldChar w:fldCharType="begin"/>
        </w:r>
        <w:r>
          <w:instrText xml:space="preserve"> PAGE   \* MERGEFORMAT </w:instrText>
        </w:r>
        <w:r>
          <w:fldChar w:fldCharType="separate"/>
        </w:r>
        <w:r>
          <w:t>2</w:t>
        </w:r>
        <w:r>
          <w:fldChar w:fldCharType="end"/>
        </w:r>
      </w:p>
      <w:p w14:paraId="236FE3E6" w14:textId="66536876" w:rsidR="009A31F1" w:rsidRDefault="0091649A" w:rsidP="009A31F1">
        <w:pPr>
          <w:pStyle w:val="Header"/>
          <w:jc w:val="right"/>
        </w:pPr>
      </w:p>
    </w:sdtContent>
  </w:sdt>
  <w:p w14:paraId="1686C52D" w14:textId="77777777" w:rsidR="009A31F1" w:rsidRDefault="009A31F1" w:rsidP="00477D6B">
    <w:pP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D2511" w14:textId="677B300F" w:rsidR="009A31F1" w:rsidRDefault="009A31F1" w:rsidP="009A31F1">
    <w:pPr>
      <w:pStyle w:val="Header"/>
      <w:jc w:val="right"/>
    </w:pPr>
    <w:r>
      <w:tab/>
    </w:r>
    <w:r>
      <w:t>PCT/CTC/33/13</w:t>
    </w:r>
  </w:p>
  <w:p w14:paraId="0AD3DC1D" w14:textId="77777777" w:rsidR="009A31F1" w:rsidRDefault="009A31F1" w:rsidP="009A31F1">
    <w:pPr>
      <w:pStyle w:val="Header"/>
      <w:jc w:val="right"/>
    </w:pPr>
    <w:r>
      <w:t>ПРИЛОЖЕНИЕ</w:t>
    </w:r>
  </w:p>
  <w:p w14:paraId="4EDEA554" w14:textId="7CAFFD54" w:rsidR="009A31F1" w:rsidRPr="009A31F1" w:rsidRDefault="009A31F1" w:rsidP="009A31F1">
    <w:pPr>
      <w:pStyle w:val="Header"/>
      <w:tabs>
        <w:tab w:val="clear" w:pos="4536"/>
        <w:tab w:val="clear" w:pos="9072"/>
        <w:tab w:val="left" w:pos="820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0F4072"/>
    <w:multiLevelType w:val="singleLevel"/>
    <w:tmpl w:val="DF72DD6E"/>
    <w:lvl w:ilvl="0">
      <w:start w:val="1"/>
      <w:numFmt w:val="lowerLetter"/>
      <w:suff w:val="space"/>
      <w:lvlText w:val="(%1)"/>
      <w:lvlJc w:val="left"/>
      <w:rPr>
        <w:i w:val="0"/>
        <w:iCs w:val="0"/>
      </w:rPr>
    </w:lvl>
  </w:abstractNum>
  <w:abstractNum w:abstractNumId="1"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06626A7"/>
    <w:multiLevelType w:val="hybridMultilevel"/>
    <w:tmpl w:val="3836C5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9F5D6E"/>
    <w:multiLevelType w:val="hybridMultilevel"/>
    <w:tmpl w:val="8674ACD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910BED"/>
    <w:multiLevelType w:val="hybridMultilevel"/>
    <w:tmpl w:val="5E18196A"/>
    <w:lvl w:ilvl="0" w:tplc="34090019">
      <w:start w:val="1"/>
      <w:numFmt w:val="lowerLetter"/>
      <w:lvlText w:val="%1."/>
      <w:lvlJc w:val="left"/>
      <w:pPr>
        <w:ind w:left="684" w:hanging="360"/>
      </w:pPr>
    </w:lvl>
    <w:lvl w:ilvl="1" w:tplc="34090019" w:tentative="1">
      <w:start w:val="1"/>
      <w:numFmt w:val="lowerLetter"/>
      <w:lvlText w:val="%2."/>
      <w:lvlJc w:val="left"/>
      <w:pPr>
        <w:ind w:left="1404" w:hanging="360"/>
      </w:pPr>
    </w:lvl>
    <w:lvl w:ilvl="2" w:tplc="3409001B" w:tentative="1">
      <w:start w:val="1"/>
      <w:numFmt w:val="lowerRoman"/>
      <w:lvlText w:val="%3."/>
      <w:lvlJc w:val="right"/>
      <w:pPr>
        <w:ind w:left="2124" w:hanging="180"/>
      </w:pPr>
    </w:lvl>
    <w:lvl w:ilvl="3" w:tplc="3409000F" w:tentative="1">
      <w:start w:val="1"/>
      <w:numFmt w:val="decimal"/>
      <w:lvlText w:val="%4."/>
      <w:lvlJc w:val="left"/>
      <w:pPr>
        <w:ind w:left="2844" w:hanging="360"/>
      </w:pPr>
    </w:lvl>
    <w:lvl w:ilvl="4" w:tplc="34090019" w:tentative="1">
      <w:start w:val="1"/>
      <w:numFmt w:val="lowerLetter"/>
      <w:lvlText w:val="%5."/>
      <w:lvlJc w:val="left"/>
      <w:pPr>
        <w:ind w:left="3564" w:hanging="360"/>
      </w:pPr>
    </w:lvl>
    <w:lvl w:ilvl="5" w:tplc="3409001B" w:tentative="1">
      <w:start w:val="1"/>
      <w:numFmt w:val="lowerRoman"/>
      <w:lvlText w:val="%6."/>
      <w:lvlJc w:val="right"/>
      <w:pPr>
        <w:ind w:left="4284" w:hanging="180"/>
      </w:pPr>
    </w:lvl>
    <w:lvl w:ilvl="6" w:tplc="3409000F" w:tentative="1">
      <w:start w:val="1"/>
      <w:numFmt w:val="decimal"/>
      <w:lvlText w:val="%7."/>
      <w:lvlJc w:val="left"/>
      <w:pPr>
        <w:ind w:left="5004" w:hanging="360"/>
      </w:pPr>
    </w:lvl>
    <w:lvl w:ilvl="7" w:tplc="34090019" w:tentative="1">
      <w:start w:val="1"/>
      <w:numFmt w:val="lowerLetter"/>
      <w:lvlText w:val="%8."/>
      <w:lvlJc w:val="left"/>
      <w:pPr>
        <w:ind w:left="5724" w:hanging="360"/>
      </w:pPr>
    </w:lvl>
    <w:lvl w:ilvl="8" w:tplc="3409001B" w:tentative="1">
      <w:start w:val="1"/>
      <w:numFmt w:val="lowerRoman"/>
      <w:lvlText w:val="%9."/>
      <w:lvlJc w:val="right"/>
      <w:pPr>
        <w:ind w:left="6444" w:hanging="180"/>
      </w:pPr>
    </w:lvl>
  </w:abstractNum>
  <w:abstractNum w:abstractNumId="10" w15:restartNumberingAfterBreak="0">
    <w:nsid w:val="63836E4B"/>
    <w:multiLevelType w:val="hybridMultilevel"/>
    <w:tmpl w:val="CBF4C83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6E6590"/>
    <w:multiLevelType w:val="multilevel"/>
    <w:tmpl w:val="6D6E659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25833139">
    <w:abstractNumId w:val="3"/>
  </w:num>
  <w:num w:numId="2" w16cid:durableId="1130896600">
    <w:abstractNumId w:val="6"/>
  </w:num>
  <w:num w:numId="3" w16cid:durableId="1310986793">
    <w:abstractNumId w:val="1"/>
  </w:num>
  <w:num w:numId="4" w16cid:durableId="1556547374">
    <w:abstractNumId w:val="8"/>
  </w:num>
  <w:num w:numId="5" w16cid:durableId="1511680175">
    <w:abstractNumId w:val="2"/>
  </w:num>
  <w:num w:numId="6" w16cid:durableId="1008404777">
    <w:abstractNumId w:val="4"/>
  </w:num>
  <w:num w:numId="7" w16cid:durableId="1835752940">
    <w:abstractNumId w:val="11"/>
  </w:num>
  <w:num w:numId="8" w16cid:durableId="1686783144">
    <w:abstractNumId w:val="0"/>
  </w:num>
  <w:num w:numId="9" w16cid:durableId="1325159215">
    <w:abstractNumId w:val="9"/>
  </w:num>
  <w:num w:numId="10" w16cid:durableId="913440804">
    <w:abstractNumId w:val="10"/>
  </w:num>
  <w:num w:numId="11" w16cid:durableId="549726978">
    <w:abstractNumId w:val="7"/>
  </w:num>
  <w:num w:numId="12" w16cid:durableId="16572249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F1"/>
    <w:rsid w:val="00027CD7"/>
    <w:rsid w:val="00031B21"/>
    <w:rsid w:val="00037DFC"/>
    <w:rsid w:val="00043CAA"/>
    <w:rsid w:val="0004651F"/>
    <w:rsid w:val="00056816"/>
    <w:rsid w:val="00067D6C"/>
    <w:rsid w:val="00071F9F"/>
    <w:rsid w:val="00075432"/>
    <w:rsid w:val="000756C6"/>
    <w:rsid w:val="000968ED"/>
    <w:rsid w:val="000A3D97"/>
    <w:rsid w:val="000A6309"/>
    <w:rsid w:val="000D46FE"/>
    <w:rsid w:val="000F5E56"/>
    <w:rsid w:val="00111BB0"/>
    <w:rsid w:val="001362EE"/>
    <w:rsid w:val="001647D5"/>
    <w:rsid w:val="001832A6"/>
    <w:rsid w:val="001D36DD"/>
    <w:rsid w:val="001D4107"/>
    <w:rsid w:val="00203D24"/>
    <w:rsid w:val="0021217E"/>
    <w:rsid w:val="00217FB1"/>
    <w:rsid w:val="002309D0"/>
    <w:rsid w:val="002326AB"/>
    <w:rsid w:val="00243430"/>
    <w:rsid w:val="002634C4"/>
    <w:rsid w:val="002928D3"/>
    <w:rsid w:val="002E29C7"/>
    <w:rsid w:val="002E6CB5"/>
    <w:rsid w:val="002F1FE6"/>
    <w:rsid w:val="002F4E68"/>
    <w:rsid w:val="00312F7F"/>
    <w:rsid w:val="00360C73"/>
    <w:rsid w:val="00361450"/>
    <w:rsid w:val="003673CF"/>
    <w:rsid w:val="003845C1"/>
    <w:rsid w:val="00393C9B"/>
    <w:rsid w:val="00396FA9"/>
    <w:rsid w:val="003A6F89"/>
    <w:rsid w:val="003B38C1"/>
    <w:rsid w:val="003C34E9"/>
    <w:rsid w:val="003F6F01"/>
    <w:rsid w:val="00423E3E"/>
    <w:rsid w:val="00427AF4"/>
    <w:rsid w:val="00454DD2"/>
    <w:rsid w:val="004647DA"/>
    <w:rsid w:val="00466D9E"/>
    <w:rsid w:val="00474062"/>
    <w:rsid w:val="00477D6B"/>
    <w:rsid w:val="004B446A"/>
    <w:rsid w:val="004B6994"/>
    <w:rsid w:val="004E2D29"/>
    <w:rsid w:val="005019FF"/>
    <w:rsid w:val="0052652C"/>
    <w:rsid w:val="0053057A"/>
    <w:rsid w:val="0053647D"/>
    <w:rsid w:val="00556076"/>
    <w:rsid w:val="00560A29"/>
    <w:rsid w:val="005B6C67"/>
    <w:rsid w:val="005C6649"/>
    <w:rsid w:val="005C79F6"/>
    <w:rsid w:val="00605827"/>
    <w:rsid w:val="00614770"/>
    <w:rsid w:val="00621872"/>
    <w:rsid w:val="00635D99"/>
    <w:rsid w:val="00646050"/>
    <w:rsid w:val="00652B88"/>
    <w:rsid w:val="00652E43"/>
    <w:rsid w:val="006713CA"/>
    <w:rsid w:val="00675BDF"/>
    <w:rsid w:val="00676C5C"/>
    <w:rsid w:val="006931C7"/>
    <w:rsid w:val="006A5C36"/>
    <w:rsid w:val="006A7CA3"/>
    <w:rsid w:val="006C238E"/>
    <w:rsid w:val="006C712A"/>
    <w:rsid w:val="006E1ECA"/>
    <w:rsid w:val="006E2CF8"/>
    <w:rsid w:val="006F04BC"/>
    <w:rsid w:val="006F7742"/>
    <w:rsid w:val="0070049D"/>
    <w:rsid w:val="00720EFD"/>
    <w:rsid w:val="00727E12"/>
    <w:rsid w:val="00736CAF"/>
    <w:rsid w:val="007578A4"/>
    <w:rsid w:val="00761CD8"/>
    <w:rsid w:val="00770888"/>
    <w:rsid w:val="00776619"/>
    <w:rsid w:val="007775A9"/>
    <w:rsid w:val="007854AF"/>
    <w:rsid w:val="00793A7C"/>
    <w:rsid w:val="007947D2"/>
    <w:rsid w:val="007A398A"/>
    <w:rsid w:val="007A3EC4"/>
    <w:rsid w:val="007D1613"/>
    <w:rsid w:val="007E4C0E"/>
    <w:rsid w:val="007F7515"/>
    <w:rsid w:val="00803B39"/>
    <w:rsid w:val="00820495"/>
    <w:rsid w:val="00842922"/>
    <w:rsid w:val="008543C9"/>
    <w:rsid w:val="00897463"/>
    <w:rsid w:val="008A134B"/>
    <w:rsid w:val="008B0EE6"/>
    <w:rsid w:val="008B2CC1"/>
    <w:rsid w:val="008B60B2"/>
    <w:rsid w:val="008D0487"/>
    <w:rsid w:val="0090731E"/>
    <w:rsid w:val="00916EE2"/>
    <w:rsid w:val="00932C07"/>
    <w:rsid w:val="00966A22"/>
    <w:rsid w:val="0096722F"/>
    <w:rsid w:val="00971B0C"/>
    <w:rsid w:val="00977B07"/>
    <w:rsid w:val="00980843"/>
    <w:rsid w:val="00994DAA"/>
    <w:rsid w:val="009A31F1"/>
    <w:rsid w:val="009A53C9"/>
    <w:rsid w:val="009E2791"/>
    <w:rsid w:val="009E3E61"/>
    <w:rsid w:val="009E3F6F"/>
    <w:rsid w:val="009F499F"/>
    <w:rsid w:val="00A0628B"/>
    <w:rsid w:val="00A37342"/>
    <w:rsid w:val="00A42DAF"/>
    <w:rsid w:val="00A45BD8"/>
    <w:rsid w:val="00A5208D"/>
    <w:rsid w:val="00A53F2A"/>
    <w:rsid w:val="00A66BEF"/>
    <w:rsid w:val="00A869B7"/>
    <w:rsid w:val="00A90F0A"/>
    <w:rsid w:val="00AC205C"/>
    <w:rsid w:val="00AF0A6B"/>
    <w:rsid w:val="00B05A69"/>
    <w:rsid w:val="00B1002D"/>
    <w:rsid w:val="00B75281"/>
    <w:rsid w:val="00B92F1F"/>
    <w:rsid w:val="00B9734B"/>
    <w:rsid w:val="00BA30E2"/>
    <w:rsid w:val="00BA58CD"/>
    <w:rsid w:val="00BC039A"/>
    <w:rsid w:val="00BF7918"/>
    <w:rsid w:val="00C02CBC"/>
    <w:rsid w:val="00C11BFE"/>
    <w:rsid w:val="00C13EB4"/>
    <w:rsid w:val="00C5047D"/>
    <w:rsid w:val="00C5068F"/>
    <w:rsid w:val="00C86D74"/>
    <w:rsid w:val="00C90371"/>
    <w:rsid w:val="00CB6305"/>
    <w:rsid w:val="00CD04F1"/>
    <w:rsid w:val="00CF2AC9"/>
    <w:rsid w:val="00CF681A"/>
    <w:rsid w:val="00D07C78"/>
    <w:rsid w:val="00D201CB"/>
    <w:rsid w:val="00D30D3A"/>
    <w:rsid w:val="00D45252"/>
    <w:rsid w:val="00D4655F"/>
    <w:rsid w:val="00D53326"/>
    <w:rsid w:val="00D6229C"/>
    <w:rsid w:val="00D71B4D"/>
    <w:rsid w:val="00D73B3B"/>
    <w:rsid w:val="00D93D55"/>
    <w:rsid w:val="00DD1D05"/>
    <w:rsid w:val="00DD7B7F"/>
    <w:rsid w:val="00E15015"/>
    <w:rsid w:val="00E25F96"/>
    <w:rsid w:val="00E335FE"/>
    <w:rsid w:val="00E33C8D"/>
    <w:rsid w:val="00E82F6F"/>
    <w:rsid w:val="00E955BE"/>
    <w:rsid w:val="00EA7D6E"/>
    <w:rsid w:val="00EB2F76"/>
    <w:rsid w:val="00EC4E49"/>
    <w:rsid w:val="00EC50D5"/>
    <w:rsid w:val="00ED77FB"/>
    <w:rsid w:val="00EE45FA"/>
    <w:rsid w:val="00F043DE"/>
    <w:rsid w:val="00F63809"/>
    <w:rsid w:val="00F66152"/>
    <w:rsid w:val="00F7086A"/>
    <w:rsid w:val="00F9165B"/>
    <w:rsid w:val="00FB31CA"/>
    <w:rsid w:val="00FC482F"/>
    <w:rsid w:val="00FE0B3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FCB899"/>
  <w15:docId w15:val="{BA33374E-A4D0-4272-AAF7-FF641F7B7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9A31F1"/>
    <w:pPr>
      <w:ind w:left="720"/>
      <w:contextualSpacing/>
    </w:pPr>
  </w:style>
  <w:style w:type="character" w:customStyle="1" w:styleId="HeaderChar">
    <w:name w:val="Header Char"/>
    <w:basedOn w:val="DefaultParagraphFont"/>
    <w:link w:val="Header"/>
    <w:uiPriority w:val="99"/>
    <w:rsid w:val="009A31F1"/>
    <w:rPr>
      <w:rFonts w:ascii="Arial" w:eastAsia="SimSun" w:hAnsi="Arial" w:cs="Arial"/>
      <w:sz w:val="22"/>
      <w:lang w:val="ru-RU" w:eastAsia="zh-CN"/>
    </w:rPr>
  </w:style>
  <w:style w:type="character" w:customStyle="1" w:styleId="SectionHeadingChar">
    <w:name w:val="Section Heading Char"/>
    <w:link w:val="SectionHeading"/>
    <w:qFormat/>
    <w:locked/>
    <w:rsid w:val="009A31F1"/>
    <w:rPr>
      <w:rFonts w:ascii="Arial" w:hAnsi="Arial" w:cs="Arial"/>
      <w:b/>
      <w:bCs/>
      <w:caps/>
      <w:sz w:val="22"/>
      <w:szCs w:val="26"/>
      <w:lang w:eastAsia="zh-CN"/>
    </w:rPr>
  </w:style>
  <w:style w:type="paragraph" w:customStyle="1" w:styleId="SectionHeading">
    <w:name w:val="Section Heading"/>
    <w:basedOn w:val="Heading3"/>
    <w:next w:val="Normal"/>
    <w:link w:val="SectionHeadingChar"/>
    <w:qFormat/>
    <w:rsid w:val="009A31F1"/>
    <w:pPr>
      <w:keepLines/>
      <w:pBdr>
        <w:top w:val="single" w:sz="4" w:space="1" w:color="auto"/>
      </w:pBdr>
      <w:spacing w:before="360" w:after="200" w:line="480" w:lineRule="auto"/>
    </w:pPr>
    <w:rPr>
      <w:rFonts w:eastAsia="Times New Roman"/>
      <w:b/>
      <w:caps/>
      <w:u w:val="none"/>
    </w:rPr>
  </w:style>
  <w:style w:type="paragraph" w:customStyle="1" w:styleId="RuleQuote">
    <w:name w:val="Rule Quote"/>
    <w:basedOn w:val="Normal"/>
    <w:qFormat/>
    <w:rsid w:val="009A31F1"/>
    <w:pPr>
      <w:keepNext/>
      <w:keepLines/>
      <w:spacing w:after="240"/>
      <w:ind w:left="567" w:right="567"/>
    </w:pPr>
    <w:rPr>
      <w:bCs/>
      <w:i/>
      <w:iCs/>
    </w:rPr>
  </w:style>
  <w:style w:type="paragraph" w:customStyle="1" w:styleId="Question">
    <w:name w:val="Question"/>
    <w:basedOn w:val="BodyText"/>
    <w:next w:val="Answer"/>
    <w:qFormat/>
    <w:rsid w:val="009A31F1"/>
    <w:pPr>
      <w:keepNext/>
      <w:keepLines/>
    </w:pPr>
    <w:rPr>
      <w:b/>
      <w:bCs/>
      <w:szCs w:val="22"/>
    </w:rPr>
  </w:style>
  <w:style w:type="paragraph" w:customStyle="1" w:styleId="Answer">
    <w:name w:val="Answer"/>
    <w:basedOn w:val="BodyText"/>
    <w:qFormat/>
    <w:rsid w:val="009A31F1"/>
    <w:pPr>
      <w:ind w:left="567"/>
    </w:pPr>
  </w:style>
  <w:style w:type="character" w:styleId="Hyperlink">
    <w:name w:val="Hyperlink"/>
    <w:basedOn w:val="DefaultParagraphFont"/>
    <w:uiPriority w:val="99"/>
    <w:unhideWhenUsed/>
    <w:rsid w:val="009A31F1"/>
    <w:rPr>
      <w:color w:val="0000FF" w:themeColor="hyperlink"/>
      <w:u w:val="single"/>
    </w:rPr>
  </w:style>
  <w:style w:type="table" w:styleId="TableGrid">
    <w:name w:val="Table Grid"/>
    <w:basedOn w:val="TableNormal"/>
    <w:rsid w:val="00C504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578A4"/>
    <w:rPr>
      <w:sz w:val="16"/>
      <w:szCs w:val="16"/>
    </w:rPr>
  </w:style>
  <w:style w:type="paragraph" w:styleId="CommentSubject">
    <w:name w:val="annotation subject"/>
    <w:basedOn w:val="CommentText"/>
    <w:next w:val="CommentText"/>
    <w:link w:val="CommentSubjectChar"/>
    <w:semiHidden/>
    <w:unhideWhenUsed/>
    <w:rsid w:val="007578A4"/>
    <w:rPr>
      <w:b/>
      <w:bCs/>
      <w:sz w:val="20"/>
    </w:rPr>
  </w:style>
  <w:style w:type="character" w:customStyle="1" w:styleId="CommentTextChar">
    <w:name w:val="Comment Text Char"/>
    <w:basedOn w:val="DefaultParagraphFont"/>
    <w:link w:val="CommentText"/>
    <w:semiHidden/>
    <w:rsid w:val="007578A4"/>
    <w:rPr>
      <w:rFonts w:ascii="Arial" w:eastAsia="SimSun" w:hAnsi="Arial" w:cs="Arial"/>
      <w:sz w:val="18"/>
      <w:lang w:val="ru-RU" w:eastAsia="zh-CN"/>
    </w:rPr>
  </w:style>
  <w:style w:type="character" w:customStyle="1" w:styleId="CommentSubjectChar">
    <w:name w:val="Comment Subject Char"/>
    <w:basedOn w:val="CommentTextChar"/>
    <w:link w:val="CommentSubject"/>
    <w:semiHidden/>
    <w:rsid w:val="007578A4"/>
    <w:rPr>
      <w:rFonts w:ascii="Arial" w:eastAsia="SimSun" w:hAnsi="Arial" w:cs="Arial"/>
      <w:b/>
      <w:bCs/>
      <w:sz w:val="18"/>
      <w:lang w:val="ru-RU" w:eastAsia="zh-CN"/>
    </w:rPr>
  </w:style>
  <w:style w:type="paragraph" w:styleId="Revision">
    <w:name w:val="Revision"/>
    <w:hidden/>
    <w:uiPriority w:val="99"/>
    <w:semiHidden/>
    <w:rsid w:val="007578A4"/>
    <w:rPr>
      <w:rFonts w:ascii="Arial" w:eastAsia="SimSun" w:hAnsi="Arial" w:cs="Arial"/>
      <w:sz w:val="22"/>
      <w:lang w:eastAsia="zh-CN"/>
    </w:rPr>
  </w:style>
  <w:style w:type="character" w:styleId="UnresolvedMention">
    <w:name w:val="Unresolved Mention"/>
    <w:basedOn w:val="DefaultParagraphFont"/>
    <w:uiPriority w:val="99"/>
    <w:semiHidden/>
    <w:unhideWhenUsed/>
    <w:rsid w:val="00842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wipo.int/documents/d/pct-system/docs-en-official-notices-officialnotices.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export/sites/www/pct/en/docs/circulars/2024/1672.pdf"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en/web/pct-system/quality/authorities" TargetMode="External"/><Relationship Id="rId5" Type="http://schemas.openxmlformats.org/officeDocument/2006/relationships/webSettings" Target="webSettings.xml"/><Relationship Id="rId15" Type="http://schemas.openxmlformats.org/officeDocument/2006/relationships/hyperlink" Target="file:///C:\Users\Julia\AppData\Local\Temp\SDLTempFileManager\q0cughvm.fu0\pct_ctc_33_12.new%20draft%20IL.docx"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file:///C:\Users\Julia\AppData\Local\Temp\SDLTempFileManager\q0cughvm.fu0\pct_ctc_33_12.new%20draft%20IL.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213A0F-668A-4526-AD0D-85F37F83D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3402</Words>
  <Characters>19392</Characters>
  <Application>Microsoft Office Word</Application>
  <DocSecurity>0</DocSecurity>
  <Lines>161</Lines>
  <Paragraphs>45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PCT/CTC/33/13</vt:lpstr>
      <vt:lpstr>PCT/CTC/33/</vt:lpstr>
    </vt:vector>
  </TitlesOfParts>
  <Company>WIPO</Company>
  <LinksUpToDate>false</LinksUpToDate>
  <CharactersWithSpaces>22749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PCT/CTC/33/13</dc:title>
  <dc:creator>NOVRUZOVA Elnara</dc:creator>
  <cp:keywords/>
  <cp:lastModifiedBy>SAKR Sally</cp:lastModifiedBy>
  <cp:revision>2</cp:revision>
  <cp:lastPrinted>2025-11-24T15:38:00Z</cp:lastPrinted>
  <dcterms:created xsi:type="dcterms:W3CDTF">2026-01-07T15:53:00Z</dcterms:created>
  <dcterms:modified xsi:type="dcterms:W3CDTF">2026-01-07T15:53:00Z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2025-11-25T10:00:41Z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1915a90d-6394-4233-8eca-8386f50e035b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