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6DFB16E0" w:rsidR="008B2CC1" w:rsidRPr="00F043DE" w:rsidRDefault="00C43C3E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</w:rPr>
        <w:drawing>
          <wp:inline distT="0" distB="0" distL="0" distR="0" wp14:anchorId="54A9840A" wp14:editId="7EEEC5E5">
            <wp:extent cx="3246120" cy="1516380"/>
            <wp:effectExtent l="0" t="0" r="0" b="762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19927253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12</w:t>
      </w:r>
    </w:p>
    <w:p w14:paraId="4157C28F" w14:textId="6713D016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</w:t>
      </w:r>
      <w:r w:rsidR="001D01C0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5ECFCDC6" w14:textId="40F831A6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r w:rsidR="001D01C0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</w:rPr>
        <w:t>19 ДЕКАБРЯ 2025 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bCs/>
          <w:sz w:val="28"/>
          <w:szCs w:val="24"/>
        </w:rPr>
        <w:t>Договор о патентной кооперации (PCT)</w:t>
      </w:r>
      <w:r>
        <w:rPr>
          <w:b/>
          <w:bCs/>
          <w:sz w:val="28"/>
          <w:szCs w:val="24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третья сессия</w:t>
      </w:r>
    </w:p>
    <w:p w14:paraId="40D1F4FD" w14:textId="7C96F100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2–6</w:t>
      </w:r>
      <w:r w:rsidR="001D01C0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февраля 2026</w:t>
      </w:r>
      <w:r w:rsidR="001D01C0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года</w:t>
      </w:r>
    </w:p>
    <w:p w14:paraId="51B065A7" w14:textId="67EF4E38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ПРОДЛЕНИЕ НАЗНАЧЕНИЯ ФИНСКОГО ВЕДОМСТВА ПО ПАТЕНТАМ И РЕГИСТРАЦИ</w:t>
      </w:r>
      <w:r w:rsidR="00906B9C">
        <w:rPr>
          <w:caps/>
          <w:sz w:val="24"/>
        </w:rPr>
        <w:t>И</w:t>
      </w:r>
      <w:r>
        <w:rPr>
          <w:caps/>
          <w:sz w:val="24"/>
        </w:rPr>
        <w:t xml:space="preserve">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03A43984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</w:t>
      </w:r>
      <w:r w:rsidR="001D01C0">
        <w:t xml:space="preserve"> </w:t>
      </w:r>
      <w:r>
        <w:t>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</w:t>
      </w:r>
      <w:r w:rsidR="001D01C0">
        <w:t xml:space="preserve"> </w:t>
      </w:r>
      <w:r>
        <w:t>Информация о данной процедуре и роли Комитета приводится в документе PCT/CTC/33/INF/1.</w:t>
      </w:r>
    </w:p>
    <w:p w14:paraId="518176C0" w14:textId="36D08831" w:rsidR="009A31F1" w:rsidRDefault="009A31F1" w:rsidP="002326AB">
      <w:pPr>
        <w:spacing w:after="220"/>
      </w:pPr>
      <w:r>
        <w:t>2.</w:t>
      </w:r>
      <w:r>
        <w:tab/>
        <w:t>7 ноября 2025 года Финское ведомство по патентам и регистраци</w:t>
      </w:r>
      <w:r w:rsidR="00906B9C">
        <w:t>и</w:t>
      </w:r>
      <w:r>
        <w:t xml:space="preserve">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Pr="002B3808" w:rsidRDefault="009A31F1" w:rsidP="009A31F1">
      <w:pPr>
        <w:pStyle w:val="SectionHeading"/>
      </w:pPr>
      <w:r>
        <w:t>1 – ОБЩИЕ СВЕДЕНИЯ</w:t>
      </w:r>
    </w:p>
    <w:p w14:paraId="549531AA" w14:textId="77777777" w:rsidR="00A1569E" w:rsidRDefault="00A1569E" w:rsidP="00A1569E">
      <w:pPr>
        <w:pStyle w:val="Question"/>
        <w:spacing w:after="480"/>
      </w:pPr>
      <w:r>
        <w:t>(a)</w:t>
      </w:r>
      <w:r>
        <w:tab/>
        <w:t>Название ведомства или межправительственной организации:</w:t>
      </w:r>
    </w:p>
    <w:p w14:paraId="7A9F320D" w14:textId="77777777" w:rsidR="00A1569E" w:rsidRDefault="00A1569E" w:rsidP="00A1569E">
      <w:pPr>
        <w:pStyle w:val="Question"/>
        <w:spacing w:after="48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 xml:space="preserve">Финское ведомство по патентам и регистрации </w:t>
      </w:r>
    </w:p>
    <w:p w14:paraId="4850211F" w14:textId="77777777" w:rsidR="00A1569E" w:rsidRDefault="00A1569E" w:rsidP="00A1569E">
      <w:pPr>
        <w:pStyle w:val="Question"/>
        <w:spacing w:after="48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45137A9A" w14:textId="77777777" w:rsidR="00A1569E" w:rsidRPr="00067EFD" w:rsidRDefault="00A1569E" w:rsidP="00A1569E">
      <w:pPr>
        <w:pStyle w:val="Question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Мика Котала</w:t>
      </w:r>
    </w:p>
    <w:p w14:paraId="175345B5" w14:textId="77777777" w:rsidR="00A1569E" w:rsidRPr="00067EFD" w:rsidRDefault="00A1569E" w:rsidP="00A1569E">
      <w:pPr>
        <w:pStyle w:val="Question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руководитель отдела патентов и товарных знаков</w:t>
      </w:r>
    </w:p>
    <w:p w14:paraId="70A5E979" w14:textId="77777777" w:rsidR="00A1569E" w:rsidRPr="00067EFD" w:rsidRDefault="00A1569E" w:rsidP="00A1569E">
      <w:pPr>
        <w:pStyle w:val="Question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Финское ведомство по патентам и регистрации</w:t>
      </w:r>
    </w:p>
    <w:p w14:paraId="59279634" w14:textId="5EDB703E" w:rsidR="009A31F1" w:rsidRDefault="00A1569E" w:rsidP="00781038">
      <w:pPr>
        <w:pStyle w:val="Question"/>
      </w:pPr>
      <w:r>
        <w:rPr>
          <w:b w:val="0"/>
          <w:bCs w:val="0"/>
          <w:szCs w:val="20"/>
        </w:rPr>
        <w:t>Телефон: +358 50 3099581</w:t>
      </w:r>
      <w:r w:rsidR="001D01C0">
        <w:rPr>
          <w:b w:val="0"/>
          <w:bCs w:val="0"/>
          <w:szCs w:val="20"/>
        </w:rPr>
        <w:t xml:space="preserve"> </w:t>
      </w:r>
      <w:r>
        <w:rPr>
          <w:b w:val="0"/>
          <w:bCs w:val="0"/>
          <w:szCs w:val="20"/>
        </w:rPr>
        <w:t>/</w:t>
      </w:r>
      <w:r w:rsidR="001D01C0">
        <w:rPr>
          <w:b w:val="0"/>
          <w:bCs w:val="0"/>
          <w:szCs w:val="20"/>
        </w:rPr>
        <w:t xml:space="preserve"> </w:t>
      </w:r>
      <w:hyperlink r:id="rId11" w:history="1">
        <w:r>
          <w:rPr>
            <w:rStyle w:val="Hyperlink"/>
            <w:b w:val="0"/>
            <w:szCs w:val="20"/>
          </w:rPr>
          <w:t>mika.kotala@prh.fi</w:t>
        </w:r>
      </w:hyperlink>
    </w:p>
    <w:p w14:paraId="510AC724" w14:textId="77777777" w:rsidR="00781038" w:rsidRPr="00781038" w:rsidRDefault="00781038" w:rsidP="00781038">
      <w:pPr>
        <w:pStyle w:val="Answer"/>
        <w:ind w:left="0"/>
      </w:pPr>
    </w:p>
    <w:p w14:paraId="5EBA2C3E" w14:textId="77777777" w:rsidR="009A31F1" w:rsidRDefault="009A31F1" w:rsidP="009A31F1">
      <w:pPr>
        <w:pStyle w:val="Question"/>
      </w:pPr>
      <w:r>
        <w:t>(c)</w:t>
      </w:r>
      <w:r>
        <w:tab/>
        <w:t>Дата получения Генеральным директором заявления о продлении назначения:</w:t>
      </w:r>
    </w:p>
    <w:p w14:paraId="2740412F" w14:textId="24CC3EEB" w:rsidR="009A31F1" w:rsidRPr="004C5F56" w:rsidRDefault="00A1569E" w:rsidP="009A31F1">
      <w:pPr>
        <w:pStyle w:val="Answer"/>
      </w:pPr>
      <w:r>
        <w:t>7 ноября 2025 года</w:t>
      </w:r>
    </w:p>
    <w:p w14:paraId="671168CF" w14:textId="77777777" w:rsidR="009A31F1" w:rsidRPr="002B3808" w:rsidRDefault="009A31F1" w:rsidP="009A31F1">
      <w:pPr>
        <w:pStyle w:val="SectionHeading"/>
      </w:pPr>
      <w:r>
        <w:t>2 – МИНИМУМ ТРЕБОВАНИЙ ДЛЯ НАЗНАЧЕНИЯ</w:t>
      </w:r>
    </w:p>
    <w:p w14:paraId="21EECB02" w14:textId="481F7DF5" w:rsidR="009A31F1" w:rsidRDefault="009A31F1" w:rsidP="009A31F1">
      <w:r>
        <w:t xml:space="preserve">В дополнение к ежегодному отчету ведомства или организации о системе управления качеством за 2025 год («отчет о системе УК» </w:t>
      </w:r>
      <w:hyperlink r:id="rId12" w:anchor="FI" w:history="1">
        <w:r>
          <w:rPr>
            <w:rStyle w:val="Hyperlink"/>
          </w:rPr>
          <w:t>https://www.wipo.int/en/web/pct-system/quality/authorities#FI</w:t>
        </w:r>
      </w:hyperlink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lastRenderedPageBreak/>
        <w:t>2.1 – ВОЗМОЖНОСТИ ДЛЯ ПРОВЕДЕНИЯ ПОИСКА И ЭКСПЕРТИЗЫ</w:t>
      </w:r>
    </w:p>
    <w:p w14:paraId="4204A13E" w14:textId="77777777" w:rsidR="009A31F1" w:rsidRDefault="009A31F1" w:rsidP="009A31F1">
      <w:pPr>
        <w:pStyle w:val="RuleQuote"/>
      </w:pPr>
      <w:r>
        <w:t>Правила 36.1(i) и 63.1(i). Национальное ведомство или межправительственная организация должны иметь по крайней мере 100 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46AAB020" w14:textId="4FE0EE5D" w:rsidR="009A31F1" w:rsidRDefault="009A31F1" w:rsidP="00D87365">
      <w:pPr>
        <w:pStyle w:val="RuleQuote"/>
        <w:ind w:left="0" w:right="53"/>
        <w:rPr>
          <w:i w:val="0"/>
          <w:iCs w:val="0"/>
        </w:rPr>
      </w:pPr>
      <w:r>
        <w:rPr>
          <w:i w:val="0"/>
          <w:iCs w:val="0"/>
        </w:rPr>
        <w:t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</w:t>
      </w:r>
      <w:r w:rsidR="001D01C0">
        <w:rPr>
          <w:i w:val="0"/>
          <w:iCs w:val="0"/>
        </w:rPr>
        <w:t xml:space="preserve"> </w:t>
      </w:r>
      <w:r>
        <w:rPr>
          <w:i w:val="0"/>
          <w:iCs w:val="0"/>
        </w:rPr>
        <w:t>Орган также указывает следующую информацию о количестве сотрудников, обладающих квалификацией для проведения поиска и экспертизы.</w:t>
      </w:r>
      <w:r w:rsidR="001D01C0">
        <w:rPr>
          <w:i w:val="0"/>
          <w:iCs w:val="0"/>
        </w:rPr>
        <w:t xml:space="preserve"> </w:t>
      </w:r>
    </w:p>
    <w:p w14:paraId="7B23337F" w14:textId="77777777" w:rsidR="00C5047D" w:rsidRPr="00A1569E" w:rsidRDefault="00C5047D" w:rsidP="009A31F1">
      <w:pPr>
        <w:ind w:left="540"/>
        <w:jc w:val="both"/>
        <w:rPr>
          <w:rFonts w:ascii="Helvetica" w:hAnsi="Helvetica" w:cs="Helvetica"/>
          <w:color w:val="000000" w:themeColor="text1"/>
          <w:szCs w:val="22"/>
        </w:rPr>
      </w:pPr>
    </w:p>
    <w:p w14:paraId="70EE9A7D" w14:textId="77777777" w:rsidR="00C5047D" w:rsidRPr="009D0055" w:rsidRDefault="00C5047D" w:rsidP="009A31F1">
      <w:pPr>
        <w:ind w:left="540"/>
        <w:jc w:val="both"/>
        <w:rPr>
          <w:rFonts w:ascii="Helvetica" w:hAnsi="Helvetica" w:cs="Helvetica"/>
          <w:i/>
          <w:iCs/>
          <w:color w:val="000000" w:themeColor="text1"/>
          <w:szCs w:val="22"/>
        </w:rPr>
      </w:pPr>
    </w:p>
    <w:p w14:paraId="0066CCED" w14:textId="77777777" w:rsidR="00C5047D" w:rsidRDefault="00C5047D" w:rsidP="00FE1756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разбивка их квалификаций."/>
      </w:tblPr>
      <w:tblGrid>
        <w:gridCol w:w="3425"/>
        <w:gridCol w:w="1815"/>
        <w:gridCol w:w="1514"/>
        <w:gridCol w:w="2172"/>
      </w:tblGrid>
      <w:tr w:rsidR="00B442F5" w14:paraId="1D0938EF" w14:textId="77777777" w:rsidTr="001D01C0">
        <w:trPr>
          <w:cantSplit/>
          <w:tblHeader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1161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Область техники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8909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Количество сотрудников (в пересчете на занятых полную рабочую неделю)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ED19" w14:textId="77777777" w:rsidR="00B442F5" w:rsidRDefault="00B442F5" w:rsidP="00185090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Средний стаж в качестве эксперта (по числу лет)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8EDB" w14:textId="77777777" w:rsidR="00B442F5" w:rsidRDefault="00B442F5" w:rsidP="00185090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В разбивке по уровням квалификации</w:t>
            </w:r>
          </w:p>
        </w:tc>
      </w:tr>
      <w:tr w:rsidR="00B442F5" w14:paraId="6F24E001" w14:textId="77777777" w:rsidTr="001D01C0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E658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7651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CBAE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AC47" w14:textId="6EC7CF6D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17% – степень доктора</w:t>
            </w:r>
            <w:r w:rsidR="001D01C0">
              <w:br/>
            </w:r>
            <w:r>
              <w:t>83% – степень магистра</w:t>
            </w:r>
          </w:p>
        </w:tc>
      </w:tr>
      <w:tr w:rsidR="00B442F5" w14:paraId="6DB1EFBD" w14:textId="77777777" w:rsidTr="001D01C0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79C0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Электричество/</w:t>
            </w:r>
            <w:r>
              <w:br/>
              <w:t>электроника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075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67E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B5" w14:textId="45CB2BCF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73% – степень доктора</w:t>
            </w:r>
            <w:r w:rsidR="001D01C0">
              <w:br/>
            </w:r>
            <w:r>
              <w:t>27% – степень магистра</w:t>
            </w:r>
          </w:p>
        </w:tc>
      </w:tr>
      <w:tr w:rsidR="00B442F5" w14:paraId="7CCA4975" w14:textId="77777777" w:rsidTr="001D01C0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0E55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9A3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E99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AB24" w14:textId="5C0EA64E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61% – степень доктора</w:t>
            </w:r>
            <w:r w:rsidR="001D01C0">
              <w:br/>
            </w:r>
            <w:r>
              <w:t>39% – степень магистра</w:t>
            </w:r>
          </w:p>
        </w:tc>
      </w:tr>
      <w:tr w:rsidR="00B442F5" w14:paraId="3EECDC33" w14:textId="77777777" w:rsidTr="001D01C0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1559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Информационные технологии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D4F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01C8" w14:textId="7777777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695" w14:textId="0C1D2A47" w:rsidR="00B442F5" w:rsidRDefault="00B442F5" w:rsidP="00185090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33% – степень доктора</w:t>
            </w:r>
            <w:r w:rsidR="001D01C0">
              <w:br/>
            </w:r>
            <w:r>
              <w:t>67% – степень магистра</w:t>
            </w:r>
          </w:p>
        </w:tc>
      </w:tr>
      <w:tr w:rsidR="00B442F5" w14:paraId="78FC8944" w14:textId="77777777" w:rsidTr="001D01C0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619A" w14:textId="77777777" w:rsidR="00B442F5" w:rsidRDefault="00B442F5" w:rsidP="00185090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Всего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8F3" w14:textId="77777777" w:rsidR="00B442F5" w:rsidRDefault="00B442F5" w:rsidP="00185090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111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1179" w14:textId="77777777" w:rsidR="00B442F5" w:rsidRDefault="00B442F5" w:rsidP="00185090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7B7" w14:textId="4C01AB1D" w:rsidR="00B442F5" w:rsidRDefault="00B442F5" w:rsidP="00185090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t>47% – степень доктора</w:t>
            </w:r>
            <w:r w:rsidR="001D01C0">
              <w:br/>
            </w:r>
            <w:r>
              <w:t>53% – степень магистра</w:t>
            </w:r>
          </w:p>
        </w:tc>
      </w:tr>
    </w:tbl>
    <w:p w14:paraId="44ED2F5F" w14:textId="77777777" w:rsidR="00C5047D" w:rsidRDefault="00C5047D" w:rsidP="009A31F1"/>
    <w:p w14:paraId="1633CD0D" w14:textId="4637B81C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помимо отчета о системе УК и приведенной выше таблицы (необязательно):</w:t>
      </w:r>
      <w:r w:rsidR="001D01C0">
        <w:rPr>
          <w:i w:val="0"/>
          <w:iCs w:val="0"/>
        </w:rPr>
        <w:t xml:space="preserve"> </w:t>
      </w:r>
    </w:p>
    <w:p w14:paraId="6EE9EC05" w14:textId="77777777" w:rsidR="00141C5C" w:rsidRDefault="00141C5C" w:rsidP="00C5047D">
      <w:pPr>
        <w:pStyle w:val="RuleQuote"/>
        <w:ind w:left="0"/>
        <w:rPr>
          <w:i w:val="0"/>
          <w:iCs w:val="0"/>
        </w:rPr>
      </w:pPr>
    </w:p>
    <w:p w14:paraId="60AF6307" w14:textId="5D540087" w:rsidR="00C5047D" w:rsidRPr="002B3808" w:rsidRDefault="00C5047D" w:rsidP="00C5047D">
      <w:pPr>
        <w:pStyle w:val="SectionHeading"/>
      </w:pPr>
      <w:r>
        <w:t>2.2 – МИНИМУМ ДОКУМЕНТАЦИИ – ПРЕДОСТАВЛЕНИЕ ДЛЯ ОЗНАКОМЛЕНИЯ</w:t>
      </w:r>
    </w:p>
    <w:p w14:paraId="44503BDA" w14:textId="77777777" w:rsidR="00C5047D" w:rsidRDefault="00C5047D" w:rsidP="00C5047D">
      <w:pPr>
        <w:pStyle w:val="RuleQuote"/>
      </w:pPr>
      <w:r>
        <w:t>Правила 36.1(ii) и 63.1(ii).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792C352D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3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1F2DB717" w14:textId="2D64C37E" w:rsidR="00C5047D" w:rsidRDefault="00C5047D" w:rsidP="00C5047D">
      <w:pPr>
        <w:pStyle w:val="Question"/>
        <w:spacing w:after="0"/>
        <w:rPr>
          <w:b w:val="0"/>
          <w:bCs w:val="0"/>
        </w:rPr>
      </w:pPr>
      <w:r>
        <w:rPr>
          <w:b w:val="0"/>
          <w:bCs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  <w:bCs w:val="0"/>
        </w:rPr>
        <w:br/>
      </w:r>
      <w:r>
        <w:rPr>
          <w:b w:val="0"/>
          <w:bCs w:val="0"/>
        </w:rPr>
        <w:br/>
        <w:t>Либо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 w:rsidR="001D01C0">
        <w:rPr>
          <w:b w:val="0"/>
          <w:bCs w:val="0"/>
        </w:rPr>
        <w:t xml:space="preserve"> «</w:t>
      </w:r>
      <w:r>
        <w:rPr>
          <w:b w:val="0"/>
          <w:bCs w:val="0"/>
        </w:rPr>
        <w:t>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</w:t>
      </w:r>
      <w:r w:rsidR="001D01C0">
        <w:rPr>
          <w:b w:val="0"/>
          <w:bCs w:val="0"/>
        </w:rPr>
        <w:t xml:space="preserve"> </w:t>
      </w:r>
      <w:r>
        <w:rPr>
          <w:b w:val="0"/>
          <w:bCs w:val="0"/>
        </w:rPr>
        <w:t>Информация об объеме и формате документов, которые были предоставлены Органом для ознакомления, опубликована в Бюллетене PCT 23 октября 2025 года по адресу:</w:t>
      </w:r>
      <w:r w:rsidR="001D01C0">
        <w:rPr>
          <w:b w:val="0"/>
          <w:bCs w:val="0"/>
        </w:rPr>
        <w:t xml:space="preserve"> </w:t>
      </w:r>
      <w:hyperlink r:id="rId14" w:anchor="page=221" w:history="1">
        <w:r>
          <w:rPr>
            <w:rStyle w:val="Hyperlink"/>
            <w:b w:val="0"/>
            <w:szCs w:val="20"/>
          </w:rPr>
          <w:t>https://www.wipo.int/documents/d/pct-system/docs-en-official-notices-officialnotices.pdf#page=194</w:t>
        </w:r>
      </w:hyperlink>
      <w:r w:rsidR="001D01C0">
        <w:rPr>
          <w:b w:val="0"/>
          <w:bCs w:val="0"/>
        </w:rPr>
        <w:t>».</w:t>
      </w:r>
    </w:p>
    <w:p w14:paraId="37D5BDD4" w14:textId="77777777" w:rsidR="00C5047D" w:rsidRDefault="00C5047D" w:rsidP="00C5047D">
      <w:pPr>
        <w:pStyle w:val="Answer"/>
      </w:pPr>
    </w:p>
    <w:p w14:paraId="1DE04B01" w14:textId="77777777" w:rsidR="00C5047D" w:rsidRDefault="00C5047D" w:rsidP="00C5047D">
      <w:pPr>
        <w:pStyle w:val="Answer"/>
        <w:ind w:left="0"/>
      </w:pPr>
      <w:r>
        <w:t>либо:</w:t>
      </w:r>
    </w:p>
    <w:p w14:paraId="5487139A" w14:textId="77777777" w:rsidR="00141C5C" w:rsidRDefault="00141C5C" w:rsidP="00C5047D">
      <w:pPr>
        <w:pStyle w:val="Answer"/>
        <w:ind w:left="0"/>
      </w:pPr>
    </w:p>
    <w:p w14:paraId="29122C8D" w14:textId="648CE1A5" w:rsidR="006A5C36" w:rsidRDefault="0045123C" w:rsidP="00C5047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36">
            <w:rPr>
              <w:rFonts w:ascii="MS Gothic" w:eastAsia="MS Gothic" w:hAnsi="MS Gothic" w:hint="eastAsia"/>
            </w:rPr>
            <w:t>☐</w:t>
          </w:r>
        </w:sdtContent>
      </w:sdt>
      <w:r w:rsidR="00BB0769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</w:t>
      </w:r>
      <w:r w:rsidR="001D01C0">
        <w:t xml:space="preserve"> </w:t>
      </w:r>
      <w:r w:rsidR="00BB0769">
        <w:t>Просьба предоставить подробную информацию о вашем ведомственном досье с любыми соответствующими ссылками».</w:t>
      </w:r>
    </w:p>
    <w:p w14:paraId="19A4C13D" w14:textId="77777777" w:rsidR="00C5047D" w:rsidRPr="002B3808" w:rsidRDefault="00C5047D" w:rsidP="00C5047D">
      <w:pPr>
        <w:pStyle w:val="SectionHeading"/>
      </w:pPr>
      <w:r>
        <w:t>2.3 – МИНИМУМ ДОКУМЕНТАЦИИ – ДОСТУП</w:t>
      </w:r>
    </w:p>
    <w:p w14:paraId="6096117B" w14:textId="77777777" w:rsidR="00C5047D" w:rsidRDefault="00C5047D" w:rsidP="00C5047D">
      <w:pPr>
        <w:pStyle w:val="RuleQuote"/>
        <w:rPr>
          <w:i w:val="0"/>
          <w:iCs w:val="0"/>
        </w:rPr>
      </w:pPr>
      <w:r>
        <w:t>Правила 36.1(iii) и 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8299118" w14:textId="618A813D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</w:t>
      </w:r>
      <w:r w:rsidR="001D01C0">
        <w:rPr>
          <w:i w:val="0"/>
          <w:iCs w:val="0"/>
        </w:rPr>
        <w:t xml:space="preserve"> </w:t>
      </w:r>
    </w:p>
    <w:p w14:paraId="6DB037C2" w14:textId="4C94D6D8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1D01C0">
        <w:rPr>
          <w:i w:val="0"/>
          <w:iCs w:val="0"/>
        </w:rPr>
        <w:t xml:space="preserve"> </w:t>
      </w:r>
    </w:p>
    <w:p w14:paraId="61FFA6D9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6EF613BF" w14:textId="7AA52D01" w:rsidR="00C5047D" w:rsidRPr="002B3808" w:rsidRDefault="00C5047D" w:rsidP="00C5047D">
      <w:pPr>
        <w:pStyle w:val="SectionHeading"/>
      </w:pPr>
      <w:r>
        <w:t>2.4 – УПРАВЛЕНИЕ КАЧЕСТВОМ</w:t>
      </w:r>
    </w:p>
    <w:p w14:paraId="71608889" w14:textId="77777777" w:rsidR="00C5047D" w:rsidRDefault="00C5047D" w:rsidP="00C5047D">
      <w:pPr>
        <w:pStyle w:val="RuleQuote"/>
      </w:pPr>
      <w:r>
        <w:t>Правила 36.1(iv) и 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F62DD3E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CB44395" w14:textId="5CAD5202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1D01C0">
        <w:rPr>
          <w:i w:val="0"/>
          <w:iCs w:val="0"/>
        </w:rPr>
        <w:t xml:space="preserve"> </w:t>
      </w:r>
    </w:p>
    <w:p w14:paraId="21916F50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bookmarkStart w:id="5" w:name="_Hlk215156473"/>
      <w:r>
        <w:tab/>
      </w:r>
      <w:bookmarkEnd w:id="5"/>
      <w:r>
        <w:t>Сфера деятельности в текущий период</w:t>
      </w:r>
    </w:p>
    <w:p w14:paraId="00647516" w14:textId="3BB8214F" w:rsidR="00C5047D" w:rsidRPr="003F6F01" w:rsidRDefault="00C5047D" w:rsidP="00C5047D">
      <w:pPr>
        <w:pStyle w:val="Question"/>
        <w:keepNext w:val="0"/>
        <w:spacing w:after="480"/>
      </w:pPr>
      <w:r>
        <w:rPr>
          <w:b w:val="0"/>
          <w:bCs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</w:t>
      </w:r>
      <w:r>
        <w:rPr>
          <w:b w:val="0"/>
          <w:bCs w:val="0"/>
          <w:i/>
          <w:iCs/>
        </w:rPr>
        <w:t>Руководстве РСТ для заявителя</w:t>
      </w:r>
      <w:r>
        <w:rPr>
          <w:b w:val="0"/>
          <w:bCs w:val="0"/>
        </w:rPr>
        <w:t xml:space="preserve"> по следующим ссылкам:</w:t>
      </w:r>
      <w:r w:rsidR="001D01C0">
        <w:rPr>
          <w:b w:val="0"/>
          <w:bCs w:val="0"/>
        </w:rPr>
        <w:t xml:space="preserve"> </w:t>
      </w:r>
      <w:bookmarkStart w:id="6" w:name="_Hlk214637647"/>
      <w:r>
        <w:fldChar w:fldCharType="begin"/>
      </w:r>
      <w:r>
        <w:instrText>HYPERLINK "file:///\\\\adi.wipo.int\\wipodata\\DAT1\\OrgPctLdev\\Shared\\WIPO%20meetings%20-%20PCT\\PCT-CTC-33\\Applications%20for%20extension%20of%20appointment\\FI\\pct_ctc_33_11%20draft%20FI.docx"</w:instrText>
      </w:r>
      <w:r>
        <w:fldChar w:fldCharType="separate"/>
      </w:r>
      <w:r>
        <w:rPr>
          <w:rStyle w:val="Hyperlink"/>
          <w:b w:val="0"/>
          <w:szCs w:val="20"/>
        </w:rPr>
        <w:t>https://pctlegal.wipo.int/eGuide/view-doc.xhtml?doc-code=FI&amp;doc-lang=en#ISA</w:t>
      </w:r>
      <w:r>
        <w:fldChar w:fldCharType="end"/>
      </w:r>
      <w:r>
        <w:rPr>
          <w:b w:val="0"/>
          <w:bCs w:val="0"/>
        </w:rPr>
        <w:t xml:space="preserve"> и</w:t>
      </w:r>
      <w:bookmarkEnd w:id="6"/>
      <w:r>
        <w:rPr>
          <w:b w:val="0"/>
          <w:bCs w:val="0"/>
        </w:rPr>
        <w:t xml:space="preserve"> </w:t>
      </w:r>
      <w:hyperlink r:id="rId15" w:history="1">
        <w:r>
          <w:rPr>
            <w:rStyle w:val="Hyperlink"/>
            <w:b w:val="0"/>
            <w:szCs w:val="20"/>
          </w:rPr>
          <w:t>https://pctlegal.wipo.int/eGuide/view-doc.xhtml?doc-code=FI&amp;doc-lang=en#IPEA</w:t>
        </w:r>
      </w:hyperlink>
      <w:r>
        <w:rPr>
          <w:b w:val="0"/>
          <w:bCs w:val="0"/>
          <w:i/>
          <w:iCs/>
        </w:rPr>
        <w:t>.</w:t>
      </w:r>
    </w:p>
    <w:p w14:paraId="28EC7561" w14:textId="2668AFA1" w:rsidR="00C5047D" w:rsidRDefault="00AA4FB4" w:rsidP="005175CF">
      <w:pPr>
        <w:pStyle w:val="Question"/>
        <w:numPr>
          <w:ilvl w:val="0"/>
          <w:numId w:val="8"/>
        </w:numPr>
        <w:spacing w:after="240"/>
      </w:pPr>
      <w:r>
        <w:tab/>
        <w:t xml:space="preserve">Планируемые изменения в сфере деятельности Органа, такие как </w:t>
      </w:r>
      <w:r w:rsidR="001D01C0">
        <w:t>получающие</w:t>
      </w:r>
      <w:r>
        <w:t xml:space="preserve"> ведомства, для которых Орган является компетентным, и предлагаемые языки (при наличии таковых):</w:t>
      </w:r>
      <w:r w:rsidR="001D01C0">
        <w:t xml:space="preserve"> </w:t>
      </w:r>
    </w:p>
    <w:p w14:paraId="3CB68C76" w14:textId="77777777" w:rsidR="004E7E2F" w:rsidRPr="004E7E2F" w:rsidRDefault="004E7E2F" w:rsidP="005175CF">
      <w:pPr>
        <w:pStyle w:val="Answer"/>
        <w:keepNext/>
      </w:pPr>
    </w:p>
    <w:p w14:paraId="0330D9AA" w14:textId="77777777" w:rsidR="00C5047D" w:rsidRPr="002B3808" w:rsidRDefault="00C5047D" w:rsidP="005175CF">
      <w:pPr>
        <w:pStyle w:val="SectionHeading"/>
      </w:pPr>
      <w:r>
        <w:t>4 – ПРОЧЕЕ</w:t>
      </w:r>
    </w:p>
    <w:p w14:paraId="041B071C" w14:textId="498D1ED6" w:rsidR="00C5047D" w:rsidRDefault="00C5047D" w:rsidP="005175CF">
      <w:pPr>
        <w:keepNext/>
      </w:pPr>
      <w:r>
        <w:t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</w:t>
      </w:r>
      <w:r w:rsidR="001D01C0">
        <w:t xml:space="preserve"> </w:t>
      </w:r>
    </w:p>
    <w:p w14:paraId="1BEC6111" w14:textId="77777777" w:rsidR="00C5047D" w:rsidRDefault="00C5047D" w:rsidP="005175CF">
      <w:pPr>
        <w:keepNext/>
      </w:pPr>
    </w:p>
    <w:p w14:paraId="565493DE" w14:textId="77777777" w:rsidR="00C5047D" w:rsidRPr="00E81A5B" w:rsidRDefault="00C5047D" w:rsidP="005175CF">
      <w:pPr>
        <w:pStyle w:val="SectionHeading"/>
      </w:pPr>
    </w:p>
    <w:p w14:paraId="05B9A047" w14:textId="77777777" w:rsidR="00C5047D" w:rsidRPr="00E64639" w:rsidRDefault="00C5047D" w:rsidP="00C5047D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p w14:paraId="3B3E50D2" w14:textId="77777777" w:rsidR="00C5047D" w:rsidRPr="009A31F1" w:rsidRDefault="00C5047D" w:rsidP="00C5047D"/>
    <w:sectPr w:rsidR="00C5047D" w:rsidRPr="009A31F1" w:rsidSect="009A31F1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98D8" w14:textId="77777777" w:rsidR="00BB0500" w:rsidRDefault="00BB0500">
      <w:r>
        <w:separator/>
      </w:r>
    </w:p>
  </w:endnote>
  <w:endnote w:type="continuationSeparator" w:id="0">
    <w:p w14:paraId="7A3C787F" w14:textId="77777777" w:rsidR="00BB0500" w:rsidRDefault="00BB0500" w:rsidP="003B38C1">
      <w:r>
        <w:separator/>
      </w:r>
    </w:p>
    <w:p w14:paraId="7CE7A402" w14:textId="77777777" w:rsidR="00BB0500" w:rsidRPr="00E81A5B" w:rsidRDefault="00BB0500" w:rsidP="003B38C1">
      <w:pPr>
        <w:spacing w:after="60"/>
        <w:rPr>
          <w:sz w:val="17"/>
          <w:lang w:val="en-GB"/>
        </w:rPr>
      </w:pPr>
      <w:r w:rsidRPr="00E81A5B">
        <w:rPr>
          <w:sz w:val="17"/>
          <w:lang w:val="en-GB"/>
        </w:rPr>
        <w:t>[Endnote continued from previous page]</w:t>
      </w:r>
    </w:p>
  </w:endnote>
  <w:endnote w:type="continuationNotice" w:id="1">
    <w:p w14:paraId="5874F0E6" w14:textId="77777777" w:rsidR="00BB0500" w:rsidRPr="00E81A5B" w:rsidRDefault="00BB0500" w:rsidP="003B38C1">
      <w:pPr>
        <w:spacing w:before="60"/>
        <w:jc w:val="right"/>
        <w:rPr>
          <w:sz w:val="17"/>
          <w:szCs w:val="17"/>
          <w:lang w:val="en-GB"/>
        </w:rPr>
      </w:pPr>
      <w:r w:rsidRPr="00E81A5B">
        <w:rPr>
          <w:sz w:val="17"/>
          <w:szCs w:val="17"/>
          <w:lang w:val="en-GB"/>
        </w:rPr>
        <w:t xml:space="preserve">[Endnote </w:t>
      </w:r>
      <w:proofErr w:type="gramStart"/>
      <w:r w:rsidRPr="00E81A5B">
        <w:rPr>
          <w:sz w:val="17"/>
          <w:szCs w:val="17"/>
          <w:lang w:val="en-GB"/>
        </w:rPr>
        <w:t>continued on</w:t>
      </w:r>
      <w:proofErr w:type="gramEnd"/>
      <w:r w:rsidRPr="00E81A5B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4CBA" w14:textId="77777777" w:rsidR="00BB0500" w:rsidRDefault="00BB0500">
      <w:r>
        <w:separator/>
      </w:r>
    </w:p>
  </w:footnote>
  <w:footnote w:type="continuationSeparator" w:id="0">
    <w:p w14:paraId="28523C33" w14:textId="77777777" w:rsidR="00BB0500" w:rsidRDefault="00BB0500" w:rsidP="008B60B2">
      <w:r>
        <w:separator/>
      </w:r>
    </w:p>
    <w:p w14:paraId="75DC2653" w14:textId="77777777" w:rsidR="00BB0500" w:rsidRPr="00E81A5B" w:rsidRDefault="00BB0500" w:rsidP="008B60B2">
      <w:pPr>
        <w:spacing w:after="60"/>
        <w:rPr>
          <w:sz w:val="17"/>
          <w:szCs w:val="17"/>
          <w:lang w:val="en-GB"/>
        </w:rPr>
      </w:pPr>
      <w:r w:rsidRPr="00E81A5B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22876159" w14:textId="77777777" w:rsidR="00BB0500" w:rsidRPr="00E81A5B" w:rsidRDefault="00BB0500" w:rsidP="008B60B2">
      <w:pPr>
        <w:spacing w:before="60"/>
        <w:jc w:val="right"/>
        <w:rPr>
          <w:sz w:val="17"/>
          <w:szCs w:val="17"/>
          <w:lang w:val="en-GB"/>
        </w:rPr>
      </w:pPr>
      <w:r w:rsidRPr="00E81A5B">
        <w:rPr>
          <w:sz w:val="17"/>
          <w:szCs w:val="17"/>
          <w:lang w:val="en-GB"/>
        </w:rPr>
        <w:t xml:space="preserve">[Footnote </w:t>
      </w:r>
      <w:proofErr w:type="gramStart"/>
      <w:r w:rsidRPr="00E81A5B">
        <w:rPr>
          <w:sz w:val="17"/>
          <w:szCs w:val="17"/>
          <w:lang w:val="en-GB"/>
        </w:rPr>
        <w:t>continued on</w:t>
      </w:r>
      <w:proofErr w:type="gramEnd"/>
      <w:r w:rsidRPr="00E81A5B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76B1257B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PCT/CTC/33/12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45123C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5685E556" w:rsidR="009A31F1" w:rsidRDefault="009A31F1" w:rsidP="009A31F1">
    <w:pPr>
      <w:pStyle w:val="Header"/>
      <w:jc w:val="right"/>
    </w:pPr>
    <w:r>
      <w:tab/>
    </w:r>
    <w:r>
      <w:t>PCT/CTC/33/12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7CD7"/>
    <w:rsid w:val="00031B21"/>
    <w:rsid w:val="00043CAA"/>
    <w:rsid w:val="00056816"/>
    <w:rsid w:val="00075432"/>
    <w:rsid w:val="000756C6"/>
    <w:rsid w:val="000874B0"/>
    <w:rsid w:val="000900E2"/>
    <w:rsid w:val="000968ED"/>
    <w:rsid w:val="000A3D97"/>
    <w:rsid w:val="000A6309"/>
    <w:rsid w:val="000D46FE"/>
    <w:rsid w:val="000F5E56"/>
    <w:rsid w:val="00111BB0"/>
    <w:rsid w:val="001362EE"/>
    <w:rsid w:val="00141C5C"/>
    <w:rsid w:val="001647D5"/>
    <w:rsid w:val="001832A6"/>
    <w:rsid w:val="001C22A2"/>
    <w:rsid w:val="001D01C0"/>
    <w:rsid w:val="001D4107"/>
    <w:rsid w:val="001F1115"/>
    <w:rsid w:val="00203D24"/>
    <w:rsid w:val="0021217E"/>
    <w:rsid w:val="00217FB1"/>
    <w:rsid w:val="002326AB"/>
    <w:rsid w:val="00243430"/>
    <w:rsid w:val="00247121"/>
    <w:rsid w:val="00247D1C"/>
    <w:rsid w:val="002634C4"/>
    <w:rsid w:val="002730A6"/>
    <w:rsid w:val="002928D3"/>
    <w:rsid w:val="002E29C7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3D2968"/>
    <w:rsid w:val="003F6F01"/>
    <w:rsid w:val="00423E3E"/>
    <w:rsid w:val="00427AF4"/>
    <w:rsid w:val="0045123C"/>
    <w:rsid w:val="004647DA"/>
    <w:rsid w:val="00466D9E"/>
    <w:rsid w:val="00474062"/>
    <w:rsid w:val="00477D6B"/>
    <w:rsid w:val="004957B3"/>
    <w:rsid w:val="004B446A"/>
    <w:rsid w:val="004B6994"/>
    <w:rsid w:val="004C4FED"/>
    <w:rsid w:val="004C667B"/>
    <w:rsid w:val="004E7E2F"/>
    <w:rsid w:val="005019FF"/>
    <w:rsid w:val="005175CF"/>
    <w:rsid w:val="0052652C"/>
    <w:rsid w:val="0053057A"/>
    <w:rsid w:val="00556076"/>
    <w:rsid w:val="00560A29"/>
    <w:rsid w:val="005705AC"/>
    <w:rsid w:val="005C6649"/>
    <w:rsid w:val="005C7592"/>
    <w:rsid w:val="005C79F6"/>
    <w:rsid w:val="005C7A31"/>
    <w:rsid w:val="00605827"/>
    <w:rsid w:val="00646050"/>
    <w:rsid w:val="00647CAE"/>
    <w:rsid w:val="00665D93"/>
    <w:rsid w:val="006713CA"/>
    <w:rsid w:val="00675BDF"/>
    <w:rsid w:val="00676C5C"/>
    <w:rsid w:val="006916DB"/>
    <w:rsid w:val="006A5C36"/>
    <w:rsid w:val="006C238E"/>
    <w:rsid w:val="006C712A"/>
    <w:rsid w:val="006F04BC"/>
    <w:rsid w:val="006F7742"/>
    <w:rsid w:val="0070049D"/>
    <w:rsid w:val="00720EFD"/>
    <w:rsid w:val="007378F4"/>
    <w:rsid w:val="00756C6B"/>
    <w:rsid w:val="007578A4"/>
    <w:rsid w:val="00761CD8"/>
    <w:rsid w:val="00781038"/>
    <w:rsid w:val="007854AF"/>
    <w:rsid w:val="00793A7C"/>
    <w:rsid w:val="007A398A"/>
    <w:rsid w:val="007A3EC4"/>
    <w:rsid w:val="007C3D27"/>
    <w:rsid w:val="007D1613"/>
    <w:rsid w:val="007E4C0E"/>
    <w:rsid w:val="008543C9"/>
    <w:rsid w:val="008769C1"/>
    <w:rsid w:val="008A134B"/>
    <w:rsid w:val="008B2CC1"/>
    <w:rsid w:val="008B60B2"/>
    <w:rsid w:val="008F3854"/>
    <w:rsid w:val="00906B9C"/>
    <w:rsid w:val="0090731E"/>
    <w:rsid w:val="009109A2"/>
    <w:rsid w:val="00916EE2"/>
    <w:rsid w:val="00936531"/>
    <w:rsid w:val="00966A22"/>
    <w:rsid w:val="0096722F"/>
    <w:rsid w:val="00980843"/>
    <w:rsid w:val="00994696"/>
    <w:rsid w:val="009A31F1"/>
    <w:rsid w:val="009A53C9"/>
    <w:rsid w:val="009E2791"/>
    <w:rsid w:val="009E3F6F"/>
    <w:rsid w:val="009F499F"/>
    <w:rsid w:val="00A0628B"/>
    <w:rsid w:val="00A1569E"/>
    <w:rsid w:val="00A32D78"/>
    <w:rsid w:val="00A37342"/>
    <w:rsid w:val="00A42DAF"/>
    <w:rsid w:val="00A45BD8"/>
    <w:rsid w:val="00A53F2A"/>
    <w:rsid w:val="00A76337"/>
    <w:rsid w:val="00A869B7"/>
    <w:rsid w:val="00A90F0A"/>
    <w:rsid w:val="00AA4FB4"/>
    <w:rsid w:val="00AC205C"/>
    <w:rsid w:val="00AC4C7C"/>
    <w:rsid w:val="00AF0A6B"/>
    <w:rsid w:val="00B05A69"/>
    <w:rsid w:val="00B442F5"/>
    <w:rsid w:val="00B75281"/>
    <w:rsid w:val="00B81893"/>
    <w:rsid w:val="00B92F1F"/>
    <w:rsid w:val="00B9734B"/>
    <w:rsid w:val="00BA30E2"/>
    <w:rsid w:val="00BA40BF"/>
    <w:rsid w:val="00BB0500"/>
    <w:rsid w:val="00BB0769"/>
    <w:rsid w:val="00BC039A"/>
    <w:rsid w:val="00C014ED"/>
    <w:rsid w:val="00C11BFE"/>
    <w:rsid w:val="00C333F7"/>
    <w:rsid w:val="00C43C3E"/>
    <w:rsid w:val="00C5047D"/>
    <w:rsid w:val="00C5068F"/>
    <w:rsid w:val="00C84C84"/>
    <w:rsid w:val="00C86D74"/>
    <w:rsid w:val="00CC3DCE"/>
    <w:rsid w:val="00CD04F1"/>
    <w:rsid w:val="00CD578D"/>
    <w:rsid w:val="00CF681A"/>
    <w:rsid w:val="00D07C78"/>
    <w:rsid w:val="00D45252"/>
    <w:rsid w:val="00D50FB2"/>
    <w:rsid w:val="00D71B4D"/>
    <w:rsid w:val="00D87365"/>
    <w:rsid w:val="00D93D55"/>
    <w:rsid w:val="00DC2716"/>
    <w:rsid w:val="00DD7B7F"/>
    <w:rsid w:val="00E1421E"/>
    <w:rsid w:val="00E15015"/>
    <w:rsid w:val="00E335FE"/>
    <w:rsid w:val="00E81A5B"/>
    <w:rsid w:val="00E82F6F"/>
    <w:rsid w:val="00E955BE"/>
    <w:rsid w:val="00EA7D6E"/>
    <w:rsid w:val="00EB2F76"/>
    <w:rsid w:val="00EC4E49"/>
    <w:rsid w:val="00ED77FB"/>
    <w:rsid w:val="00EE45FA"/>
    <w:rsid w:val="00EF1E81"/>
    <w:rsid w:val="00F043DE"/>
    <w:rsid w:val="00F63809"/>
    <w:rsid w:val="00F66152"/>
    <w:rsid w:val="00F9165B"/>
    <w:rsid w:val="00FB5C16"/>
    <w:rsid w:val="00FC482F"/>
    <w:rsid w:val="00FE0B36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1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xport/sites/www/pct/en/docs/circulars/2024/1672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n/web/pct-system/quality/authorities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a.kotala@prh.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adi.wipo.int\wipodata\DAT1\OrgPctLdev\Shared\WIPO%20meetings%20-%20PCT\PCT-CTC-33\Applications%20for%20extension%20of%20appointment\FI\pct_ctc_33_11%20draft%20FI.docx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documents/d/pct-system/docs-en-official-notices-officialnotic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936</Words>
  <Characters>7459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PCT/CTC/33/12</vt:lpstr>
    </vt:vector>
  </TitlesOfParts>
  <Company>WIPO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PCT/CTC/33/12</dc:title>
  <dc:subject>ПРОДЛЕНИЕ НАЗНАЧЕНИЯ ФИНСКОГО ВЕДОМСТВА ПО ПАТЕНТАМ И РЕГИСТРАЦИИ В КАЧЕСТВЕ МЕЖДУНАРОДНОГО ПОИСКОВОГО ОРГАНА И ОРГАНА МЕЖДУНАРОДНОЙ ПРЕДВАРИТЕЛЬНОЙ ЭКСПЕРТИЗЫ В РАМКАХ PCT</dc:subject>
  <dc:creator>NOVRUZOVA Elnara</dc:creator>
  <cp:keywords/>
  <cp:lastModifiedBy>MARLOW Thomas</cp:lastModifiedBy>
  <cp:revision>3</cp:revision>
  <cp:lastPrinted>2026-01-13T16:07:00Z</cp:lastPrinted>
  <dcterms:created xsi:type="dcterms:W3CDTF">2026-01-13T16:07:00Z</dcterms:created>
  <dcterms:modified xsi:type="dcterms:W3CDTF">2026-01-13T16:07:00Z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2025-11-25T10:05:25Z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d3d95821-a61b-495d-b730-f8128df5797b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