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4638AE" w14:paraId="106670A6" w14:textId="77777777" w:rsidTr="00204B7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981E05" w14:textId="77777777" w:rsidR="00EC4E49" w:rsidRPr="00AD2B88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FC4B30E" w14:textId="77777777" w:rsidR="00EC4E49" w:rsidRPr="004638AE" w:rsidRDefault="00204B75" w:rsidP="00916EE2">
            <w:r w:rsidRPr="004638AE">
              <w:rPr>
                <w:noProof/>
                <w:lang w:eastAsia="en-US"/>
              </w:rPr>
              <w:drawing>
                <wp:inline distT="0" distB="0" distL="0" distR="0" wp14:anchorId="4E3E6149" wp14:editId="4A270D21">
                  <wp:extent cx="1809750" cy="1343025"/>
                  <wp:effectExtent l="0" t="0" r="0" b="9525"/>
                  <wp:docPr id="2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816090F" w14:textId="77777777" w:rsidR="00EC4E49" w:rsidRPr="004638AE" w:rsidRDefault="00204B75" w:rsidP="00916EE2">
            <w:pPr>
              <w:jc w:val="right"/>
            </w:pPr>
            <w:r w:rsidRPr="004638AE">
              <w:rPr>
                <w:b/>
                <w:sz w:val="40"/>
                <w:szCs w:val="40"/>
              </w:rPr>
              <w:t>R</w:t>
            </w:r>
          </w:p>
        </w:tc>
      </w:tr>
      <w:tr w:rsidR="008B2CC1" w:rsidRPr="004638AE" w14:paraId="1E6A8E31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4FC4EDF" w14:textId="77777777" w:rsidR="008B2CC1" w:rsidRPr="004638AE" w:rsidRDefault="00204B75" w:rsidP="00BD078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638AE">
              <w:rPr>
                <w:rFonts w:ascii="Arial Black" w:hAnsi="Arial Black"/>
                <w:caps/>
                <w:sz w:val="15"/>
              </w:rPr>
              <w:t>R</w:t>
            </w:r>
            <w:r w:rsidR="00BD078D" w:rsidRPr="004638AE">
              <w:rPr>
                <w:rFonts w:ascii="Arial Black" w:hAnsi="Arial Black"/>
                <w:caps/>
                <w:sz w:val="15"/>
              </w:rPr>
              <w:t>PCT/CTC/30</w:t>
            </w:r>
            <w:r w:rsidR="00B75756" w:rsidRPr="004638AE">
              <w:rPr>
                <w:rFonts w:ascii="Arial Black" w:hAnsi="Arial Black"/>
                <w:caps/>
                <w:sz w:val="15"/>
              </w:rPr>
              <w:t>/7</w:t>
            </w:r>
          </w:p>
        </w:tc>
      </w:tr>
      <w:tr w:rsidR="00204B75" w:rsidRPr="004638AE" w14:paraId="6A052C83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8DDA4B8" w14:textId="77777777" w:rsidR="00204B75" w:rsidRPr="004638AE" w:rsidRDefault="00204B75" w:rsidP="00204B7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4638AE">
              <w:rPr>
                <w:rFonts w:ascii="Arial Black" w:hAnsi="Arial Black"/>
                <w:caps/>
                <w:sz w:val="15"/>
                <w:lang w:val="ru-RU"/>
              </w:rPr>
              <w:t xml:space="preserve">оригинал: </w:t>
            </w:r>
            <w:bookmarkStart w:id="0" w:name="Original"/>
            <w:bookmarkEnd w:id="0"/>
            <w:r w:rsidRPr="004638AE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204B75" w:rsidRPr="004638AE" w14:paraId="31BC4351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3899F97" w14:textId="77777777" w:rsidR="00204B75" w:rsidRPr="004638AE" w:rsidRDefault="00204B75" w:rsidP="00204B7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4638AE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bookmarkStart w:id="1" w:name="Date"/>
            <w:bookmarkEnd w:id="1"/>
            <w:r w:rsidRPr="004638AE">
              <w:rPr>
                <w:rFonts w:ascii="Arial Black" w:hAnsi="Arial Black"/>
                <w:caps/>
                <w:sz w:val="15"/>
                <w:lang w:val="ru-RU"/>
              </w:rPr>
              <w:t>16 марта 2017 г.</w:t>
            </w:r>
          </w:p>
        </w:tc>
      </w:tr>
    </w:tbl>
    <w:p w14:paraId="1E6F3DA4" w14:textId="77777777" w:rsidR="008B2CC1" w:rsidRPr="004638AE" w:rsidRDefault="008B2CC1" w:rsidP="008B2CC1"/>
    <w:p w14:paraId="2C9C6D6F" w14:textId="77777777" w:rsidR="008B2CC1" w:rsidRPr="004638AE" w:rsidRDefault="008B2CC1" w:rsidP="008B2CC1"/>
    <w:p w14:paraId="081EFF4A" w14:textId="77777777" w:rsidR="008B2CC1" w:rsidRPr="004638AE" w:rsidRDefault="008B2CC1" w:rsidP="008B2CC1"/>
    <w:p w14:paraId="283463B2" w14:textId="77777777" w:rsidR="008B2CC1" w:rsidRPr="004638AE" w:rsidRDefault="008B2CC1" w:rsidP="008B2CC1"/>
    <w:p w14:paraId="7CE164C6" w14:textId="77777777" w:rsidR="008B2CC1" w:rsidRPr="004638AE" w:rsidRDefault="008B2CC1" w:rsidP="008B2CC1"/>
    <w:p w14:paraId="6DE3FA36" w14:textId="77777777" w:rsidR="00204B75" w:rsidRPr="004638AE" w:rsidRDefault="00204B75" w:rsidP="00204B75">
      <w:pPr>
        <w:rPr>
          <w:b/>
          <w:sz w:val="28"/>
          <w:szCs w:val="28"/>
          <w:lang w:val="ru-RU"/>
        </w:rPr>
      </w:pPr>
      <w:r w:rsidRPr="004638AE">
        <w:rPr>
          <w:b/>
          <w:sz w:val="28"/>
          <w:szCs w:val="28"/>
          <w:lang w:val="ru-RU"/>
        </w:rPr>
        <w:t>Договор о патентной кооперации (РСТ)</w:t>
      </w:r>
    </w:p>
    <w:p w14:paraId="5E02D43D" w14:textId="77777777" w:rsidR="00BD078D" w:rsidRPr="004638AE" w:rsidRDefault="00204B75" w:rsidP="00204B75">
      <w:pPr>
        <w:rPr>
          <w:b/>
          <w:sz w:val="28"/>
          <w:szCs w:val="28"/>
          <w:lang w:val="ru-RU"/>
        </w:rPr>
      </w:pPr>
      <w:r w:rsidRPr="004638AE">
        <w:rPr>
          <w:b/>
          <w:sz w:val="28"/>
          <w:szCs w:val="28"/>
          <w:lang w:val="ru-RU"/>
        </w:rPr>
        <w:t>Комитет по техническому сотрудничеству</w:t>
      </w:r>
    </w:p>
    <w:p w14:paraId="2D951448" w14:textId="77777777" w:rsidR="003845C1" w:rsidRPr="004638AE" w:rsidRDefault="003845C1" w:rsidP="003845C1">
      <w:pPr>
        <w:rPr>
          <w:lang w:val="ru-RU"/>
        </w:rPr>
      </w:pPr>
    </w:p>
    <w:p w14:paraId="4B37EC1E" w14:textId="77777777" w:rsidR="003845C1" w:rsidRPr="004638AE" w:rsidRDefault="003845C1" w:rsidP="003845C1">
      <w:pPr>
        <w:rPr>
          <w:lang w:val="ru-RU"/>
        </w:rPr>
      </w:pPr>
    </w:p>
    <w:p w14:paraId="3B6A0C32" w14:textId="77777777" w:rsidR="00204B75" w:rsidRPr="004638AE" w:rsidRDefault="00204B75" w:rsidP="00204B75">
      <w:pPr>
        <w:rPr>
          <w:b/>
          <w:sz w:val="24"/>
          <w:szCs w:val="24"/>
          <w:lang w:val="ru-RU"/>
        </w:rPr>
      </w:pPr>
      <w:r w:rsidRPr="004638AE">
        <w:rPr>
          <w:b/>
          <w:sz w:val="24"/>
          <w:szCs w:val="24"/>
          <w:lang w:val="ru-RU"/>
        </w:rPr>
        <w:t>Тридцатая сессия</w:t>
      </w:r>
    </w:p>
    <w:p w14:paraId="6E62B713" w14:textId="77777777" w:rsidR="008B2CC1" w:rsidRPr="004638AE" w:rsidRDefault="00204B75" w:rsidP="00204B75">
      <w:pPr>
        <w:rPr>
          <w:b/>
          <w:sz w:val="24"/>
          <w:szCs w:val="24"/>
          <w:lang w:val="ru-RU"/>
        </w:rPr>
      </w:pPr>
      <w:r w:rsidRPr="004638AE">
        <w:rPr>
          <w:b/>
          <w:sz w:val="24"/>
          <w:szCs w:val="24"/>
          <w:lang w:val="ru-RU"/>
        </w:rPr>
        <w:t>Женева, 8 – 12 мая 2017 г.</w:t>
      </w:r>
    </w:p>
    <w:p w14:paraId="5C1636BB" w14:textId="77777777" w:rsidR="008B2CC1" w:rsidRPr="004638AE" w:rsidRDefault="008B2CC1" w:rsidP="008B2CC1">
      <w:pPr>
        <w:rPr>
          <w:lang w:val="ru-RU"/>
        </w:rPr>
      </w:pPr>
    </w:p>
    <w:p w14:paraId="5B3E9440" w14:textId="77777777" w:rsidR="008B2CC1" w:rsidRPr="004638AE" w:rsidRDefault="008B2CC1" w:rsidP="008B2CC1">
      <w:pPr>
        <w:rPr>
          <w:lang w:val="ru-RU"/>
        </w:rPr>
      </w:pPr>
    </w:p>
    <w:p w14:paraId="0ACA3FCF" w14:textId="77777777" w:rsidR="008B2CC1" w:rsidRPr="004638AE" w:rsidRDefault="008B2CC1" w:rsidP="008B2CC1">
      <w:pPr>
        <w:rPr>
          <w:lang w:val="ru-RU"/>
        </w:rPr>
      </w:pPr>
    </w:p>
    <w:p w14:paraId="0BFE928A" w14:textId="77777777" w:rsidR="008B2CC1" w:rsidRPr="004638AE" w:rsidRDefault="00204B75" w:rsidP="008B2CC1">
      <w:pPr>
        <w:rPr>
          <w:caps/>
          <w:sz w:val="24"/>
          <w:lang w:val="ru-RU"/>
        </w:rPr>
      </w:pPr>
      <w:bookmarkStart w:id="2" w:name="TitleOfDoc"/>
      <w:bookmarkEnd w:id="2"/>
      <w:r w:rsidRPr="004638AE">
        <w:rPr>
          <w:caps/>
          <w:sz w:val="24"/>
          <w:szCs w:val="24"/>
          <w:lang w:val="ru-RU"/>
        </w:rPr>
        <w:t>ПРОДЛЕНИЕ НАЗНАЧЕНИЯ</w:t>
      </w:r>
      <w:r w:rsidR="00C650A4" w:rsidRPr="004638AE">
        <w:rPr>
          <w:caps/>
          <w:sz w:val="24"/>
          <w:lang w:val="ru-RU"/>
        </w:rPr>
        <w:t xml:space="preserve"> </w:t>
      </w:r>
      <w:r w:rsidRPr="004638AE">
        <w:rPr>
          <w:caps/>
          <w:sz w:val="24"/>
          <w:lang w:val="ru-RU"/>
        </w:rPr>
        <w:t xml:space="preserve">национального института промышленной собственности чили </w:t>
      </w:r>
      <w:r w:rsidRPr="004638AE">
        <w:rPr>
          <w:caps/>
          <w:sz w:val="24"/>
          <w:szCs w:val="24"/>
          <w:lang w:val="ru-RU"/>
        </w:rPr>
        <w:t xml:space="preserve">в качестве </w:t>
      </w:r>
      <w:r w:rsidRPr="004638AE">
        <w:rPr>
          <w:sz w:val="24"/>
          <w:szCs w:val="24"/>
          <w:lang w:val="ru-RU"/>
        </w:rPr>
        <w:t xml:space="preserve">МЕЖДУНАРОДНОГО ПОИСКОВОГО ОРГАНА И ОРГАНА МЕЖДУНАРОДНОЙ ПРЕДВАРИТЕЛЬНОЙ ЭКСПЕРТИЗЫ В РАМКАХ </w:t>
      </w:r>
      <w:r w:rsidRPr="004638AE">
        <w:rPr>
          <w:caps/>
          <w:sz w:val="24"/>
          <w:szCs w:val="24"/>
          <w:lang w:val="ru-RU"/>
        </w:rPr>
        <w:t>PCT</w:t>
      </w:r>
    </w:p>
    <w:p w14:paraId="40485D4C" w14:textId="77777777" w:rsidR="008B2CC1" w:rsidRPr="004638AE" w:rsidRDefault="008B2CC1" w:rsidP="008B2CC1">
      <w:pPr>
        <w:rPr>
          <w:lang w:val="ru-RU"/>
        </w:rPr>
      </w:pPr>
    </w:p>
    <w:p w14:paraId="33300A0C" w14:textId="77777777" w:rsidR="00204B75" w:rsidRPr="004638AE" w:rsidRDefault="00204B75" w:rsidP="00204B75">
      <w:pPr>
        <w:rPr>
          <w:i/>
          <w:lang w:val="ru-RU"/>
        </w:rPr>
      </w:pPr>
      <w:bookmarkStart w:id="3" w:name="Prepared"/>
      <w:bookmarkEnd w:id="3"/>
      <w:r w:rsidRPr="004638AE">
        <w:rPr>
          <w:i/>
          <w:lang w:val="ru-RU"/>
        </w:rPr>
        <w:t>Документ подготовлен Международным бюро</w:t>
      </w:r>
    </w:p>
    <w:p w14:paraId="54FE353E" w14:textId="77777777" w:rsidR="00AC205C" w:rsidRPr="004638AE" w:rsidRDefault="001F69D2" w:rsidP="001F69D2">
      <w:pPr>
        <w:tabs>
          <w:tab w:val="left" w:pos="7909"/>
        </w:tabs>
      </w:pPr>
      <w:r w:rsidRPr="004638AE">
        <w:tab/>
      </w:r>
    </w:p>
    <w:p w14:paraId="374D5EEB" w14:textId="77777777" w:rsidR="000F5E56" w:rsidRPr="004638AE" w:rsidRDefault="000F5E56"/>
    <w:p w14:paraId="2E3F3D95" w14:textId="77777777" w:rsidR="002928D3" w:rsidRPr="004638AE" w:rsidRDefault="002928D3"/>
    <w:p w14:paraId="4B2A394C" w14:textId="77777777" w:rsidR="002928D3" w:rsidRPr="004638AE" w:rsidRDefault="002928D3" w:rsidP="0053057A"/>
    <w:p w14:paraId="2DE4ECFB" w14:textId="77777777" w:rsidR="005C40A3" w:rsidRPr="004638AE" w:rsidRDefault="00204B75" w:rsidP="005C40A3">
      <w:pPr>
        <w:pStyle w:val="ONUME"/>
        <w:rPr>
          <w:lang w:val="ru-RU"/>
        </w:rPr>
      </w:pPr>
      <w:bookmarkStart w:id="4" w:name="_Ref447032909"/>
      <w:r w:rsidRPr="004638AE">
        <w:rPr>
          <w:lang w:val="ru-RU"/>
        </w:rPr>
        <w:t xml:space="preserve">Все действующие международные органы были назначены Ассамблеей PCT на срок, заканчивающийся 31 декабря 2017 г.  </w:t>
      </w:r>
      <w:bookmarkEnd w:id="4"/>
      <w:r w:rsidRPr="004638AE">
        <w:rPr>
          <w:lang w:val="ru-RU"/>
        </w:rPr>
        <w:t>Как следствие, в 2017 г. Ассамблея должна будет принять решение о продлении назначения каждого из действующих международных органов, который пожелает получить продление срока своего назначения, и для этого предварительно запросить мнение Комитета (см. статьи PCT 16(3)(e) и 32(3)).  Информация о данной процедуре и роли Комитета приводится в документе PCT/CTC/30/INF/1</w:t>
      </w:r>
      <w:r w:rsidR="0035027E" w:rsidRPr="004638AE">
        <w:rPr>
          <w:lang w:val="ru-RU"/>
        </w:rPr>
        <w:t>.</w:t>
      </w:r>
    </w:p>
    <w:p w14:paraId="426420E4" w14:textId="77777777" w:rsidR="005C40A3" w:rsidRPr="004638AE" w:rsidRDefault="00204B75" w:rsidP="00B75756">
      <w:pPr>
        <w:pStyle w:val="ONUME"/>
        <w:rPr>
          <w:lang w:val="ru-RU"/>
        </w:rPr>
      </w:pPr>
      <w:r w:rsidRPr="004638AE">
        <w:rPr>
          <w:lang w:val="ru-RU"/>
        </w:rPr>
        <w:t xml:space="preserve">Национальный институт промышленной собственности Чили подал </w:t>
      </w:r>
      <w:r w:rsidRPr="004638AE">
        <w:rPr>
          <w:szCs w:val="22"/>
          <w:lang w:val="ru-RU"/>
        </w:rPr>
        <w:t>заявление о продлении своего назначения в качестве Международного поискового органа и Органа международной предварительной экспертизы в рамках PCT 1 марта 2017 г.  Данное заявление воспроизводится в приложении к настоящему документу</w:t>
      </w:r>
      <w:r w:rsidR="00AA5F79" w:rsidRPr="004638AE">
        <w:rPr>
          <w:lang w:val="ru-RU"/>
        </w:rPr>
        <w:t>.</w:t>
      </w:r>
    </w:p>
    <w:p w14:paraId="164E9E27" w14:textId="77777777" w:rsidR="005C40A3" w:rsidRPr="004638AE" w:rsidRDefault="00204B75" w:rsidP="0035027E">
      <w:pPr>
        <w:pStyle w:val="ONUME"/>
        <w:tabs>
          <w:tab w:val="left" w:pos="6096"/>
        </w:tabs>
        <w:ind w:left="5533"/>
        <w:rPr>
          <w:i/>
          <w:lang w:val="ru-RU"/>
        </w:rPr>
      </w:pPr>
      <w:r w:rsidRPr="004638AE">
        <w:rPr>
          <w:i/>
          <w:lang w:val="ru-RU"/>
        </w:rPr>
        <w:t>Комитету предлагается высказать свое мнение по данному вопросу</w:t>
      </w:r>
      <w:r w:rsidR="00AA5F79" w:rsidRPr="004638AE">
        <w:rPr>
          <w:i/>
          <w:lang w:val="ru-RU"/>
        </w:rPr>
        <w:t>.</w:t>
      </w:r>
    </w:p>
    <w:p w14:paraId="6115F10B" w14:textId="77777777" w:rsidR="00AA5F79" w:rsidRPr="004638AE" w:rsidRDefault="00AA5F79" w:rsidP="00AA5F79">
      <w:pPr>
        <w:pStyle w:val="ONUME"/>
        <w:numPr>
          <w:ilvl w:val="0"/>
          <w:numId w:val="0"/>
        </w:numPr>
        <w:rPr>
          <w:lang w:val="ru-RU"/>
        </w:rPr>
      </w:pPr>
    </w:p>
    <w:p w14:paraId="21CD19A6" w14:textId="77777777" w:rsidR="00AA5F79" w:rsidRPr="004638AE" w:rsidRDefault="00AA5F79" w:rsidP="00AA5F79">
      <w:pPr>
        <w:pStyle w:val="ONUME"/>
        <w:numPr>
          <w:ilvl w:val="0"/>
          <w:numId w:val="0"/>
        </w:numPr>
        <w:ind w:left="5533"/>
        <w:rPr>
          <w:lang w:val="ru-RU"/>
        </w:rPr>
        <w:sectPr w:rsidR="00AA5F79" w:rsidRPr="004638AE" w:rsidSect="00C650A4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4638AE">
        <w:rPr>
          <w:lang w:val="ru-RU"/>
        </w:rPr>
        <w:t>[</w:t>
      </w:r>
      <w:r w:rsidR="00204B75" w:rsidRPr="004638AE">
        <w:rPr>
          <w:lang w:val="ru-RU"/>
        </w:rPr>
        <w:t>Приложение следует</w:t>
      </w:r>
      <w:r w:rsidRPr="004638AE">
        <w:rPr>
          <w:lang w:val="ru-RU"/>
        </w:rPr>
        <w:t>]</w:t>
      </w:r>
    </w:p>
    <w:p w14:paraId="545DC94C" w14:textId="77777777" w:rsidR="00AA5F79" w:rsidRPr="004638AE" w:rsidRDefault="00204B75" w:rsidP="00AA5F79">
      <w:pPr>
        <w:pStyle w:val="ONUME"/>
        <w:numPr>
          <w:ilvl w:val="0"/>
          <w:numId w:val="0"/>
        </w:numPr>
        <w:jc w:val="center"/>
        <w:rPr>
          <w:caps/>
          <w:lang w:val="ru-RU"/>
        </w:rPr>
      </w:pPr>
      <w:r w:rsidRPr="004638AE">
        <w:rPr>
          <w:lang w:val="ru-RU"/>
        </w:rPr>
        <w:lastRenderedPageBreak/>
        <w:t xml:space="preserve">ЗАЯВЛЕНИЕ </w:t>
      </w:r>
      <w:r w:rsidRPr="004638AE">
        <w:rPr>
          <w:caps/>
          <w:lang w:val="ru-RU"/>
        </w:rPr>
        <w:t>национального института промышленной собственности Чили</w:t>
      </w:r>
      <w:r w:rsidR="00AA5F79" w:rsidRPr="004638AE">
        <w:rPr>
          <w:caps/>
          <w:lang w:val="ru-RU"/>
        </w:rPr>
        <w:t xml:space="preserve"> </w:t>
      </w:r>
      <w:r w:rsidRPr="004638AE">
        <w:rPr>
          <w:lang w:val="ru-RU"/>
        </w:rPr>
        <w:t xml:space="preserve">О ПРОДЛЕНИИ ЕГО </w:t>
      </w:r>
      <w:r w:rsidRPr="004638AE">
        <w:rPr>
          <w:sz w:val="24"/>
          <w:lang w:val="ru-RU"/>
        </w:rPr>
        <w:t xml:space="preserve">НАЗНАЧЕНИЯ В КАЧЕСТВЕ </w:t>
      </w:r>
      <w:r w:rsidRPr="004638AE">
        <w:rPr>
          <w:szCs w:val="22"/>
          <w:lang w:val="ru-RU"/>
        </w:rPr>
        <w:t>МЕЖДУНАРОДНОГО ПОИСКОВОГО ОРГАНА И ОРГАНА МЕЖДУНАРОДНОЙ ПРЕДВАРИТЕЛЬНОЙ ЭКСПЕРТИЗЫ В РАМКАХ</w:t>
      </w:r>
      <w:r w:rsidRPr="004638AE">
        <w:rPr>
          <w:lang w:val="ru-RU"/>
        </w:rPr>
        <w:t xml:space="preserve"> </w:t>
      </w:r>
      <w:r w:rsidRPr="004638AE">
        <w:rPr>
          <w:caps/>
          <w:lang w:val="ru-RU"/>
        </w:rPr>
        <w:t>PCT</w:t>
      </w:r>
    </w:p>
    <w:p w14:paraId="2D005A34" w14:textId="77777777" w:rsidR="00AA5F79" w:rsidRPr="004638AE" w:rsidRDefault="00AA5F79" w:rsidP="00AA5F79">
      <w:pPr>
        <w:pStyle w:val="ONUME"/>
        <w:numPr>
          <w:ilvl w:val="0"/>
          <w:numId w:val="0"/>
        </w:numPr>
        <w:rPr>
          <w:lang w:val="ru-RU"/>
        </w:rPr>
      </w:pPr>
    </w:p>
    <w:p w14:paraId="01913E75" w14:textId="77777777" w:rsidR="00C2526F" w:rsidRPr="004638AE" w:rsidRDefault="00C2526F" w:rsidP="00C2526F">
      <w:pPr>
        <w:pStyle w:val="SectionHeading"/>
        <w:rPr>
          <w:lang w:val="ru-RU"/>
        </w:rPr>
      </w:pPr>
      <w:r w:rsidRPr="004638AE">
        <w:rPr>
          <w:lang w:val="ru-RU"/>
        </w:rPr>
        <w:t>1 – ОБЩИЕ СВЕДЕНИЯ</w:t>
      </w:r>
    </w:p>
    <w:p w14:paraId="3C15BF82" w14:textId="77777777" w:rsidR="00B75756" w:rsidRPr="004638AE" w:rsidRDefault="00C2526F" w:rsidP="00B75756">
      <w:pPr>
        <w:rPr>
          <w:b/>
          <w:bCs/>
          <w:szCs w:val="22"/>
          <w:lang w:val="ru-RU"/>
        </w:rPr>
      </w:pPr>
      <w:r w:rsidRPr="004638AE">
        <w:rPr>
          <w:b/>
          <w:bCs/>
          <w:szCs w:val="22"/>
          <w:lang w:val="ru-RU"/>
        </w:rPr>
        <w:t>Название ведомства или международной организации</w:t>
      </w:r>
      <w:r w:rsidR="00B75756" w:rsidRPr="004638AE">
        <w:rPr>
          <w:b/>
          <w:bCs/>
          <w:szCs w:val="22"/>
          <w:lang w:val="ru-RU"/>
        </w:rPr>
        <w:t xml:space="preserve">:  </w:t>
      </w:r>
    </w:p>
    <w:p w14:paraId="2960B020" w14:textId="77777777" w:rsidR="00B75756" w:rsidRPr="004638AE" w:rsidRDefault="00C2526F" w:rsidP="00B75756">
      <w:pPr>
        <w:rPr>
          <w:lang w:val="ru-RU"/>
        </w:rPr>
      </w:pPr>
      <w:r w:rsidRPr="004638AE">
        <w:rPr>
          <w:lang w:val="ru-RU"/>
        </w:rPr>
        <w:t>Национальный институт промышленной собственности Чили.</w:t>
      </w:r>
    </w:p>
    <w:p w14:paraId="7D518F04" w14:textId="77777777" w:rsidR="00B75756" w:rsidRPr="004638AE" w:rsidRDefault="00B75756" w:rsidP="00B75756">
      <w:pPr>
        <w:rPr>
          <w:lang w:val="ru-RU"/>
        </w:rPr>
      </w:pPr>
    </w:p>
    <w:p w14:paraId="3CE89306" w14:textId="77777777" w:rsidR="00B251A2" w:rsidRPr="004638AE" w:rsidRDefault="00B251A2" w:rsidP="00B251A2">
      <w:pPr>
        <w:rPr>
          <w:lang w:val="ru-RU"/>
        </w:rPr>
      </w:pPr>
      <w:r w:rsidRPr="004638AE">
        <w:rPr>
          <w:lang w:val="ru-RU"/>
        </w:rPr>
        <w:t>Национальный институт промышленной собственности Чили (</w:t>
      </w:r>
      <w:r w:rsidRPr="004638AE">
        <w:t>INAPI</w:t>
      </w:r>
      <w:r w:rsidRPr="004638AE">
        <w:rPr>
          <w:lang w:val="ru-RU"/>
        </w:rPr>
        <w:t xml:space="preserve">) является децентрализованной государственной службой, в техническом и юридическом отношениях отвечающей за оказание любых услуг, связанных с промышленной собственностью, на территории Чили.  </w:t>
      </w:r>
      <w:proofErr w:type="gramStart"/>
      <w:r w:rsidRPr="004638AE">
        <w:t>INAPI</w:t>
      </w:r>
      <w:r w:rsidRPr="004638AE">
        <w:rPr>
          <w:lang w:val="ru-RU"/>
        </w:rPr>
        <w:t xml:space="preserve"> отвечает за обеспечение охраны прав промышленной собственности и распространение технологических знаний и информации.</w:t>
      </w:r>
      <w:proofErr w:type="gramEnd"/>
      <w:r w:rsidRPr="004638AE">
        <w:rPr>
          <w:lang w:val="ru-RU"/>
        </w:rPr>
        <w:t xml:space="preserve">  В числе других обязанностей </w:t>
      </w:r>
      <w:r w:rsidRPr="004638AE">
        <w:t>INAPI</w:t>
      </w:r>
      <w:r w:rsidRPr="004638AE">
        <w:rPr>
          <w:lang w:val="ru-RU"/>
        </w:rPr>
        <w:t xml:space="preserve"> консультирование президента как по внутренним, так и по международным вопросам, касающимся промышленной собственности, и выполнение функций судебного органа первой инстанции в рамках процедур опротестования и признания недействительности.</w:t>
      </w:r>
    </w:p>
    <w:p w14:paraId="415D2FB6" w14:textId="77777777" w:rsidR="00B75756" w:rsidRPr="004638AE" w:rsidRDefault="00B75756" w:rsidP="00B75756">
      <w:pPr>
        <w:rPr>
          <w:lang w:val="ru-RU"/>
        </w:rPr>
      </w:pPr>
    </w:p>
    <w:p w14:paraId="2EFC2D7D" w14:textId="77777777" w:rsidR="00B251A2" w:rsidRPr="004638AE" w:rsidRDefault="00B251A2" w:rsidP="00B251A2">
      <w:pPr>
        <w:rPr>
          <w:lang w:val="ru-RU"/>
        </w:rPr>
      </w:pPr>
      <w:r w:rsidRPr="004638AE">
        <w:t>INAPI</w:t>
      </w:r>
      <w:r w:rsidRPr="004638AE">
        <w:rPr>
          <w:lang w:val="ru-RU"/>
        </w:rPr>
        <w:t xml:space="preserve"> приступил к работе в январе 2009 </w:t>
      </w:r>
      <w:proofErr w:type="gramStart"/>
      <w:r w:rsidRPr="004638AE">
        <w:rPr>
          <w:lang w:val="ru-RU"/>
        </w:rPr>
        <w:t>г.,</w:t>
      </w:r>
      <w:proofErr w:type="gramEnd"/>
      <w:r w:rsidRPr="004638AE">
        <w:rPr>
          <w:lang w:val="ru-RU"/>
        </w:rPr>
        <w:t xml:space="preserve"> заменив бывший Департамент промышленной собственности в составе Министерства экономики.  Создание </w:t>
      </w:r>
      <w:r w:rsidRPr="004638AE">
        <w:t>INAPI</w:t>
      </w:r>
      <w:r w:rsidRPr="004638AE">
        <w:rPr>
          <w:lang w:val="ru-RU"/>
        </w:rPr>
        <w:t xml:space="preserve"> стало важной вехой в развитии чилийской инновационной системы и одной из нескольких принятых правительством Чили важных мер, демонстрирующих его явную приверженность целям содействия инновациям, конкуренции и предпринимательской деятельности посредством охраны интеллектуальной собственности.</w:t>
      </w:r>
    </w:p>
    <w:p w14:paraId="1B69DC1E" w14:textId="77777777" w:rsidR="00B75756" w:rsidRPr="004638AE" w:rsidRDefault="00B75756" w:rsidP="00B75756">
      <w:pPr>
        <w:rPr>
          <w:lang w:val="ru-RU"/>
        </w:rPr>
      </w:pPr>
    </w:p>
    <w:p w14:paraId="472E3E38" w14:textId="77777777" w:rsidR="00B75756" w:rsidRPr="004638AE" w:rsidRDefault="00BC38A3" w:rsidP="00BC38A3">
      <w:pPr>
        <w:rPr>
          <w:lang w:val="ru-RU"/>
        </w:rPr>
      </w:pPr>
      <w:r w:rsidRPr="004638AE">
        <w:rPr>
          <w:lang w:val="ru-RU"/>
        </w:rPr>
        <w:t xml:space="preserve">Выполняя свои функции, </w:t>
      </w:r>
      <w:r w:rsidRPr="004638AE">
        <w:t>INAPI</w:t>
      </w:r>
      <w:r w:rsidRPr="004638AE">
        <w:rPr>
          <w:lang w:val="ru-RU"/>
        </w:rPr>
        <w:t xml:space="preserve"> действует в трех основных областях, за которые отвечают соответствующие организационные подразделения: товарные знаки, патенты и передача знаний (другими организационными подразделениями являются юридический, административный, операционный и финансовый отделы).  Этим отделам помогает группа профессиональных советников директора, занимающихся различными областями политики (напр., законодательство, международная политика, стратегия и государственная политика).</w:t>
      </w:r>
      <w:r w:rsidR="00B75756" w:rsidRPr="004638AE">
        <w:rPr>
          <w:lang w:val="ru-RU"/>
        </w:rPr>
        <w:t xml:space="preserve"> </w:t>
      </w:r>
    </w:p>
    <w:p w14:paraId="5415C395" w14:textId="77777777" w:rsidR="00B75756" w:rsidRPr="004638AE" w:rsidRDefault="00B75756" w:rsidP="00B75756">
      <w:pPr>
        <w:rPr>
          <w:lang w:val="ru-RU"/>
        </w:rPr>
      </w:pPr>
    </w:p>
    <w:p w14:paraId="61FD11C7" w14:textId="77777777" w:rsidR="0020302E" w:rsidRPr="004638AE" w:rsidRDefault="0020302E" w:rsidP="0020302E">
      <w:pPr>
        <w:rPr>
          <w:lang w:val="ru-RU"/>
        </w:rPr>
      </w:pPr>
      <w:r w:rsidRPr="004638AE">
        <w:rPr>
          <w:lang w:val="ru-RU"/>
        </w:rPr>
        <w:t>Что касается основных видов деятельности ведомства, а именно – патентов и товарны</w:t>
      </w:r>
      <w:r w:rsidR="00A76FA6" w:rsidRPr="004638AE">
        <w:rPr>
          <w:lang w:val="ru-RU"/>
        </w:rPr>
        <w:t>х знаков</w:t>
      </w:r>
      <w:r w:rsidRPr="004638AE">
        <w:rPr>
          <w:lang w:val="ru-RU"/>
        </w:rPr>
        <w:t xml:space="preserve">, – юристы, эксперты, технический и административный персонал проводят экспертизу всех заявок, с тем чтобы принять решение о предоставлении или непредоставлении права.  Силами своего Отдела передачи знаний </w:t>
      </w:r>
      <w:r w:rsidRPr="004638AE">
        <w:t>INAPI</w:t>
      </w:r>
      <w:r w:rsidRPr="004638AE">
        <w:rPr>
          <w:lang w:val="ru-RU"/>
        </w:rPr>
        <w:t xml:space="preserve"> стимулирует и способствует использованию промышленной собственности и передаче соответствующих знаний.  Руководствуясь этой целью, в начале 2012 г. </w:t>
      </w:r>
      <w:r w:rsidRPr="004638AE">
        <w:t>INAPI</w:t>
      </w:r>
      <w:r w:rsidRPr="004638AE">
        <w:rPr>
          <w:lang w:val="ru-RU"/>
        </w:rPr>
        <w:t xml:space="preserve"> приступил к использованию </w:t>
      </w:r>
      <w:r w:rsidRPr="004638AE">
        <w:t>INAPI</w:t>
      </w:r>
      <w:r w:rsidRPr="004638AE">
        <w:rPr>
          <w:lang w:val="ru-RU"/>
        </w:rPr>
        <w:t>-</w:t>
      </w:r>
      <w:proofErr w:type="spellStart"/>
      <w:r w:rsidRPr="004638AE">
        <w:t>Proyecta</w:t>
      </w:r>
      <w:proofErr w:type="spellEnd"/>
      <w:r w:rsidRPr="004638AE">
        <w:rPr>
          <w:lang w:val="ru-RU"/>
        </w:rPr>
        <w:t xml:space="preserve"> (</w:t>
      </w:r>
      <w:r w:rsidR="00A7117A">
        <w:fldChar w:fldCharType="begin"/>
      </w:r>
      <w:r w:rsidR="00A7117A">
        <w:instrText xml:space="preserve"> HYPERLINK "http://www.inapiproyecta.cl" </w:instrText>
      </w:r>
      <w:r w:rsidR="00A7117A">
        <w:fldChar w:fldCharType="separate"/>
      </w:r>
      <w:r w:rsidRPr="004638AE">
        <w:rPr>
          <w:rStyle w:val="Hyperlink"/>
        </w:rPr>
        <w:t>www</w:t>
      </w:r>
      <w:r w:rsidRPr="004638AE">
        <w:rPr>
          <w:rStyle w:val="Hyperlink"/>
          <w:lang w:val="ru-RU"/>
        </w:rPr>
        <w:t>.</w:t>
      </w:r>
      <w:proofErr w:type="spellStart"/>
      <w:r w:rsidRPr="004638AE">
        <w:rPr>
          <w:rStyle w:val="Hyperlink"/>
        </w:rPr>
        <w:t>inapiproyecta</w:t>
      </w:r>
      <w:proofErr w:type="spellEnd"/>
      <w:r w:rsidRPr="004638AE">
        <w:rPr>
          <w:rStyle w:val="Hyperlink"/>
          <w:lang w:val="ru-RU"/>
        </w:rPr>
        <w:t>.</w:t>
      </w:r>
      <w:r w:rsidRPr="004638AE">
        <w:rPr>
          <w:rStyle w:val="Hyperlink"/>
        </w:rPr>
        <w:t>cl</w:t>
      </w:r>
      <w:r w:rsidR="00A7117A">
        <w:rPr>
          <w:rStyle w:val="Hyperlink"/>
        </w:rPr>
        <w:fldChar w:fldCharType="end"/>
      </w:r>
      <w:r w:rsidRPr="004638AE">
        <w:rPr>
          <w:lang w:val="ru-RU"/>
        </w:rPr>
        <w:t>), платформы, разработанной совместно с Европейским союзом для облегчения доступа к технологической информации, создания средств и возможностей для более эффективного использования прав промышленной собственности и изучения вопросов интеллектуальной собственности в рамках курсов дистанционного обучения.</w:t>
      </w:r>
    </w:p>
    <w:p w14:paraId="449FF9A7" w14:textId="77777777" w:rsidR="00B75756" w:rsidRPr="004638AE" w:rsidRDefault="00B75756" w:rsidP="00B75756">
      <w:pPr>
        <w:rPr>
          <w:lang w:val="ru-RU"/>
        </w:rPr>
      </w:pPr>
    </w:p>
    <w:p w14:paraId="4EF515B5" w14:textId="77777777" w:rsidR="001E3B34" w:rsidRPr="004638AE" w:rsidRDefault="001E3B34" w:rsidP="001E3B34">
      <w:pPr>
        <w:rPr>
          <w:lang w:val="ru-RU"/>
        </w:rPr>
      </w:pPr>
      <w:r w:rsidRPr="004638AE">
        <w:rPr>
          <w:lang w:val="ru-RU"/>
        </w:rPr>
        <w:t xml:space="preserve">Продолжая эту инициативу, в 2016 г. </w:t>
      </w:r>
      <w:proofErr w:type="gramStart"/>
      <w:r w:rsidRPr="004638AE">
        <w:t>INAPI</w:t>
      </w:r>
      <w:r w:rsidRPr="004638AE">
        <w:rPr>
          <w:lang w:val="ru-RU"/>
        </w:rPr>
        <w:t xml:space="preserve"> начал использовать два новых веб-сервиса для популяризации ИС в обществе.</w:t>
      </w:r>
      <w:proofErr w:type="gramEnd"/>
      <w:r w:rsidRPr="004638AE">
        <w:rPr>
          <w:lang w:val="ru-RU"/>
        </w:rPr>
        <w:t xml:space="preserve">  Первый из них, </w:t>
      </w:r>
      <w:r w:rsidRPr="004638AE">
        <w:t>INAPI</w:t>
      </w:r>
      <w:r w:rsidRPr="004638AE">
        <w:rPr>
          <w:lang w:val="ru-RU"/>
        </w:rPr>
        <w:t xml:space="preserve"> </w:t>
      </w:r>
      <w:proofErr w:type="spellStart"/>
      <w:r w:rsidRPr="004638AE">
        <w:t>Conecta</w:t>
      </w:r>
      <w:proofErr w:type="spellEnd"/>
      <w:r w:rsidRPr="004638AE">
        <w:rPr>
          <w:lang w:val="ru-RU"/>
        </w:rPr>
        <w:t xml:space="preserve"> (</w:t>
      </w:r>
      <w:r w:rsidR="00A7117A">
        <w:fldChar w:fldCharType="begin"/>
      </w:r>
      <w:r w:rsidR="00A7117A" w:rsidRPr="00653338">
        <w:rPr>
          <w:lang w:val="ru-RU"/>
        </w:rPr>
        <w:instrText xml:space="preserve"> </w:instrText>
      </w:r>
      <w:r w:rsidR="00A7117A">
        <w:instrText>HYPERLINK</w:instrText>
      </w:r>
      <w:r w:rsidR="00A7117A" w:rsidRPr="00653338">
        <w:rPr>
          <w:lang w:val="ru-RU"/>
        </w:rPr>
        <w:instrText xml:space="preserve"> "</w:instrText>
      </w:r>
      <w:r w:rsidR="00A7117A">
        <w:instrText>http</w:instrText>
      </w:r>
      <w:r w:rsidR="00A7117A" w:rsidRPr="00653338">
        <w:rPr>
          <w:lang w:val="ru-RU"/>
        </w:rPr>
        <w:instrText>://</w:instrText>
      </w:r>
      <w:r w:rsidR="00A7117A">
        <w:instrText>www</w:instrText>
      </w:r>
      <w:r w:rsidR="00A7117A" w:rsidRPr="00653338">
        <w:rPr>
          <w:lang w:val="ru-RU"/>
        </w:rPr>
        <w:instrText>.</w:instrText>
      </w:r>
      <w:r w:rsidR="00A7117A">
        <w:instrText>inapiconecta</w:instrText>
      </w:r>
      <w:r w:rsidR="00A7117A" w:rsidRPr="00653338">
        <w:rPr>
          <w:lang w:val="ru-RU"/>
        </w:rPr>
        <w:instrText>.</w:instrText>
      </w:r>
      <w:r w:rsidR="00A7117A">
        <w:instrText>cl</w:instrText>
      </w:r>
      <w:r w:rsidR="00A7117A" w:rsidRPr="00653338">
        <w:rPr>
          <w:lang w:val="ru-RU"/>
        </w:rPr>
        <w:instrText xml:space="preserve">" </w:instrText>
      </w:r>
      <w:r w:rsidR="00A7117A">
        <w:fldChar w:fldCharType="separate"/>
      </w:r>
      <w:r w:rsidRPr="004638AE">
        <w:rPr>
          <w:rStyle w:val="Hyperlink"/>
        </w:rPr>
        <w:t>www</w:t>
      </w:r>
      <w:r w:rsidRPr="004638AE">
        <w:rPr>
          <w:rStyle w:val="Hyperlink"/>
          <w:lang w:val="ru-RU"/>
        </w:rPr>
        <w:t>.</w:t>
      </w:r>
      <w:proofErr w:type="spellStart"/>
      <w:r w:rsidRPr="004638AE">
        <w:rPr>
          <w:rStyle w:val="Hyperlink"/>
        </w:rPr>
        <w:t>inapiconecta</w:t>
      </w:r>
      <w:proofErr w:type="spellEnd"/>
      <w:r w:rsidRPr="004638AE">
        <w:rPr>
          <w:rStyle w:val="Hyperlink"/>
          <w:lang w:val="ru-RU"/>
        </w:rPr>
        <w:t>.</w:t>
      </w:r>
      <w:r w:rsidRPr="004638AE">
        <w:rPr>
          <w:rStyle w:val="Hyperlink"/>
        </w:rPr>
        <w:t>cl</w:t>
      </w:r>
      <w:r w:rsidR="00A7117A">
        <w:rPr>
          <w:rStyle w:val="Hyperlink"/>
        </w:rPr>
        <w:fldChar w:fldCharType="end"/>
      </w:r>
      <w:r w:rsidRPr="004638AE">
        <w:rPr>
          <w:lang w:val="ru-RU"/>
        </w:rPr>
        <w:t xml:space="preserve">), представляет собой веб-сервис, при помощи которого заявитель загружает столько информации, имеющей отношение к подаваемой заявке, сколько считает нужным, с тем чтобы наладить связь с любым заинтересованным инвестором, который также регистрируется на этом же веб-сайте и благодаря этому имеет доступ к публикуемой на нем информации.  Таким образом </w:t>
      </w:r>
      <w:r w:rsidRPr="004638AE">
        <w:t>INAPI</w:t>
      </w:r>
      <w:r w:rsidRPr="004638AE">
        <w:rPr>
          <w:lang w:val="ru-RU"/>
        </w:rPr>
        <w:t xml:space="preserve"> </w:t>
      </w:r>
      <w:proofErr w:type="spellStart"/>
      <w:r w:rsidRPr="004638AE">
        <w:t>Conecta</w:t>
      </w:r>
      <w:proofErr w:type="spellEnd"/>
      <w:r w:rsidRPr="004638AE">
        <w:rPr>
          <w:lang w:val="ru-RU"/>
        </w:rPr>
        <w:t xml:space="preserve"> служит связующим звеном между </w:t>
      </w:r>
      <w:r w:rsidRPr="004638AE">
        <w:rPr>
          <w:lang w:val="ru-RU"/>
        </w:rPr>
        <w:lastRenderedPageBreak/>
        <w:t>заявителями и потенциальными инвесторами, что позволяет планировать стратегию в отношении лицензирования, передачи прав и проведения любых других необходимых им операций с правами ИС.</w:t>
      </w:r>
    </w:p>
    <w:p w14:paraId="5861A71E" w14:textId="77777777" w:rsidR="00B75756" w:rsidRPr="004638AE" w:rsidRDefault="00B75756" w:rsidP="00B75756">
      <w:pPr>
        <w:rPr>
          <w:lang w:val="ru-RU"/>
        </w:rPr>
      </w:pPr>
    </w:p>
    <w:p w14:paraId="35550144" w14:textId="55D4480A" w:rsidR="00B75756" w:rsidRPr="004638AE" w:rsidRDefault="001E3B34" w:rsidP="00B75756">
      <w:pPr>
        <w:rPr>
          <w:lang w:val="ru-RU"/>
        </w:rPr>
      </w:pPr>
      <w:r w:rsidRPr="004638AE">
        <w:rPr>
          <w:lang w:val="ru-RU"/>
        </w:rPr>
        <w:t xml:space="preserve">Еще одним веб-сервисом, недавно созданным </w:t>
      </w:r>
      <w:r w:rsidRPr="004638AE">
        <w:t>INAPI</w:t>
      </w:r>
      <w:r w:rsidRPr="004638AE">
        <w:rPr>
          <w:lang w:val="ru-RU"/>
        </w:rPr>
        <w:t xml:space="preserve">, является </w:t>
      </w:r>
      <w:r w:rsidR="00B75756" w:rsidRPr="004638AE">
        <w:t>INAPI</w:t>
      </w:r>
      <w:r w:rsidR="00B75756" w:rsidRPr="004638AE">
        <w:rPr>
          <w:lang w:val="ru-RU"/>
        </w:rPr>
        <w:t xml:space="preserve"> </w:t>
      </w:r>
      <w:proofErr w:type="spellStart"/>
      <w:r w:rsidR="00B75756" w:rsidRPr="004638AE">
        <w:t>Analiza</w:t>
      </w:r>
      <w:proofErr w:type="spellEnd"/>
      <w:r w:rsidR="00B75756" w:rsidRPr="004638AE">
        <w:rPr>
          <w:lang w:val="ru-RU"/>
        </w:rPr>
        <w:t xml:space="preserve"> (</w:t>
      </w:r>
      <w:r w:rsidR="00A7117A">
        <w:fldChar w:fldCharType="begin"/>
      </w:r>
      <w:r w:rsidR="00A7117A" w:rsidRPr="00653338">
        <w:rPr>
          <w:lang w:val="ru-RU"/>
        </w:rPr>
        <w:instrText xml:space="preserve"> </w:instrText>
      </w:r>
      <w:r w:rsidR="00A7117A">
        <w:instrText>HYPERLIN</w:instrText>
      </w:r>
      <w:r w:rsidR="00A7117A">
        <w:instrText>K</w:instrText>
      </w:r>
      <w:r w:rsidR="00A7117A" w:rsidRPr="00653338">
        <w:rPr>
          <w:lang w:val="ru-RU"/>
        </w:rPr>
        <w:instrText xml:space="preserve"> "</w:instrText>
      </w:r>
      <w:r w:rsidR="00A7117A">
        <w:instrText>http</w:instrText>
      </w:r>
      <w:r w:rsidR="00A7117A" w:rsidRPr="00653338">
        <w:rPr>
          <w:lang w:val="ru-RU"/>
        </w:rPr>
        <w:instrText>://</w:instrText>
      </w:r>
      <w:r w:rsidR="00A7117A">
        <w:instrText>www</w:instrText>
      </w:r>
      <w:r w:rsidR="00A7117A" w:rsidRPr="00653338">
        <w:rPr>
          <w:lang w:val="ru-RU"/>
        </w:rPr>
        <w:instrText>.</w:instrText>
      </w:r>
      <w:r w:rsidR="00A7117A">
        <w:instrText>inapi</w:instrText>
      </w:r>
      <w:r w:rsidR="00A7117A" w:rsidRPr="00653338">
        <w:rPr>
          <w:lang w:val="ru-RU"/>
        </w:rPr>
        <w:instrText>.</w:instrText>
      </w:r>
      <w:r w:rsidR="00A7117A">
        <w:instrText>cl</w:instrText>
      </w:r>
      <w:r w:rsidR="00A7117A" w:rsidRPr="00653338">
        <w:rPr>
          <w:lang w:val="ru-RU"/>
        </w:rPr>
        <w:instrText>/</w:instrText>
      </w:r>
      <w:r w:rsidR="00A7117A">
        <w:instrText>portal</w:instrText>
      </w:r>
      <w:r w:rsidR="00A7117A" w:rsidRPr="00653338">
        <w:rPr>
          <w:lang w:val="ru-RU"/>
        </w:rPr>
        <w:instrText>/</w:instrText>
      </w:r>
      <w:r w:rsidR="00A7117A">
        <w:instrText>publicaciones</w:instrText>
      </w:r>
      <w:r w:rsidR="00A7117A" w:rsidRPr="00653338">
        <w:rPr>
          <w:lang w:val="ru-RU"/>
        </w:rPr>
        <w:instrText>/608/</w:instrText>
      </w:r>
      <w:r w:rsidR="00A7117A">
        <w:instrText>w</w:instrText>
      </w:r>
      <w:r w:rsidR="00A7117A" w:rsidRPr="00653338">
        <w:rPr>
          <w:lang w:val="ru-RU"/>
        </w:rPr>
        <w:instrText>3-</w:instrText>
      </w:r>
      <w:r w:rsidR="00A7117A">
        <w:instrText>propertyvalue</w:instrText>
      </w:r>
      <w:r w:rsidR="00A7117A" w:rsidRPr="00653338">
        <w:rPr>
          <w:lang w:val="ru-RU"/>
        </w:rPr>
        <w:instrText>-12030.</w:instrText>
      </w:r>
      <w:r w:rsidR="00A7117A">
        <w:instrText>html</w:instrText>
      </w:r>
      <w:r w:rsidR="00A7117A" w:rsidRPr="00653338">
        <w:rPr>
          <w:lang w:val="ru-RU"/>
        </w:rPr>
        <w:instrText xml:space="preserve">" </w:instrText>
      </w:r>
      <w:r w:rsidR="00A7117A">
        <w:fldChar w:fldCharType="separate"/>
      </w:r>
      <w:r w:rsidR="00B75756" w:rsidRPr="004638AE">
        <w:rPr>
          <w:rStyle w:val="Hyperlink"/>
        </w:rPr>
        <w:t>http</w:t>
      </w:r>
      <w:r w:rsidR="00B75756" w:rsidRPr="004638AE">
        <w:rPr>
          <w:rStyle w:val="Hyperlink"/>
          <w:lang w:val="ru-RU"/>
        </w:rPr>
        <w:t>://</w:t>
      </w:r>
      <w:r w:rsidR="00B75756" w:rsidRPr="004638AE">
        <w:rPr>
          <w:rStyle w:val="Hyperlink"/>
        </w:rPr>
        <w:t>www</w:t>
      </w:r>
      <w:r w:rsidR="00B75756" w:rsidRPr="004638AE">
        <w:rPr>
          <w:rStyle w:val="Hyperlink"/>
          <w:lang w:val="ru-RU"/>
        </w:rPr>
        <w:t>.</w:t>
      </w:r>
      <w:proofErr w:type="spellStart"/>
      <w:r w:rsidR="00B75756" w:rsidRPr="004638AE">
        <w:rPr>
          <w:rStyle w:val="Hyperlink"/>
        </w:rPr>
        <w:t>inapi</w:t>
      </w:r>
      <w:proofErr w:type="spellEnd"/>
      <w:r w:rsidR="00B75756" w:rsidRPr="004638AE">
        <w:rPr>
          <w:rStyle w:val="Hyperlink"/>
          <w:lang w:val="ru-RU"/>
        </w:rPr>
        <w:t>.</w:t>
      </w:r>
      <w:r w:rsidR="00B75756" w:rsidRPr="004638AE">
        <w:rPr>
          <w:rStyle w:val="Hyperlink"/>
        </w:rPr>
        <w:t>cl</w:t>
      </w:r>
      <w:r w:rsidR="00B75756" w:rsidRPr="004638AE">
        <w:rPr>
          <w:rStyle w:val="Hyperlink"/>
          <w:lang w:val="ru-RU"/>
        </w:rPr>
        <w:t>/</w:t>
      </w:r>
      <w:r w:rsidR="00B75756" w:rsidRPr="004638AE">
        <w:rPr>
          <w:rStyle w:val="Hyperlink"/>
        </w:rPr>
        <w:t>portal</w:t>
      </w:r>
      <w:r w:rsidR="00B75756" w:rsidRPr="004638AE">
        <w:rPr>
          <w:rStyle w:val="Hyperlink"/>
          <w:lang w:val="ru-RU"/>
        </w:rPr>
        <w:t>/</w:t>
      </w:r>
      <w:proofErr w:type="spellStart"/>
      <w:r w:rsidR="00B75756" w:rsidRPr="004638AE">
        <w:rPr>
          <w:rStyle w:val="Hyperlink"/>
        </w:rPr>
        <w:t>publicaciones</w:t>
      </w:r>
      <w:proofErr w:type="spellEnd"/>
      <w:r w:rsidR="00B75756" w:rsidRPr="004638AE">
        <w:rPr>
          <w:rStyle w:val="Hyperlink"/>
          <w:lang w:val="ru-RU"/>
        </w:rPr>
        <w:t>/608/</w:t>
      </w:r>
      <w:r w:rsidR="00B75756" w:rsidRPr="004638AE">
        <w:rPr>
          <w:rStyle w:val="Hyperlink"/>
        </w:rPr>
        <w:t>w</w:t>
      </w:r>
      <w:r w:rsidR="00B75756" w:rsidRPr="004638AE">
        <w:rPr>
          <w:rStyle w:val="Hyperlink"/>
          <w:lang w:val="ru-RU"/>
        </w:rPr>
        <w:t>3-</w:t>
      </w:r>
      <w:proofErr w:type="spellStart"/>
      <w:r w:rsidR="00B75756" w:rsidRPr="004638AE">
        <w:rPr>
          <w:rStyle w:val="Hyperlink"/>
        </w:rPr>
        <w:t>propertyvalue</w:t>
      </w:r>
      <w:proofErr w:type="spellEnd"/>
      <w:r w:rsidR="00B75756" w:rsidRPr="004638AE">
        <w:rPr>
          <w:rStyle w:val="Hyperlink"/>
          <w:lang w:val="ru-RU"/>
        </w:rPr>
        <w:t>-12030.</w:t>
      </w:r>
      <w:r w:rsidR="00B75756" w:rsidRPr="004638AE">
        <w:rPr>
          <w:rStyle w:val="Hyperlink"/>
        </w:rPr>
        <w:t>html</w:t>
      </w:r>
      <w:r w:rsidR="00A7117A">
        <w:rPr>
          <w:rStyle w:val="Hyperlink"/>
        </w:rPr>
        <w:fldChar w:fldCharType="end"/>
      </w:r>
      <w:r w:rsidR="00B75756" w:rsidRPr="004638AE">
        <w:rPr>
          <w:lang w:val="ru-RU"/>
        </w:rPr>
        <w:t>)</w:t>
      </w:r>
      <w:r w:rsidR="00C057C4" w:rsidRPr="004638AE">
        <w:rPr>
          <w:lang w:val="ru-RU"/>
        </w:rPr>
        <w:t xml:space="preserve">, статистический инструмент, позволяющий получать информацию о заявках, полученных </w:t>
      </w:r>
      <w:r w:rsidR="00C057C4" w:rsidRPr="004638AE">
        <w:t>INAPI</w:t>
      </w:r>
      <w:r w:rsidR="00C057C4" w:rsidRPr="004638AE">
        <w:rPr>
          <w:lang w:val="ru-RU"/>
        </w:rPr>
        <w:t xml:space="preserve"> за последние 25 лет, а также статистические данные о чилийских заявителях за рубежом.  Этот веб-сервис обеспечивает, среди прочего, получение информации в разбивке по странам происхождения и классификацию поданных заявок.  Он позволяет классифицировать заявки по годам их подачи, что дает пользователю возможность анализировать произошедшие с течением лет изменения в технологических тенденциях.  Этот инструмент </w:t>
      </w:r>
      <w:r w:rsidR="00DE7E45" w:rsidRPr="004638AE">
        <w:rPr>
          <w:lang w:val="ru-RU"/>
        </w:rPr>
        <w:t xml:space="preserve">позволяет получать данные </w:t>
      </w:r>
      <w:r w:rsidR="00C057C4" w:rsidRPr="004638AE">
        <w:t>PCT</w:t>
      </w:r>
      <w:r w:rsidR="00C057C4" w:rsidRPr="004638AE">
        <w:rPr>
          <w:lang w:val="ru-RU"/>
        </w:rPr>
        <w:t xml:space="preserve">, как </w:t>
      </w:r>
      <w:r w:rsidR="00551012" w:rsidRPr="004638AE">
        <w:rPr>
          <w:lang w:val="ru-RU"/>
        </w:rPr>
        <w:t xml:space="preserve">от получающего ведомства, так и от </w:t>
      </w:r>
      <w:r w:rsidR="00C057C4" w:rsidRPr="004638AE">
        <w:t>INAPI</w:t>
      </w:r>
      <w:r w:rsidR="00551012" w:rsidRPr="004638AE">
        <w:rPr>
          <w:lang w:val="ru-RU"/>
        </w:rPr>
        <w:t>, действующего</w:t>
      </w:r>
      <w:r w:rsidR="00C057C4" w:rsidRPr="004638AE">
        <w:rPr>
          <w:lang w:val="ru-RU"/>
        </w:rPr>
        <w:t xml:space="preserve"> в качестве Международного органа, </w:t>
      </w:r>
      <w:r w:rsidR="00551012" w:rsidRPr="004638AE">
        <w:rPr>
          <w:lang w:val="ru-RU"/>
        </w:rPr>
        <w:t xml:space="preserve">которые служат полезным источником информации </w:t>
      </w:r>
      <w:r w:rsidR="00C057C4" w:rsidRPr="004638AE">
        <w:rPr>
          <w:lang w:val="ru-RU"/>
        </w:rPr>
        <w:t xml:space="preserve">о стране происхождения, </w:t>
      </w:r>
      <w:r w:rsidR="00570359">
        <w:rPr>
          <w:lang w:val="ru-RU"/>
        </w:rPr>
        <w:t>типе</w:t>
      </w:r>
      <w:r w:rsidR="00C057C4" w:rsidRPr="004638AE">
        <w:rPr>
          <w:lang w:val="ru-RU"/>
        </w:rPr>
        <w:t xml:space="preserve"> заявителя, области техники, применительно к которой подана заявка, и о процедуре подачи заявки, а также любую другую интересующую пользователя информацию.</w:t>
      </w:r>
    </w:p>
    <w:p w14:paraId="191E5F9A" w14:textId="77777777" w:rsidR="00B75756" w:rsidRPr="004638AE" w:rsidRDefault="00B75756" w:rsidP="00B75756">
      <w:pPr>
        <w:rPr>
          <w:lang w:val="ru-RU"/>
        </w:rPr>
      </w:pPr>
    </w:p>
    <w:p w14:paraId="7F135930" w14:textId="6C2D9FC5" w:rsidR="006A3637" w:rsidRPr="004638AE" w:rsidRDefault="006A3637" w:rsidP="006A3637">
      <w:pPr>
        <w:tabs>
          <w:tab w:val="left" w:pos="3110"/>
        </w:tabs>
        <w:rPr>
          <w:lang w:val="ru-RU"/>
        </w:rPr>
      </w:pPr>
      <w:r w:rsidRPr="004638AE">
        <w:rPr>
          <w:lang w:val="ru-RU"/>
        </w:rPr>
        <w:t xml:space="preserve">Выполняя свои функции, </w:t>
      </w:r>
      <w:r w:rsidRPr="004638AE">
        <w:t>INAPI</w:t>
      </w:r>
      <w:r w:rsidRPr="004638AE">
        <w:rPr>
          <w:lang w:val="ru-RU"/>
        </w:rPr>
        <w:t xml:space="preserve"> привлекает экспертов в области интеллектуальной собственности, </w:t>
      </w:r>
      <w:r w:rsidR="00551012" w:rsidRPr="004638AE">
        <w:rPr>
          <w:lang w:val="ru-RU"/>
        </w:rPr>
        <w:t>которые занимаются</w:t>
      </w:r>
      <w:r w:rsidRPr="004638AE">
        <w:rPr>
          <w:lang w:val="ru-RU"/>
        </w:rPr>
        <w:t xml:space="preserve"> разработкой новых законодательных актов о промышленной собственности, в том числе проекта нового закона о промышленной собственности, представленного Конгрессу, </w:t>
      </w:r>
      <w:r w:rsidR="00551012" w:rsidRPr="004638AE">
        <w:rPr>
          <w:lang w:val="ru-RU"/>
        </w:rPr>
        <w:t>составляют</w:t>
      </w:r>
      <w:r w:rsidRPr="004638AE">
        <w:rPr>
          <w:lang w:val="ru-RU"/>
        </w:rPr>
        <w:t xml:space="preserve"> технические заключения по различным международным вопросам и консультирую</w:t>
      </w:r>
      <w:r w:rsidR="00551012" w:rsidRPr="004638AE">
        <w:rPr>
          <w:lang w:val="ru-RU"/>
        </w:rPr>
        <w:t>т</w:t>
      </w:r>
      <w:r w:rsidRPr="004638AE">
        <w:rPr>
          <w:lang w:val="ru-RU"/>
        </w:rPr>
        <w:t xml:space="preserve"> другие государственные ведомства по вопросам интеллектуальной собственности.</w:t>
      </w:r>
    </w:p>
    <w:p w14:paraId="4FB29F9A" w14:textId="77777777" w:rsidR="00B75756" w:rsidRPr="004638AE" w:rsidRDefault="00B75756" w:rsidP="00B75756">
      <w:pPr>
        <w:rPr>
          <w:lang w:val="ru-RU"/>
        </w:rPr>
      </w:pPr>
    </w:p>
    <w:p w14:paraId="4EA32586" w14:textId="5D2F47DD" w:rsidR="004A410A" w:rsidRPr="004638AE" w:rsidRDefault="004A410A" w:rsidP="004A410A">
      <w:pPr>
        <w:rPr>
          <w:lang w:val="ru-RU"/>
        </w:rPr>
      </w:pPr>
      <w:r w:rsidRPr="004638AE">
        <w:rPr>
          <w:lang w:val="ru-RU"/>
        </w:rPr>
        <w:t xml:space="preserve">В дополнение ко всему вышеназванному, </w:t>
      </w:r>
      <w:r w:rsidRPr="004638AE">
        <w:t>INAPI</w:t>
      </w:r>
      <w:r w:rsidRPr="004638AE">
        <w:rPr>
          <w:lang w:val="ru-RU"/>
        </w:rPr>
        <w:t xml:space="preserve"> реализовал ряд программ, целью которых была разработка качественно новой, стабильной и динамичной платформы</w:t>
      </w:r>
      <w:r w:rsidR="00551012" w:rsidRPr="004638AE">
        <w:rPr>
          <w:lang w:val="ru-RU"/>
        </w:rPr>
        <w:t xml:space="preserve">, </w:t>
      </w:r>
      <w:r w:rsidRPr="004638AE">
        <w:rPr>
          <w:lang w:val="ru-RU"/>
        </w:rPr>
        <w:t xml:space="preserve">позволяющей оформлять права промышленной собственности полностью в онлайновом режиме.  </w:t>
      </w:r>
    </w:p>
    <w:p w14:paraId="5E169710" w14:textId="77777777" w:rsidR="00B75756" w:rsidRPr="004638AE" w:rsidRDefault="00B75756" w:rsidP="00B75756">
      <w:pPr>
        <w:rPr>
          <w:lang w:val="ru-RU"/>
        </w:rPr>
      </w:pPr>
    </w:p>
    <w:p w14:paraId="23AE309C" w14:textId="77777777" w:rsidR="00B75756" w:rsidRPr="004638AE" w:rsidRDefault="00C2526F" w:rsidP="00B75756">
      <w:pPr>
        <w:rPr>
          <w:lang w:val="ru-RU"/>
        </w:rPr>
      </w:pPr>
      <w:r w:rsidRPr="004638AE">
        <w:rPr>
          <w:b/>
          <w:lang w:val="ru-RU"/>
        </w:rPr>
        <w:t>Дата получения Генеральным директором заявления о назначении</w:t>
      </w:r>
      <w:r w:rsidR="00B75756" w:rsidRPr="004638AE">
        <w:rPr>
          <w:b/>
          <w:lang w:val="ru-RU"/>
        </w:rPr>
        <w:t>:</w:t>
      </w:r>
      <w:r w:rsidR="00B75756" w:rsidRPr="004638AE">
        <w:rPr>
          <w:lang w:val="ru-RU"/>
        </w:rPr>
        <w:t xml:space="preserve">  </w:t>
      </w:r>
      <w:r w:rsidRPr="004638AE">
        <w:rPr>
          <w:lang w:val="ru-RU"/>
        </w:rPr>
        <w:t>1 марта 2017 г.</w:t>
      </w:r>
    </w:p>
    <w:p w14:paraId="6C8B8472" w14:textId="77777777" w:rsidR="00B75756" w:rsidRPr="004638AE" w:rsidRDefault="00B75756" w:rsidP="00B75756">
      <w:pPr>
        <w:rPr>
          <w:lang w:val="ru-RU"/>
        </w:rPr>
      </w:pPr>
    </w:p>
    <w:p w14:paraId="3F64F6F6" w14:textId="77777777" w:rsidR="00B75756" w:rsidRPr="004638AE" w:rsidRDefault="00C2526F" w:rsidP="00B75756">
      <w:pPr>
        <w:rPr>
          <w:lang w:val="ru-RU"/>
        </w:rPr>
      </w:pPr>
      <w:r w:rsidRPr="004638AE">
        <w:rPr>
          <w:b/>
          <w:bCs/>
          <w:szCs w:val="22"/>
          <w:lang w:val="ru-RU"/>
        </w:rPr>
        <w:t>Сессия Ассамблеи, на которой будет рассмотрен вопрос о назначении</w:t>
      </w:r>
      <w:r w:rsidR="00B75756" w:rsidRPr="004638AE">
        <w:rPr>
          <w:b/>
          <w:lang w:val="ru-RU"/>
        </w:rPr>
        <w:t>:</w:t>
      </w:r>
      <w:r w:rsidR="00B75756" w:rsidRPr="004638AE">
        <w:rPr>
          <w:lang w:val="ru-RU"/>
        </w:rPr>
        <w:t xml:space="preserve">  </w:t>
      </w:r>
      <w:r w:rsidRPr="004638AE">
        <w:rPr>
          <w:lang w:val="ru-RU"/>
        </w:rPr>
        <w:t xml:space="preserve">Ассамблея Союза </w:t>
      </w:r>
      <w:r w:rsidRPr="004638AE">
        <w:t>PCT</w:t>
      </w:r>
      <w:r w:rsidRPr="004638AE">
        <w:rPr>
          <w:lang w:val="ru-RU"/>
        </w:rPr>
        <w:t>,</w:t>
      </w:r>
      <w:r w:rsidR="00B75756" w:rsidRPr="004638AE">
        <w:rPr>
          <w:lang w:val="ru-RU"/>
        </w:rPr>
        <w:t xml:space="preserve"> 2017</w:t>
      </w:r>
      <w:r w:rsidRPr="004638AE">
        <w:rPr>
          <w:lang w:val="ru-RU"/>
        </w:rPr>
        <w:t xml:space="preserve"> г.</w:t>
      </w:r>
    </w:p>
    <w:p w14:paraId="1F63046D" w14:textId="77777777" w:rsidR="00B75756" w:rsidRPr="004638AE" w:rsidRDefault="00B75756" w:rsidP="00B75756">
      <w:pPr>
        <w:rPr>
          <w:lang w:val="ru-RU"/>
        </w:rPr>
      </w:pPr>
    </w:p>
    <w:p w14:paraId="34AD80E5" w14:textId="1F56BB32" w:rsidR="00B75756" w:rsidRPr="004638AE" w:rsidRDefault="00C2526F" w:rsidP="00B75756">
      <w:pPr>
        <w:rPr>
          <w:lang w:val="ru-RU"/>
        </w:rPr>
      </w:pPr>
      <w:r w:rsidRPr="004638AE">
        <w:rPr>
          <w:b/>
          <w:bCs/>
          <w:szCs w:val="22"/>
          <w:lang w:val="ru-RU"/>
        </w:rPr>
        <w:t>Предполагаемая дата начала работы в качестве МПО/ОМПЭ</w:t>
      </w:r>
      <w:r w:rsidR="00B75756" w:rsidRPr="004638AE">
        <w:rPr>
          <w:b/>
          <w:lang w:val="ru-RU"/>
        </w:rPr>
        <w:t>:</w:t>
      </w:r>
      <w:r w:rsidR="00B75756" w:rsidRPr="004638AE">
        <w:rPr>
          <w:lang w:val="ru-RU"/>
        </w:rPr>
        <w:t xml:space="preserve">  </w:t>
      </w:r>
      <w:r w:rsidR="004A410A" w:rsidRPr="004638AE">
        <w:rPr>
          <w:lang w:val="ru-RU"/>
        </w:rPr>
        <w:t>Уже действует в качестве Международного поискового органа и Органа международной предварительной экспертизы (МПО/ОМПЭ), начиная с 22 октября 2014 г.</w:t>
      </w:r>
    </w:p>
    <w:p w14:paraId="7F36ACFA" w14:textId="77777777" w:rsidR="00C2526F" w:rsidRPr="004638AE" w:rsidRDefault="00C2526F" w:rsidP="00C2526F">
      <w:pPr>
        <w:pStyle w:val="SectionHeading"/>
        <w:rPr>
          <w:lang w:val="ru-RU"/>
        </w:rPr>
      </w:pPr>
      <w:r w:rsidRPr="004638AE">
        <w:rPr>
          <w:lang w:val="ru-RU"/>
        </w:rPr>
        <w:t>2 – основные критерии:  минимум требований к МПО/ОМПЭ</w:t>
      </w:r>
    </w:p>
    <w:p w14:paraId="6F96E037" w14:textId="77777777" w:rsidR="00B75756" w:rsidRPr="004638AE" w:rsidRDefault="00B75756" w:rsidP="00B75756">
      <w:pPr>
        <w:rPr>
          <w:lang w:val="ru-RU"/>
        </w:rPr>
      </w:pPr>
    </w:p>
    <w:p w14:paraId="0A247F51" w14:textId="77777777" w:rsidR="00C2526F" w:rsidRPr="004638AE" w:rsidRDefault="00C2526F" w:rsidP="00C2526F">
      <w:pPr>
        <w:pStyle w:val="SectionHeading"/>
        <w:spacing w:before="0"/>
        <w:rPr>
          <w:lang w:val="ru-RU"/>
        </w:rPr>
      </w:pPr>
      <w:r w:rsidRPr="004638AE">
        <w:rPr>
          <w:lang w:val="ru-RU"/>
        </w:rPr>
        <w:t>2.1 – ВОЗМОЖНОСТИ ДЛЯ ПРОВЕДЕНИЯ ПОИСКА И ЭКСПЕРТИЗЫ</w:t>
      </w:r>
    </w:p>
    <w:p w14:paraId="3534F81B" w14:textId="77777777" w:rsidR="00C2526F" w:rsidRPr="004638AE" w:rsidRDefault="00C2526F" w:rsidP="00C2526F">
      <w:pPr>
        <w:rPr>
          <w:b/>
          <w:i/>
          <w:lang w:val="ru-RU"/>
        </w:rPr>
      </w:pPr>
      <w:r w:rsidRPr="004638AE">
        <w:rPr>
          <w:b/>
          <w:bCs/>
          <w:i/>
          <w:iCs/>
          <w:lang w:val="ru-RU"/>
        </w:rPr>
        <w:t>Правила 36.1(i) и 63.1(i):  Национальное ведомство или межправительственная организация должна иметь, по крайней мере, 100 сотрудников, занятых полную рабочую неделю и обладающих достаточной технической квалификацией для проведения экспертизы</w:t>
      </w:r>
      <w:r w:rsidRPr="004638AE">
        <w:rPr>
          <w:b/>
          <w:i/>
          <w:lang w:val="ru-RU"/>
        </w:rPr>
        <w:t>.</w:t>
      </w:r>
    </w:p>
    <w:p w14:paraId="4C1EE7B1" w14:textId="77777777" w:rsidR="00B75756" w:rsidRPr="004638AE" w:rsidRDefault="00B75756" w:rsidP="00B75756">
      <w:pPr>
        <w:keepNext/>
        <w:keepLines/>
        <w:rPr>
          <w:b/>
          <w:bCs/>
          <w:szCs w:val="22"/>
          <w:lang w:val="ru-RU"/>
        </w:rPr>
      </w:pPr>
    </w:p>
    <w:p w14:paraId="58AB60DE" w14:textId="77777777" w:rsidR="00B75756" w:rsidRPr="004638AE" w:rsidRDefault="00C2526F" w:rsidP="00B75756">
      <w:pPr>
        <w:keepNext/>
        <w:keepLines/>
        <w:rPr>
          <w:b/>
          <w:bCs/>
          <w:szCs w:val="22"/>
          <w:lang w:val="ru-RU"/>
        </w:rPr>
      </w:pPr>
      <w:r w:rsidRPr="004638AE">
        <w:rPr>
          <w:b/>
          <w:bCs/>
          <w:szCs w:val="22"/>
          <w:lang w:val="ru-RU"/>
        </w:rPr>
        <w:t xml:space="preserve">Количество сотрудников, обладающих квалификацией для проведения </w:t>
      </w:r>
      <w:r w:rsidRPr="004638AE">
        <w:rPr>
          <w:b/>
          <w:lang w:val="ru-RU"/>
        </w:rPr>
        <w:t>поиска и экспертизы</w:t>
      </w:r>
      <w:r w:rsidR="00B75756" w:rsidRPr="004638AE">
        <w:rPr>
          <w:b/>
          <w:bCs/>
          <w:szCs w:val="22"/>
          <w:lang w:val="ru-RU"/>
        </w:rPr>
        <w:t>:</w:t>
      </w:r>
      <w:r w:rsidR="00B75756" w:rsidRPr="004638AE">
        <w:rPr>
          <w:szCs w:val="22"/>
          <w:lang w:val="ru-RU"/>
        </w:rPr>
        <w:t xml:space="preserve">  </w:t>
      </w:r>
    </w:p>
    <w:p w14:paraId="41B0103F" w14:textId="77777777" w:rsidR="00B75756" w:rsidRPr="004638AE" w:rsidRDefault="00B75756" w:rsidP="00B75756">
      <w:pPr>
        <w:keepNext/>
        <w:keepLines/>
        <w:rPr>
          <w:szCs w:val="22"/>
          <w:lang w:val="ru-RU"/>
        </w:rPr>
      </w:pPr>
    </w:p>
    <w:tbl>
      <w:tblPr>
        <w:tblW w:w="8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8"/>
        <w:gridCol w:w="1679"/>
        <w:gridCol w:w="1667"/>
        <w:gridCol w:w="1825"/>
      </w:tblGrid>
      <w:tr w:rsidR="00C2526F" w:rsidRPr="004638AE" w14:paraId="59EF5722" w14:textId="77777777" w:rsidTr="00C2526F">
        <w:trPr>
          <w:cantSplit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146F" w14:textId="77777777" w:rsidR="00C2526F" w:rsidRPr="004638AE" w:rsidRDefault="00C2526F" w:rsidP="00C2526F">
            <w:pPr>
              <w:rPr>
                <w:b/>
                <w:lang w:val="ru-RU"/>
              </w:rPr>
            </w:pPr>
            <w:r w:rsidRPr="004638AE">
              <w:rPr>
                <w:b/>
                <w:bCs/>
                <w:szCs w:val="22"/>
                <w:lang w:val="ru-RU"/>
              </w:rPr>
              <w:t>Область техники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AE1B" w14:textId="77777777" w:rsidR="00C2526F" w:rsidRPr="004638AE" w:rsidRDefault="00C2526F" w:rsidP="00C2526F">
            <w:pPr>
              <w:rPr>
                <w:b/>
                <w:lang w:val="ru-RU"/>
              </w:rPr>
            </w:pPr>
            <w:r w:rsidRPr="004638AE">
              <w:rPr>
                <w:b/>
                <w:bCs/>
                <w:szCs w:val="22"/>
                <w:lang w:val="ru-RU"/>
              </w:rPr>
              <w:t>Количество сотрудников (в пересчете на занятых полную рабочую неделю</w:t>
            </w:r>
            <w:r w:rsidRPr="004638AE">
              <w:rPr>
                <w:b/>
                <w:lang w:val="ru-RU"/>
              </w:rPr>
              <w:t>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1C19" w14:textId="77777777" w:rsidR="00C2526F" w:rsidRPr="004638AE" w:rsidRDefault="00C2526F" w:rsidP="00C2526F">
            <w:pPr>
              <w:rPr>
                <w:b/>
                <w:lang w:val="ru-RU"/>
              </w:rPr>
            </w:pPr>
            <w:r w:rsidRPr="004638AE">
              <w:rPr>
                <w:b/>
                <w:lang w:val="ru-RU"/>
              </w:rPr>
              <w:t>Опыт работы в качестве экспертов (среднее количество лет)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C033" w14:textId="77777777" w:rsidR="00C2526F" w:rsidRPr="004638AE" w:rsidRDefault="00C2526F" w:rsidP="00C2526F">
            <w:pPr>
              <w:rPr>
                <w:b/>
                <w:lang w:val="ru-RU"/>
              </w:rPr>
            </w:pPr>
            <w:r w:rsidRPr="004638AE">
              <w:rPr>
                <w:b/>
                <w:lang w:val="ru-RU"/>
              </w:rPr>
              <w:t xml:space="preserve">В разбивке по уровням квалификации </w:t>
            </w:r>
          </w:p>
          <w:p w14:paraId="28D04B8E" w14:textId="77777777" w:rsidR="00C2526F" w:rsidRPr="004638AE" w:rsidRDefault="00C2526F" w:rsidP="00C2526F">
            <w:pPr>
              <w:rPr>
                <w:b/>
                <w:lang w:val="ru-RU"/>
              </w:rPr>
            </w:pPr>
          </w:p>
        </w:tc>
      </w:tr>
      <w:tr w:rsidR="00C2526F" w:rsidRPr="004638AE" w14:paraId="1055DD85" w14:textId="77777777" w:rsidTr="00C2526F">
        <w:trPr>
          <w:cantSplit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974E" w14:textId="77777777" w:rsidR="00C2526F" w:rsidRPr="004638AE" w:rsidRDefault="00C2526F" w:rsidP="00C2526F">
            <w:pPr>
              <w:rPr>
                <w:lang w:val="ru-RU"/>
              </w:rPr>
            </w:pPr>
            <w:r w:rsidRPr="004638AE">
              <w:rPr>
                <w:szCs w:val="22"/>
                <w:lang w:val="ru-RU"/>
              </w:rPr>
              <w:t>Механика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7103" w14:textId="77777777" w:rsidR="00C2526F" w:rsidRPr="004638AE" w:rsidRDefault="00C2526F" w:rsidP="00C2526F">
            <w:pPr>
              <w:ind w:right="459"/>
              <w:jc w:val="right"/>
            </w:pPr>
            <w:r w:rsidRPr="004638AE">
              <w:t>29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6C97" w14:textId="77777777" w:rsidR="00C2526F" w:rsidRPr="004638AE" w:rsidRDefault="00C2526F" w:rsidP="00C2526F">
            <w:pPr>
              <w:ind w:right="459"/>
              <w:jc w:val="right"/>
            </w:pPr>
            <w:r w:rsidRPr="004638AE">
              <w:t>10</w:t>
            </w:r>
            <w:r w:rsidR="0083261F" w:rsidRPr="004638AE">
              <w:t>,</w:t>
            </w:r>
            <w:r w:rsidRPr="004638AE"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90EF" w14:textId="77777777" w:rsidR="00C2526F" w:rsidRPr="004638AE" w:rsidRDefault="00C2526F" w:rsidP="00C2526F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 w:rsidRPr="004638AE">
              <w:rPr>
                <w:rFonts w:eastAsia="Times New Roman"/>
                <w:szCs w:val="22"/>
                <w:lang w:eastAsia="en-US" w:bidi="he-IL"/>
              </w:rPr>
              <w:t>-</w:t>
            </w:r>
          </w:p>
        </w:tc>
      </w:tr>
      <w:tr w:rsidR="00C2526F" w:rsidRPr="004638AE" w14:paraId="273231C9" w14:textId="77777777" w:rsidTr="00C2526F">
        <w:trPr>
          <w:cantSplit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EFBD" w14:textId="77777777" w:rsidR="00C2526F" w:rsidRPr="004638AE" w:rsidRDefault="00C2526F" w:rsidP="00C2526F">
            <w:pPr>
              <w:rPr>
                <w:lang w:val="ru-RU"/>
              </w:rPr>
            </w:pPr>
            <w:r w:rsidRPr="004638AE">
              <w:rPr>
                <w:szCs w:val="22"/>
                <w:lang w:val="ru-RU"/>
              </w:rPr>
              <w:t>Электричество/электроника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F6E1" w14:textId="77777777" w:rsidR="00C2526F" w:rsidRPr="004638AE" w:rsidRDefault="00C2526F" w:rsidP="00C2526F">
            <w:pPr>
              <w:ind w:right="459"/>
              <w:jc w:val="right"/>
            </w:pPr>
            <w:r w:rsidRPr="004638AE">
              <w:t>12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120B" w14:textId="77777777" w:rsidR="00C2526F" w:rsidRPr="004638AE" w:rsidRDefault="00C2526F" w:rsidP="00C2526F">
            <w:pPr>
              <w:ind w:right="459"/>
              <w:jc w:val="right"/>
            </w:pPr>
            <w:r w:rsidRPr="004638AE">
              <w:t>8</w:t>
            </w:r>
            <w:r w:rsidR="0083261F" w:rsidRPr="004638AE">
              <w:t>,</w:t>
            </w:r>
            <w:r w:rsidRPr="004638AE"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16F3" w14:textId="77777777" w:rsidR="00C2526F" w:rsidRPr="004638AE" w:rsidRDefault="00C2526F" w:rsidP="00C2526F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 w:rsidRPr="004638AE">
              <w:rPr>
                <w:rFonts w:eastAsia="Times New Roman"/>
                <w:szCs w:val="22"/>
                <w:lang w:eastAsia="en-US" w:bidi="he-IL"/>
              </w:rPr>
              <w:t>-</w:t>
            </w:r>
          </w:p>
        </w:tc>
      </w:tr>
      <w:tr w:rsidR="00B75756" w:rsidRPr="004638AE" w14:paraId="76C0393F" w14:textId="77777777" w:rsidTr="00C2526F">
        <w:trPr>
          <w:cantSplit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A6C3" w14:textId="77777777" w:rsidR="00B75756" w:rsidRPr="004638AE" w:rsidRDefault="0083261F" w:rsidP="00C057C4">
            <w:pPr>
              <w:keepNext/>
              <w:keepLines/>
              <w:suppressAutoHyphens/>
              <w:rPr>
                <w:szCs w:val="22"/>
                <w:lang w:val="ru-RU" w:eastAsia="en-US" w:bidi="he-IL"/>
              </w:rPr>
            </w:pPr>
            <w:r w:rsidRPr="004638AE">
              <w:rPr>
                <w:szCs w:val="22"/>
                <w:lang w:val="ru-RU" w:eastAsia="en-US" w:bidi="he-IL"/>
              </w:rPr>
              <w:t>Фармацевтическая продукция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7044" w14:textId="77777777" w:rsidR="00B75756" w:rsidRPr="004638AE" w:rsidRDefault="00B75756" w:rsidP="00B75756">
            <w:pPr>
              <w:ind w:right="459"/>
              <w:jc w:val="right"/>
            </w:pPr>
            <w:r w:rsidRPr="004638AE">
              <w:t>29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A9FB" w14:textId="77777777" w:rsidR="00B75756" w:rsidRPr="004638AE" w:rsidRDefault="00B75756" w:rsidP="00B75756">
            <w:pPr>
              <w:ind w:right="459"/>
              <w:jc w:val="right"/>
            </w:pPr>
            <w:r w:rsidRPr="004638AE">
              <w:t>12</w:t>
            </w:r>
            <w:r w:rsidR="0083261F" w:rsidRPr="004638AE">
              <w:t>,</w:t>
            </w:r>
            <w:r w:rsidRPr="004638AE">
              <w:t>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F4BF" w14:textId="77777777" w:rsidR="00B75756" w:rsidRPr="004638AE" w:rsidRDefault="00B75756" w:rsidP="00C057C4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 w:rsidRPr="004638AE">
              <w:rPr>
                <w:rFonts w:eastAsia="Times New Roman"/>
                <w:szCs w:val="22"/>
                <w:lang w:eastAsia="en-US" w:bidi="he-IL"/>
              </w:rPr>
              <w:t>-</w:t>
            </w:r>
          </w:p>
        </w:tc>
      </w:tr>
      <w:tr w:rsidR="00C2526F" w:rsidRPr="004638AE" w14:paraId="3F851A73" w14:textId="77777777" w:rsidTr="00C2526F">
        <w:trPr>
          <w:cantSplit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1B60" w14:textId="77777777" w:rsidR="00C2526F" w:rsidRPr="004638AE" w:rsidRDefault="00C2526F" w:rsidP="00C2526F">
            <w:pPr>
              <w:rPr>
                <w:lang w:val="ru-RU"/>
              </w:rPr>
            </w:pPr>
            <w:r w:rsidRPr="004638AE">
              <w:rPr>
                <w:szCs w:val="22"/>
                <w:lang w:val="ru-RU"/>
              </w:rPr>
              <w:t>Химия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0485" w14:textId="77777777" w:rsidR="00C2526F" w:rsidRPr="004638AE" w:rsidRDefault="00C2526F" w:rsidP="00C2526F">
            <w:pPr>
              <w:ind w:right="459"/>
              <w:jc w:val="right"/>
            </w:pPr>
            <w:r w:rsidRPr="004638AE">
              <w:t>24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4991" w14:textId="77777777" w:rsidR="00C2526F" w:rsidRPr="004638AE" w:rsidRDefault="00C2526F" w:rsidP="00C2526F">
            <w:pPr>
              <w:ind w:right="459"/>
              <w:jc w:val="right"/>
            </w:pPr>
            <w:r w:rsidRPr="004638AE">
              <w:t>10</w:t>
            </w:r>
            <w:r w:rsidR="0083261F" w:rsidRPr="004638AE">
              <w:t>,</w:t>
            </w:r>
            <w:r w:rsidRPr="004638AE">
              <w:t>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2534" w14:textId="77777777" w:rsidR="00C2526F" w:rsidRPr="004638AE" w:rsidRDefault="00C2526F" w:rsidP="00C2526F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 w:rsidRPr="004638AE">
              <w:rPr>
                <w:rFonts w:eastAsia="Times New Roman"/>
                <w:szCs w:val="22"/>
                <w:lang w:eastAsia="en-US" w:bidi="he-IL"/>
              </w:rPr>
              <w:t>-</w:t>
            </w:r>
          </w:p>
        </w:tc>
      </w:tr>
      <w:tr w:rsidR="00C2526F" w:rsidRPr="004638AE" w14:paraId="78CDBE19" w14:textId="77777777" w:rsidTr="00C2526F">
        <w:trPr>
          <w:cantSplit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9075" w14:textId="77777777" w:rsidR="00C2526F" w:rsidRPr="004638AE" w:rsidRDefault="00C2526F" w:rsidP="00C2526F">
            <w:pPr>
              <w:rPr>
                <w:lang w:val="ru-RU"/>
              </w:rPr>
            </w:pPr>
            <w:r w:rsidRPr="004638AE">
              <w:rPr>
                <w:lang w:val="ru-RU"/>
              </w:rPr>
              <w:t>Биотехнология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BACF" w14:textId="77777777" w:rsidR="00C2526F" w:rsidRPr="004638AE" w:rsidRDefault="00C2526F" w:rsidP="00C2526F">
            <w:pPr>
              <w:ind w:right="459"/>
              <w:jc w:val="right"/>
            </w:pPr>
            <w:r w:rsidRPr="004638AE">
              <w:t>30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7D08" w14:textId="77777777" w:rsidR="00C2526F" w:rsidRPr="004638AE" w:rsidRDefault="00C2526F" w:rsidP="00C2526F">
            <w:pPr>
              <w:ind w:right="459"/>
              <w:jc w:val="right"/>
            </w:pPr>
            <w:r w:rsidRPr="004638AE">
              <w:t>7</w:t>
            </w:r>
            <w:r w:rsidR="0083261F" w:rsidRPr="004638AE">
              <w:t>,</w:t>
            </w:r>
            <w:r w:rsidRPr="004638AE">
              <w:t>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49B0" w14:textId="77777777" w:rsidR="00C2526F" w:rsidRPr="004638AE" w:rsidRDefault="00C2526F" w:rsidP="00C2526F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 w:rsidRPr="004638AE">
              <w:rPr>
                <w:rFonts w:eastAsia="Times New Roman"/>
                <w:szCs w:val="22"/>
                <w:lang w:eastAsia="en-US" w:bidi="he-IL"/>
              </w:rPr>
              <w:t>-</w:t>
            </w:r>
          </w:p>
        </w:tc>
      </w:tr>
      <w:tr w:rsidR="00B75756" w:rsidRPr="004638AE" w14:paraId="75E5AD47" w14:textId="77777777" w:rsidTr="00C2526F">
        <w:trPr>
          <w:cantSplit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CB22" w14:textId="77777777" w:rsidR="00B75756" w:rsidRPr="004638AE" w:rsidRDefault="0083261F" w:rsidP="00C057C4">
            <w:pPr>
              <w:suppressAutoHyphens/>
              <w:rPr>
                <w:iCs/>
                <w:szCs w:val="22"/>
                <w:lang w:val="ru-RU" w:eastAsia="en-US" w:bidi="he-IL"/>
              </w:rPr>
            </w:pPr>
            <w:r w:rsidRPr="004638AE">
              <w:rPr>
                <w:iCs/>
                <w:szCs w:val="22"/>
                <w:lang w:val="ru-RU" w:eastAsia="en-US" w:bidi="he-IL"/>
              </w:rPr>
              <w:t>Промышленные образцы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92D" w14:textId="77777777" w:rsidR="00B75756" w:rsidRPr="004638AE" w:rsidRDefault="00B75756" w:rsidP="00B75756">
            <w:pPr>
              <w:ind w:right="459"/>
              <w:jc w:val="right"/>
            </w:pPr>
            <w:r w:rsidRPr="004638AE"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7B88" w14:textId="77777777" w:rsidR="00B75756" w:rsidRPr="004638AE" w:rsidRDefault="00B75756" w:rsidP="00B75756">
            <w:pPr>
              <w:ind w:right="459"/>
              <w:jc w:val="right"/>
            </w:pPr>
            <w:r w:rsidRPr="004638AE">
              <w:t>17</w:t>
            </w:r>
            <w:r w:rsidR="0083261F" w:rsidRPr="004638AE">
              <w:t>,</w:t>
            </w:r>
            <w:r w:rsidRPr="004638AE">
              <w:t>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F7BC" w14:textId="77777777" w:rsidR="00B75756" w:rsidRPr="004638AE" w:rsidRDefault="00B75756" w:rsidP="00C057C4">
            <w:pPr>
              <w:suppressAutoHyphens/>
              <w:jc w:val="center"/>
              <w:rPr>
                <w:rFonts w:eastAsia="Times New Roman"/>
                <w:i/>
                <w:iCs/>
                <w:szCs w:val="22"/>
                <w:lang w:eastAsia="en-US" w:bidi="he-IL"/>
              </w:rPr>
            </w:pPr>
            <w:r w:rsidRPr="004638AE">
              <w:rPr>
                <w:rFonts w:eastAsia="Times New Roman"/>
                <w:i/>
                <w:iCs/>
                <w:szCs w:val="22"/>
                <w:lang w:eastAsia="en-US" w:bidi="he-IL"/>
              </w:rPr>
              <w:t>-</w:t>
            </w:r>
          </w:p>
        </w:tc>
      </w:tr>
      <w:tr w:rsidR="00B75756" w:rsidRPr="004638AE" w14:paraId="77208466" w14:textId="77777777" w:rsidTr="00C2526F">
        <w:trPr>
          <w:cantSplit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6FA9" w14:textId="77777777" w:rsidR="00B75756" w:rsidRPr="004638AE" w:rsidRDefault="0083261F" w:rsidP="00C057C4">
            <w:pPr>
              <w:suppressAutoHyphens/>
              <w:rPr>
                <w:rFonts w:eastAsia="Times New Roman"/>
                <w:i/>
                <w:iCs/>
                <w:szCs w:val="22"/>
                <w:lang w:val="ru-RU" w:eastAsia="en-US" w:bidi="he-IL"/>
              </w:rPr>
            </w:pPr>
            <w:r w:rsidRPr="004638AE">
              <w:rPr>
                <w:i/>
                <w:iCs/>
                <w:szCs w:val="22"/>
                <w:lang w:val="ru-RU" w:eastAsia="en-US" w:bidi="he-IL"/>
              </w:rPr>
              <w:t>Всего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6B68" w14:textId="77777777" w:rsidR="00B75756" w:rsidRPr="004638AE" w:rsidRDefault="00B75756" w:rsidP="00B75756">
            <w:pPr>
              <w:ind w:right="459"/>
              <w:jc w:val="right"/>
            </w:pPr>
            <w:r w:rsidRPr="004638AE">
              <w:t>129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336D" w14:textId="77777777" w:rsidR="00B75756" w:rsidRPr="004638AE" w:rsidRDefault="00B75756" w:rsidP="00B75756">
            <w:pPr>
              <w:ind w:right="459"/>
              <w:jc w:val="right"/>
            </w:pPr>
            <w:r w:rsidRPr="004638AE">
              <w:t>10</w:t>
            </w:r>
            <w:r w:rsidR="0083261F" w:rsidRPr="004638AE">
              <w:t>,</w:t>
            </w:r>
            <w:r w:rsidRPr="004638AE"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8A61" w14:textId="77777777" w:rsidR="00B75756" w:rsidRPr="004638AE" w:rsidRDefault="00B75756" w:rsidP="00C057C4">
            <w:pPr>
              <w:suppressAutoHyphens/>
              <w:jc w:val="center"/>
              <w:rPr>
                <w:rFonts w:eastAsia="Times New Roman"/>
                <w:i/>
                <w:iCs/>
                <w:szCs w:val="22"/>
                <w:lang w:eastAsia="en-US" w:bidi="he-IL"/>
              </w:rPr>
            </w:pPr>
            <w:r w:rsidRPr="004638AE">
              <w:rPr>
                <w:rFonts w:eastAsia="Times New Roman"/>
                <w:i/>
                <w:iCs/>
                <w:szCs w:val="22"/>
                <w:lang w:eastAsia="en-US" w:bidi="he-IL"/>
              </w:rPr>
              <w:t>-</w:t>
            </w:r>
          </w:p>
        </w:tc>
      </w:tr>
    </w:tbl>
    <w:p w14:paraId="3584431A" w14:textId="77777777" w:rsidR="00B75756" w:rsidRPr="004638AE" w:rsidRDefault="00B75756" w:rsidP="00B75756"/>
    <w:p w14:paraId="1EAD68A5" w14:textId="7F8B3059" w:rsidR="0098373B" w:rsidRPr="004638AE" w:rsidRDefault="0098373B" w:rsidP="0098373B">
      <w:pPr>
        <w:rPr>
          <w:lang w:val="ru-RU"/>
        </w:rPr>
      </w:pPr>
      <w:r w:rsidRPr="004638AE">
        <w:rPr>
          <w:lang w:val="ru-RU"/>
        </w:rPr>
        <w:t xml:space="preserve">Ведомство использует как своих, так и приглашенных экспертов, имеющих необходимую подготовку и квалификацию для надлежащего выполнения функций поиска и экспертизы.  Внешние эксперты работают в основном с заявками, подаваемыми в стране.  Собственные эксперты ведомства занимаются в основном заявками </w:t>
      </w:r>
      <w:r w:rsidR="00551012" w:rsidRPr="004638AE">
        <w:rPr>
          <w:lang w:val="ru-RU"/>
        </w:rPr>
        <w:t xml:space="preserve">по процедуре </w:t>
      </w:r>
      <w:r w:rsidRPr="004638AE">
        <w:t>PCT</w:t>
      </w:r>
      <w:r w:rsidRPr="004638AE">
        <w:rPr>
          <w:lang w:val="ru-RU"/>
        </w:rPr>
        <w:t xml:space="preserve"> на международной фазе, </w:t>
      </w:r>
      <w:r w:rsidR="00551012" w:rsidRPr="004638AE">
        <w:rPr>
          <w:lang w:val="ru-RU"/>
        </w:rPr>
        <w:t xml:space="preserve">а </w:t>
      </w:r>
      <w:r w:rsidRPr="004638AE">
        <w:rPr>
          <w:lang w:val="ru-RU"/>
        </w:rPr>
        <w:t>также отвечают за экспертизу национальных заявок, которые они анализируют</w:t>
      </w:r>
      <w:r w:rsidR="00551012" w:rsidRPr="004638AE">
        <w:rPr>
          <w:lang w:val="ru-RU"/>
        </w:rPr>
        <w:t xml:space="preserve"> на предмет их принятия или отклонения.</w:t>
      </w:r>
    </w:p>
    <w:p w14:paraId="1397830A" w14:textId="77777777" w:rsidR="00B75756" w:rsidRPr="004638AE" w:rsidRDefault="00B75756" w:rsidP="00B75756">
      <w:pPr>
        <w:rPr>
          <w:lang w:val="ru-RU"/>
        </w:rPr>
      </w:pPr>
    </w:p>
    <w:p w14:paraId="077DCE92" w14:textId="0DBD2FE4" w:rsidR="00B75756" w:rsidRPr="004638AE" w:rsidRDefault="00884A61" w:rsidP="00B75756">
      <w:pPr>
        <w:rPr>
          <w:lang w:val="ru-RU"/>
        </w:rPr>
      </w:pPr>
      <w:r w:rsidRPr="004638AE">
        <w:rPr>
          <w:lang w:val="ru-RU"/>
        </w:rPr>
        <w:t>Что касается уровня квалификации, наши специалисты обладают всей необходимой квалификацией для проведения поиска и экспертизы в каждой из перечисленных в приведенной выше таблице областей техники, таких как механика, электроника, фармацевтическая продукция, химия и биотехнология.</w:t>
      </w:r>
    </w:p>
    <w:p w14:paraId="2DE2EA0A" w14:textId="77777777" w:rsidR="00884A61" w:rsidRPr="004638AE" w:rsidRDefault="00884A61" w:rsidP="00B75756">
      <w:pPr>
        <w:rPr>
          <w:szCs w:val="22"/>
          <w:lang w:val="ru-RU"/>
        </w:rPr>
      </w:pPr>
    </w:p>
    <w:p w14:paraId="006A5D2F" w14:textId="77777777" w:rsidR="0083261F" w:rsidRPr="00653338" w:rsidRDefault="0083261F" w:rsidP="0083261F">
      <w:pPr>
        <w:keepNext/>
        <w:keepLines/>
        <w:rPr>
          <w:b/>
          <w:lang w:val="ru-RU"/>
        </w:rPr>
      </w:pPr>
      <w:r w:rsidRPr="004638AE">
        <w:rPr>
          <w:b/>
          <w:lang w:val="ru-RU"/>
        </w:rPr>
        <w:t>Программы</w:t>
      </w:r>
      <w:r w:rsidRPr="00653338">
        <w:rPr>
          <w:b/>
          <w:lang w:val="ru-RU"/>
        </w:rPr>
        <w:t xml:space="preserve"> </w:t>
      </w:r>
      <w:r w:rsidRPr="004638AE">
        <w:rPr>
          <w:b/>
          <w:lang w:val="ru-RU"/>
        </w:rPr>
        <w:t>обучения</w:t>
      </w:r>
    </w:p>
    <w:p w14:paraId="0B8572A6" w14:textId="77777777" w:rsidR="00B75756" w:rsidRPr="00653338" w:rsidRDefault="00B75756" w:rsidP="00B75756">
      <w:pPr>
        <w:rPr>
          <w:lang w:val="ru-RU"/>
        </w:rPr>
      </w:pPr>
    </w:p>
    <w:p w14:paraId="63D3D877" w14:textId="77777777" w:rsidR="003738B3" w:rsidRPr="004638AE" w:rsidRDefault="003738B3" w:rsidP="003738B3">
      <w:pPr>
        <w:rPr>
          <w:lang w:val="ru-RU"/>
        </w:rPr>
      </w:pPr>
      <w:r w:rsidRPr="004638AE">
        <w:rPr>
          <w:lang w:val="ru-RU"/>
        </w:rPr>
        <w:t xml:space="preserve">Процесс привлечения новых специалистов начинается с определения потребностей в технических областях и составления перечня должностных обязанностей.  После этого начинается процесс приема заявлений у кандидатов и оценки их соответствия установленным требованиям, завершающийся отбором кандидатов.  Отобранные кандидаты проходят комплексное обучение на двух стадиях – сначала на стадии «введения в курс обязанностей», на которой они получают общую информацию и знания о патентах и промышленной собственности.  Вторая стадия – это собственно обучение.  На протяжении этого периода кандидат работает под руководством экспертов </w:t>
      </w:r>
      <w:r w:rsidRPr="004638AE">
        <w:t>INAPI</w:t>
      </w:r>
      <w:r w:rsidRPr="004638AE">
        <w:rPr>
          <w:lang w:val="ru-RU"/>
        </w:rPr>
        <w:t>, проводя экспертизу фактически поданных патентных заявок.</w:t>
      </w:r>
    </w:p>
    <w:p w14:paraId="2B34B797" w14:textId="77777777" w:rsidR="00B75756" w:rsidRPr="004638AE" w:rsidRDefault="00B75756" w:rsidP="00B75756">
      <w:pPr>
        <w:rPr>
          <w:lang w:val="ru-RU"/>
        </w:rPr>
      </w:pPr>
    </w:p>
    <w:p w14:paraId="17EF7A15" w14:textId="3D301CB0" w:rsidR="00B75756" w:rsidRPr="004638AE" w:rsidRDefault="003738B3" w:rsidP="00B75756">
      <w:pPr>
        <w:rPr>
          <w:lang w:val="ru-RU"/>
        </w:rPr>
      </w:pPr>
      <w:r w:rsidRPr="004638AE">
        <w:rPr>
          <w:lang w:val="ru-RU"/>
        </w:rPr>
        <w:t xml:space="preserve">Общее руководство всем процессом осуществляется руководителями технических отделов Департамента экспертизы, которые по завершении этого процесса оценивают эффективность работы и способности кандидатов и отбирают тех, кто соответствует требованиям, установленным </w:t>
      </w:r>
      <w:r w:rsidRPr="004638AE">
        <w:t>INAPI</w:t>
      </w:r>
      <w:r w:rsidRPr="004638AE">
        <w:rPr>
          <w:lang w:val="ru-RU"/>
        </w:rPr>
        <w:t>.</w:t>
      </w:r>
    </w:p>
    <w:p w14:paraId="79C96DAE" w14:textId="77777777" w:rsidR="003738B3" w:rsidRPr="004638AE" w:rsidRDefault="003738B3" w:rsidP="00B75756">
      <w:pPr>
        <w:rPr>
          <w:lang w:val="ru-RU"/>
        </w:rPr>
      </w:pPr>
    </w:p>
    <w:p w14:paraId="4BF604FA" w14:textId="4C1BC72C" w:rsidR="00282D8E" w:rsidRPr="004638AE" w:rsidRDefault="00282D8E" w:rsidP="00282D8E">
      <w:pPr>
        <w:rPr>
          <w:lang w:val="ru-RU"/>
        </w:rPr>
      </w:pPr>
      <w:r w:rsidRPr="004638AE">
        <w:rPr>
          <w:lang w:val="ru-RU"/>
        </w:rPr>
        <w:t xml:space="preserve">И наконец, когда кандидаты отобраны и становятся частью </w:t>
      </w:r>
      <w:r w:rsidRPr="004638AE">
        <w:t>INAPI</w:t>
      </w:r>
      <w:r w:rsidRPr="004638AE">
        <w:rPr>
          <w:lang w:val="ru-RU"/>
        </w:rPr>
        <w:t>, для каждого из отобранных кандидатов назначается наставник, помогающий кандидату составлять первые отчеты.  Работа под руководством наставника продолжается на протяжении года, причем в одной и той же области техники могут работать разные наставники.  Каждые четыре месяца проводится аттестация новых сотрудников.  Если по завершении года (или раньше) кандидат продемонстрировал уровень знаний и способностей, необходимый для проведения поиска и экспертизы и составления соответствующих отчетов, он может начинать работать самостоятельно.  Цель этого процесса заключается в том, чтобы за 18 месяцев все новые эксперты были подготовлены к самостоятельному проведению поиска и экспертизы без помощи наставника, как того требуют положения законодательства, соответствующие правила и Руководство.</w:t>
      </w:r>
    </w:p>
    <w:p w14:paraId="68148D0F" w14:textId="77777777" w:rsidR="00B75756" w:rsidRPr="004638AE" w:rsidRDefault="00B75756" w:rsidP="00B75756">
      <w:pPr>
        <w:rPr>
          <w:lang w:val="ru-RU"/>
        </w:rPr>
      </w:pPr>
    </w:p>
    <w:p w14:paraId="32A65BBC" w14:textId="3FAA85A2" w:rsidR="00282D8E" w:rsidRPr="004638AE" w:rsidRDefault="00282D8E" w:rsidP="00282D8E">
      <w:pPr>
        <w:rPr>
          <w:lang w:val="ru-RU"/>
        </w:rPr>
      </w:pPr>
      <w:r w:rsidRPr="004638AE">
        <w:rPr>
          <w:lang w:val="ru-RU"/>
        </w:rPr>
        <w:t>Процесс найма и обучения новых сотрудников разработан и построен таким образом, что</w:t>
      </w:r>
      <w:r w:rsidR="00C5630C">
        <w:rPr>
          <w:lang w:val="ru-RU"/>
        </w:rPr>
        <w:t>бы</w:t>
      </w:r>
      <w:r w:rsidRPr="004638AE">
        <w:rPr>
          <w:lang w:val="ru-RU"/>
        </w:rPr>
        <w:t xml:space="preserve"> это не влияло на производительность ведомства.  Об этом свидетельствует быстрое сокращение числа заявок в работе за последние годы.</w:t>
      </w:r>
    </w:p>
    <w:p w14:paraId="4A1A5248" w14:textId="77777777" w:rsidR="00B75756" w:rsidRPr="004638AE" w:rsidRDefault="00B75756" w:rsidP="00B75756">
      <w:pPr>
        <w:rPr>
          <w:lang w:val="ru-RU"/>
        </w:rPr>
      </w:pPr>
    </w:p>
    <w:p w14:paraId="6ED35EB5" w14:textId="77777777" w:rsidR="0083261F" w:rsidRPr="004638AE" w:rsidRDefault="0083261F" w:rsidP="0083261F">
      <w:pPr>
        <w:rPr>
          <w:b/>
          <w:i/>
          <w:lang w:val="ru-RU"/>
        </w:rPr>
      </w:pPr>
      <w:r w:rsidRPr="004638AE">
        <w:rPr>
          <w:b/>
          <w:bCs/>
          <w:i/>
          <w:lang w:val="ru-RU"/>
        </w:rPr>
        <w:t>Правила 36.1 (ii) и 63.1 (ii):  Это ведомство или организация должна иметь в своем распоряжении или иметь доступ, по крайней мере, к минимуму документации, упомянутому в правиле 34 и подобранному соответствующим образом для целей поиска, на бумаге, в микроформах или на электронных носителях</w:t>
      </w:r>
      <w:r w:rsidRPr="004638AE">
        <w:rPr>
          <w:b/>
          <w:i/>
          <w:lang w:val="ru-RU"/>
        </w:rPr>
        <w:t>.</w:t>
      </w:r>
    </w:p>
    <w:p w14:paraId="3DE53BB1" w14:textId="77777777" w:rsidR="00B75756" w:rsidRPr="004638AE" w:rsidRDefault="00B75756" w:rsidP="00B75756">
      <w:pPr>
        <w:jc w:val="both"/>
        <w:rPr>
          <w:szCs w:val="22"/>
          <w:lang w:val="ru-RU"/>
        </w:rPr>
      </w:pPr>
    </w:p>
    <w:p w14:paraId="1E2FCB8C" w14:textId="77777777" w:rsidR="0083261F" w:rsidRPr="004638AE" w:rsidRDefault="0083261F" w:rsidP="0083261F">
      <w:pPr>
        <w:keepNext/>
        <w:rPr>
          <w:b/>
          <w:bCs/>
          <w:szCs w:val="22"/>
          <w:lang w:val="ru-RU"/>
        </w:rPr>
      </w:pPr>
      <w:r w:rsidRPr="004638AE">
        <w:rPr>
          <w:b/>
          <w:bCs/>
          <w:lang w:val="ru-RU"/>
        </w:rPr>
        <w:t>Доступ к минимуму документации для целей поиска:</w:t>
      </w:r>
      <w:r w:rsidRPr="004638AE">
        <w:rPr>
          <w:szCs w:val="22"/>
          <w:lang w:val="ru-RU"/>
        </w:rPr>
        <w:t xml:space="preserve"> </w:t>
      </w:r>
    </w:p>
    <w:p w14:paraId="2AA06FF6" w14:textId="77777777" w:rsidR="00B75756" w:rsidRPr="004638AE" w:rsidRDefault="0083261F" w:rsidP="0083261F">
      <w:pPr>
        <w:rPr>
          <w:lang w:val="ru-RU"/>
        </w:rPr>
      </w:pPr>
      <w:r w:rsidRPr="004638AE">
        <w:rPr>
          <w:lang w:val="ru-RU"/>
        </w:rPr>
        <w:t xml:space="preserve"> </w:t>
      </w:r>
      <w:r w:rsidR="00B75756" w:rsidRPr="004638AE">
        <w:rPr>
          <w:lang w:val="ru-RU"/>
        </w:rPr>
        <w:t>(</w:t>
      </w:r>
      <w:r w:rsidR="00B75756" w:rsidRPr="004638AE">
        <w:t>X</w:t>
      </w:r>
      <w:r w:rsidR="00B75756" w:rsidRPr="004638AE">
        <w:rPr>
          <w:lang w:val="ru-RU"/>
        </w:rPr>
        <w:t>)</w:t>
      </w:r>
      <w:r w:rsidR="00B75756" w:rsidRPr="004638AE">
        <w:rPr>
          <w:lang w:val="ru-RU"/>
        </w:rPr>
        <w:tab/>
      </w:r>
      <w:r w:rsidRPr="004638AE">
        <w:rPr>
          <w:szCs w:val="22"/>
          <w:lang w:val="ru-RU"/>
        </w:rPr>
        <w:t>Полный доступ</w:t>
      </w:r>
    </w:p>
    <w:p w14:paraId="67F3E963" w14:textId="77777777" w:rsidR="00B75756" w:rsidRPr="004638AE" w:rsidRDefault="00B75756" w:rsidP="00B75756">
      <w:pPr>
        <w:jc w:val="both"/>
        <w:rPr>
          <w:szCs w:val="22"/>
          <w:lang w:val="ru-RU"/>
        </w:rPr>
      </w:pPr>
    </w:p>
    <w:p w14:paraId="134D5D93" w14:textId="77777777" w:rsidR="0083261F" w:rsidRPr="004638AE" w:rsidRDefault="0083261F" w:rsidP="0083261F">
      <w:pPr>
        <w:keepNext/>
        <w:rPr>
          <w:szCs w:val="22"/>
          <w:lang w:val="ru-RU"/>
        </w:rPr>
      </w:pPr>
      <w:r w:rsidRPr="004638AE">
        <w:rPr>
          <w:b/>
          <w:bCs/>
          <w:lang w:val="ru-RU"/>
        </w:rPr>
        <w:t xml:space="preserve">Поисковые системы: </w:t>
      </w:r>
      <w:r w:rsidRPr="004638AE">
        <w:rPr>
          <w:szCs w:val="22"/>
          <w:lang w:val="ru-RU"/>
        </w:rPr>
        <w:t xml:space="preserve"> </w:t>
      </w:r>
    </w:p>
    <w:p w14:paraId="1A0B8561" w14:textId="77777777" w:rsidR="00B75756" w:rsidRPr="004638AE" w:rsidRDefault="00B75756" w:rsidP="00B75756">
      <w:pPr>
        <w:rPr>
          <w:lang w:val="ru-RU"/>
        </w:rPr>
      </w:pPr>
    </w:p>
    <w:p w14:paraId="309B7B59" w14:textId="2584DAE7" w:rsidR="00B75756" w:rsidRPr="004638AE" w:rsidRDefault="00282D8E" w:rsidP="00B75756">
      <w:pPr>
        <w:rPr>
          <w:lang w:val="ru-RU"/>
        </w:rPr>
      </w:pPr>
      <w:r w:rsidRPr="004638AE">
        <w:rPr>
          <w:lang w:val="ru-RU"/>
        </w:rPr>
        <w:t xml:space="preserve">В настоящее время при проведении поиска </w:t>
      </w:r>
      <w:r w:rsidRPr="004638AE">
        <w:t>INAPI</w:t>
      </w:r>
      <w:r w:rsidRPr="004638AE">
        <w:rPr>
          <w:lang w:val="ru-RU"/>
        </w:rPr>
        <w:t xml:space="preserve"> имеет возможность пользоваться наиболее важными базами данных, содержащих огромный объем патентной и непатентной литературы.  Эти базы данных включают как общедоступные, такие как </w:t>
      </w:r>
      <w:proofErr w:type="spellStart"/>
      <w:r w:rsidRPr="004638AE">
        <w:t>Patentscope</w:t>
      </w:r>
      <w:proofErr w:type="spellEnd"/>
      <w:r w:rsidRPr="004638AE">
        <w:rPr>
          <w:lang w:val="ru-RU"/>
        </w:rPr>
        <w:t xml:space="preserve">, </w:t>
      </w:r>
      <w:proofErr w:type="spellStart"/>
      <w:r w:rsidRPr="004638AE">
        <w:t>Espacenet</w:t>
      </w:r>
      <w:proofErr w:type="spellEnd"/>
      <w:r w:rsidRPr="004638AE">
        <w:rPr>
          <w:lang w:val="ru-RU"/>
        </w:rPr>
        <w:t xml:space="preserve">, </w:t>
      </w:r>
      <w:proofErr w:type="spellStart"/>
      <w:r w:rsidRPr="004638AE">
        <w:t>Latipat</w:t>
      </w:r>
      <w:proofErr w:type="spellEnd"/>
      <w:r w:rsidRPr="004638AE">
        <w:rPr>
          <w:lang w:val="ru-RU"/>
        </w:rPr>
        <w:t xml:space="preserve">, так и те, доступ </w:t>
      </w:r>
      <w:r w:rsidR="00F3105C">
        <w:rPr>
          <w:lang w:val="ru-RU"/>
        </w:rPr>
        <w:t>к которым можно получить на веб</w:t>
      </w:r>
      <w:r w:rsidR="00F3105C">
        <w:rPr>
          <w:lang w:val="ru-RU"/>
        </w:rPr>
        <w:noBreakHyphen/>
      </w:r>
      <w:r w:rsidRPr="004638AE">
        <w:rPr>
          <w:lang w:val="ru-RU"/>
        </w:rPr>
        <w:t xml:space="preserve">страницах различных ведомств ИС (таких как </w:t>
      </w:r>
      <w:r w:rsidRPr="004638AE">
        <w:t>INAPI</w:t>
      </w:r>
      <w:r w:rsidRPr="004638AE">
        <w:rPr>
          <w:lang w:val="ru-RU"/>
        </w:rPr>
        <w:t xml:space="preserve">, </w:t>
      </w:r>
      <w:r w:rsidR="00AD2B88" w:rsidRPr="004638AE">
        <w:rPr>
          <w:lang w:val="ru-RU"/>
        </w:rPr>
        <w:t>ИВПТЗ</w:t>
      </w:r>
      <w:r w:rsidRPr="004638AE">
        <w:rPr>
          <w:lang w:val="ru-RU"/>
        </w:rPr>
        <w:t xml:space="preserve">, </w:t>
      </w:r>
      <w:r w:rsidR="00AD2B88" w:rsidRPr="004638AE">
        <w:rPr>
          <w:lang w:val="ru-RU"/>
        </w:rPr>
        <w:t>ВПТЗ США</w:t>
      </w:r>
      <w:r w:rsidRPr="004638AE">
        <w:rPr>
          <w:lang w:val="ru-RU"/>
        </w:rPr>
        <w:t xml:space="preserve">, </w:t>
      </w:r>
      <w:r w:rsidR="00AD2B88" w:rsidRPr="004638AE">
        <w:rPr>
          <w:lang w:val="ru-RU"/>
        </w:rPr>
        <w:t>ЯПВ (</w:t>
      </w:r>
      <w:r w:rsidRPr="004638AE">
        <w:t>AIPN</w:t>
      </w:r>
      <w:r w:rsidR="00AD2B88" w:rsidRPr="004638AE">
        <w:rPr>
          <w:lang w:val="ru-RU"/>
        </w:rPr>
        <w:t>)</w:t>
      </w:r>
      <w:r w:rsidRPr="004638AE">
        <w:rPr>
          <w:lang w:val="ru-RU"/>
        </w:rPr>
        <w:t xml:space="preserve">, </w:t>
      </w:r>
      <w:r w:rsidR="00AD2B88" w:rsidRPr="004638AE">
        <w:rPr>
          <w:lang w:val="ru-RU"/>
        </w:rPr>
        <w:t>КВИС</w:t>
      </w:r>
      <w:r w:rsidRPr="004638AE">
        <w:rPr>
          <w:lang w:val="ru-RU"/>
        </w:rPr>
        <w:t xml:space="preserve"> (</w:t>
      </w:r>
      <w:r w:rsidRPr="004638AE">
        <w:t>K</w:t>
      </w:r>
      <w:r w:rsidRPr="004638AE">
        <w:rPr>
          <w:lang w:val="ru-RU"/>
        </w:rPr>
        <w:noBreakHyphen/>
      </w:r>
      <w:r w:rsidRPr="004638AE">
        <w:t>Pion</w:t>
      </w:r>
      <w:r w:rsidRPr="004638AE">
        <w:rPr>
          <w:lang w:val="ru-RU"/>
        </w:rPr>
        <w:t xml:space="preserve">), </w:t>
      </w:r>
      <w:r w:rsidRPr="004638AE">
        <w:t>SIPO</w:t>
      </w:r>
      <w:r w:rsidRPr="004638AE">
        <w:rPr>
          <w:lang w:val="ru-RU"/>
        </w:rPr>
        <w:t>).</w:t>
      </w:r>
    </w:p>
    <w:p w14:paraId="027BBE36" w14:textId="77777777" w:rsidR="00282D8E" w:rsidRPr="004638AE" w:rsidRDefault="00282D8E" w:rsidP="00B75756">
      <w:pPr>
        <w:rPr>
          <w:lang w:val="ru-RU"/>
        </w:rPr>
      </w:pPr>
    </w:p>
    <w:p w14:paraId="0F49AA76" w14:textId="015AE84A" w:rsidR="00F44368" w:rsidRPr="00653338" w:rsidRDefault="00F44368" w:rsidP="00F44368">
      <w:pPr>
        <w:rPr>
          <w:lang w:val="ru-RU"/>
        </w:rPr>
      </w:pPr>
      <w:r w:rsidRPr="004638AE">
        <w:rPr>
          <w:lang w:val="ru-RU"/>
        </w:rPr>
        <w:t>Помимо перечисленных выше баз данных, у нас также есть доступ к частным базам данных, предназначенных для систематизации патентной и непатентной документации</w:t>
      </w:r>
      <w:r w:rsidR="00551012" w:rsidRPr="004638AE">
        <w:rPr>
          <w:lang w:val="ru-RU"/>
        </w:rPr>
        <w:t xml:space="preserve"> и для обеспечения доступа к ней</w:t>
      </w:r>
      <w:r w:rsidRPr="004638AE">
        <w:rPr>
          <w:lang w:val="ru-RU"/>
        </w:rPr>
        <w:t xml:space="preserve">.  У нас есть доступ, например, к базам данных </w:t>
      </w:r>
      <w:proofErr w:type="spellStart"/>
      <w:r w:rsidRPr="004638AE">
        <w:t>EpoqueNet</w:t>
      </w:r>
      <w:proofErr w:type="spellEnd"/>
      <w:r w:rsidRPr="004638AE">
        <w:rPr>
          <w:lang w:val="ru-RU"/>
        </w:rPr>
        <w:t xml:space="preserve">, </w:t>
      </w:r>
      <w:r w:rsidRPr="004638AE">
        <w:t>Thomson</w:t>
      </w:r>
      <w:r w:rsidRPr="004638AE">
        <w:rPr>
          <w:lang w:val="ru-RU"/>
        </w:rPr>
        <w:t xml:space="preserve"> </w:t>
      </w:r>
      <w:r w:rsidRPr="004638AE">
        <w:t>Innovation</w:t>
      </w:r>
      <w:r w:rsidRPr="004638AE">
        <w:rPr>
          <w:lang w:val="ru-RU"/>
        </w:rPr>
        <w:t xml:space="preserve"> (которая теперь называется </w:t>
      </w:r>
      <w:proofErr w:type="spellStart"/>
      <w:r w:rsidRPr="004638AE">
        <w:t>Clarivate</w:t>
      </w:r>
      <w:proofErr w:type="spellEnd"/>
      <w:r w:rsidRPr="004638AE">
        <w:rPr>
          <w:lang w:val="ru-RU"/>
        </w:rPr>
        <w:t xml:space="preserve"> </w:t>
      </w:r>
      <w:r w:rsidRPr="004638AE">
        <w:t>Analytics</w:t>
      </w:r>
      <w:r w:rsidRPr="004638AE">
        <w:rPr>
          <w:lang w:val="ru-RU"/>
        </w:rPr>
        <w:t xml:space="preserve">), </w:t>
      </w:r>
      <w:r w:rsidRPr="004638AE">
        <w:t>IEEE</w:t>
      </w:r>
      <w:r w:rsidRPr="004638AE">
        <w:rPr>
          <w:lang w:val="ru-RU"/>
        </w:rPr>
        <w:t xml:space="preserve">, </w:t>
      </w:r>
      <w:r w:rsidRPr="004638AE">
        <w:t>STN</w:t>
      </w:r>
      <w:r w:rsidRPr="004638AE">
        <w:rPr>
          <w:lang w:val="ru-RU"/>
        </w:rPr>
        <w:t xml:space="preserve">, </w:t>
      </w:r>
      <w:proofErr w:type="spellStart"/>
      <w:r w:rsidRPr="004638AE">
        <w:t>Proquest</w:t>
      </w:r>
      <w:proofErr w:type="spellEnd"/>
      <w:r w:rsidRPr="004638AE">
        <w:rPr>
          <w:lang w:val="ru-RU"/>
        </w:rPr>
        <w:t xml:space="preserve"> </w:t>
      </w:r>
      <w:r w:rsidRPr="004638AE">
        <w:t>Dialog</w:t>
      </w:r>
      <w:r w:rsidRPr="004638AE">
        <w:rPr>
          <w:lang w:val="ru-RU"/>
        </w:rPr>
        <w:t xml:space="preserve">, </w:t>
      </w:r>
      <w:r w:rsidRPr="004638AE">
        <w:t>Genome</w:t>
      </w:r>
      <w:r w:rsidRPr="004638AE">
        <w:rPr>
          <w:lang w:val="ru-RU"/>
        </w:rPr>
        <w:t xml:space="preserve"> </w:t>
      </w:r>
      <w:r w:rsidRPr="004638AE">
        <w:t>Quest</w:t>
      </w:r>
      <w:r w:rsidRPr="004638AE">
        <w:rPr>
          <w:lang w:val="ru-RU"/>
        </w:rPr>
        <w:t>, а также к Электронной библиотеке научной информации (</w:t>
      </w:r>
      <w:r w:rsidRPr="004638AE">
        <w:t>BEIC</w:t>
      </w:r>
      <w:r w:rsidRPr="004638AE">
        <w:rPr>
          <w:lang w:val="ru-RU"/>
        </w:rPr>
        <w:t>), которая представляет собой средство поиска, разработанное Национальной комиссией по научно-техническим исследованиям (</w:t>
      </w:r>
      <w:r w:rsidRPr="004638AE">
        <w:t>CONICYT</w:t>
      </w:r>
      <w:r w:rsidRPr="004638AE">
        <w:rPr>
          <w:lang w:val="ru-RU"/>
        </w:rPr>
        <w:t xml:space="preserve">) и позволяющее искать необходимую информацию в научных публикациях, таких как </w:t>
      </w:r>
      <w:r w:rsidRPr="004638AE">
        <w:t>Oxford</w:t>
      </w:r>
      <w:r w:rsidRPr="004638AE">
        <w:rPr>
          <w:lang w:val="ru-RU"/>
        </w:rPr>
        <w:t xml:space="preserve"> </w:t>
      </w:r>
      <w:r w:rsidRPr="004638AE">
        <w:t>University</w:t>
      </w:r>
      <w:r w:rsidRPr="004638AE">
        <w:rPr>
          <w:lang w:val="ru-RU"/>
        </w:rPr>
        <w:t xml:space="preserve"> </w:t>
      </w:r>
      <w:r w:rsidRPr="004638AE">
        <w:t>Press</w:t>
      </w:r>
      <w:r w:rsidRPr="004638AE">
        <w:rPr>
          <w:lang w:val="ru-RU"/>
        </w:rPr>
        <w:t xml:space="preserve">, </w:t>
      </w:r>
      <w:r w:rsidRPr="004638AE">
        <w:t>Elsevier</w:t>
      </w:r>
      <w:r w:rsidRPr="004638AE">
        <w:rPr>
          <w:lang w:val="ru-RU"/>
        </w:rPr>
        <w:t xml:space="preserve">, </w:t>
      </w:r>
      <w:r w:rsidRPr="004638AE">
        <w:t>AAAS</w:t>
      </w:r>
      <w:r w:rsidRPr="004638AE">
        <w:rPr>
          <w:lang w:val="ru-RU"/>
        </w:rPr>
        <w:t xml:space="preserve">, </w:t>
      </w:r>
      <w:r w:rsidRPr="004638AE">
        <w:t>American</w:t>
      </w:r>
      <w:r w:rsidRPr="004638AE">
        <w:rPr>
          <w:lang w:val="ru-RU"/>
        </w:rPr>
        <w:t xml:space="preserve"> </w:t>
      </w:r>
      <w:r w:rsidRPr="004638AE">
        <w:t>Chemical</w:t>
      </w:r>
      <w:r w:rsidRPr="004638AE">
        <w:rPr>
          <w:lang w:val="ru-RU"/>
        </w:rPr>
        <w:t xml:space="preserve"> </w:t>
      </w:r>
      <w:r w:rsidRPr="004638AE">
        <w:t>Society</w:t>
      </w:r>
      <w:r w:rsidRPr="004638AE">
        <w:rPr>
          <w:lang w:val="ru-RU"/>
        </w:rPr>
        <w:t xml:space="preserve">, </w:t>
      </w:r>
      <w:r w:rsidRPr="004638AE">
        <w:t>Annual</w:t>
      </w:r>
      <w:r w:rsidRPr="004638AE">
        <w:rPr>
          <w:lang w:val="ru-RU"/>
        </w:rPr>
        <w:t xml:space="preserve"> </w:t>
      </w:r>
      <w:r w:rsidRPr="004638AE">
        <w:t>Reviews</w:t>
      </w:r>
      <w:r w:rsidRPr="004638AE">
        <w:rPr>
          <w:lang w:val="ru-RU"/>
        </w:rPr>
        <w:t xml:space="preserve">, </w:t>
      </w:r>
      <w:r w:rsidRPr="004638AE">
        <w:t>Nature</w:t>
      </w:r>
      <w:r w:rsidRPr="004638AE">
        <w:rPr>
          <w:lang w:val="ru-RU"/>
        </w:rPr>
        <w:t xml:space="preserve">, </w:t>
      </w:r>
      <w:r w:rsidRPr="004638AE">
        <w:t>Springer</w:t>
      </w:r>
      <w:r w:rsidRPr="004638AE">
        <w:rPr>
          <w:lang w:val="ru-RU"/>
        </w:rPr>
        <w:t xml:space="preserve"> </w:t>
      </w:r>
      <w:r w:rsidRPr="004638AE">
        <w:t>Links</w:t>
      </w:r>
      <w:r w:rsidRPr="004638AE">
        <w:rPr>
          <w:lang w:val="ru-RU"/>
        </w:rPr>
        <w:t xml:space="preserve"> и </w:t>
      </w:r>
      <w:r w:rsidRPr="004638AE">
        <w:t>Wiley</w:t>
      </w:r>
      <w:r w:rsidRPr="004638AE">
        <w:rPr>
          <w:lang w:val="ru-RU"/>
        </w:rPr>
        <w:t>-</w:t>
      </w:r>
      <w:r w:rsidRPr="004638AE">
        <w:t>Blackwell</w:t>
      </w:r>
      <w:r w:rsidRPr="004638AE">
        <w:rPr>
          <w:lang w:val="ru-RU"/>
        </w:rPr>
        <w:t>.  Правительство затратило значительные средства на создание этой платформы – расходы о по этой статье пр</w:t>
      </w:r>
      <w:r w:rsidR="00863D17" w:rsidRPr="004638AE">
        <w:rPr>
          <w:lang w:val="ru-RU"/>
        </w:rPr>
        <w:t>е</w:t>
      </w:r>
      <w:r w:rsidRPr="004638AE">
        <w:rPr>
          <w:lang w:val="ru-RU"/>
        </w:rPr>
        <w:t>высили 10 млн долл. США</w:t>
      </w:r>
      <w:r w:rsidRPr="00653338">
        <w:rPr>
          <w:lang w:val="ru-RU"/>
        </w:rPr>
        <w:t>.</w:t>
      </w:r>
    </w:p>
    <w:p w14:paraId="0EFB53C6" w14:textId="77777777" w:rsidR="00B75756" w:rsidRPr="00653338" w:rsidRDefault="00B75756" w:rsidP="00B75756">
      <w:pPr>
        <w:rPr>
          <w:lang w:val="ru-RU"/>
        </w:rPr>
      </w:pPr>
    </w:p>
    <w:p w14:paraId="541E502A" w14:textId="458527E2" w:rsidR="00A126B9" w:rsidRPr="004638AE" w:rsidRDefault="00A126B9" w:rsidP="00A126B9">
      <w:pPr>
        <w:rPr>
          <w:lang w:val="ru-RU"/>
        </w:rPr>
      </w:pPr>
      <w:r w:rsidRPr="004638AE">
        <w:rPr>
          <w:lang w:val="ru-RU"/>
        </w:rPr>
        <w:t xml:space="preserve">Кроме того, мы подписали соглашения с Индийским советом по научным и промышленным исследованиям, чтобы иметь доступ к ЦБТЗ, а также соглашения с </w:t>
      </w:r>
      <w:r w:rsidRPr="004638AE">
        <w:t>SIPO</w:t>
      </w:r>
      <w:r w:rsidRPr="004638AE">
        <w:rPr>
          <w:lang w:val="ru-RU"/>
        </w:rPr>
        <w:t xml:space="preserve">, </w:t>
      </w:r>
      <w:r w:rsidR="000149C8" w:rsidRPr="004638AE">
        <w:rPr>
          <w:lang w:val="ru-RU"/>
        </w:rPr>
        <w:t>КВИС</w:t>
      </w:r>
      <w:r w:rsidRPr="004638AE">
        <w:rPr>
          <w:lang w:val="ru-RU"/>
        </w:rPr>
        <w:t xml:space="preserve"> и </w:t>
      </w:r>
      <w:r w:rsidR="000149C8" w:rsidRPr="004638AE">
        <w:rPr>
          <w:lang w:val="ru-RU"/>
        </w:rPr>
        <w:t>ЯПВ</w:t>
      </w:r>
      <w:r w:rsidRPr="004638AE">
        <w:rPr>
          <w:lang w:val="ru-RU"/>
        </w:rPr>
        <w:t xml:space="preserve"> о доступе к определенным базам данных этих ведомств. </w:t>
      </w:r>
    </w:p>
    <w:p w14:paraId="7F9DBC4E" w14:textId="77777777" w:rsidR="00B75756" w:rsidRPr="004638AE" w:rsidRDefault="00B75756" w:rsidP="00B75756">
      <w:pPr>
        <w:rPr>
          <w:lang w:val="ru-RU"/>
        </w:rPr>
      </w:pPr>
    </w:p>
    <w:p w14:paraId="614DF053" w14:textId="77777777" w:rsidR="0083261F" w:rsidRPr="004638AE" w:rsidRDefault="0083261F" w:rsidP="0083261F">
      <w:pPr>
        <w:rPr>
          <w:b/>
          <w:i/>
          <w:lang w:val="ru-RU"/>
        </w:rPr>
      </w:pPr>
      <w:r w:rsidRPr="004638AE">
        <w:rPr>
          <w:b/>
          <w:i/>
          <w:lang w:val="ru-RU"/>
        </w:rPr>
        <w:t xml:space="preserve">Правила 36.1 (iii) и 63.1 (iii):  </w:t>
      </w:r>
      <w:r w:rsidRPr="004638AE">
        <w:rPr>
          <w:b/>
          <w:bCs/>
          <w:i/>
          <w:lang w:val="ru-RU"/>
        </w:rPr>
        <w:t>Это ведомство или организация должна иметь штат, который способен проводить поиск в необходимых областях техники и который обладает достаточными языковыми знаниями для понимания, по крайней мере, тех языков, на которых написан или на которые переведен минимум документации, упомянутый в правиле 34</w:t>
      </w:r>
      <w:r w:rsidRPr="004638AE">
        <w:rPr>
          <w:b/>
          <w:i/>
          <w:lang w:val="ru-RU"/>
        </w:rPr>
        <w:t>.</w:t>
      </w:r>
    </w:p>
    <w:p w14:paraId="060980E3" w14:textId="77777777" w:rsidR="00B75756" w:rsidRPr="004638AE" w:rsidRDefault="00B75756" w:rsidP="008D478E">
      <w:pPr>
        <w:keepNext/>
        <w:keepLines/>
        <w:rPr>
          <w:szCs w:val="22"/>
          <w:lang w:val="ru-RU"/>
        </w:rPr>
      </w:pPr>
    </w:p>
    <w:p w14:paraId="35A24B0C" w14:textId="77777777" w:rsidR="0083261F" w:rsidRPr="004638AE" w:rsidRDefault="0083261F" w:rsidP="0083261F">
      <w:pPr>
        <w:rPr>
          <w:b/>
          <w:bCs/>
          <w:szCs w:val="22"/>
          <w:lang w:val="ru-RU"/>
        </w:rPr>
      </w:pPr>
      <w:r w:rsidRPr="004638AE">
        <w:rPr>
          <w:b/>
          <w:bCs/>
          <w:lang w:val="ru-RU"/>
        </w:rPr>
        <w:t>Язык(и), на котором(ых) могут подаваться и обрабатываться национальные заявки:</w:t>
      </w:r>
    </w:p>
    <w:p w14:paraId="2E25E93F" w14:textId="77777777" w:rsidR="00B75756" w:rsidRPr="004638AE" w:rsidRDefault="00B75756" w:rsidP="008D478E">
      <w:pPr>
        <w:rPr>
          <w:lang w:val="ru-RU"/>
        </w:rPr>
      </w:pPr>
    </w:p>
    <w:p w14:paraId="43D95B3A" w14:textId="77777777" w:rsidR="00A126B9" w:rsidRPr="004638AE" w:rsidRDefault="00A126B9" w:rsidP="00A126B9">
      <w:pPr>
        <w:rPr>
          <w:lang w:val="ru-RU"/>
        </w:rPr>
      </w:pPr>
      <w:proofErr w:type="gramStart"/>
      <w:r w:rsidRPr="004638AE">
        <w:t>INAPI</w:t>
      </w:r>
      <w:r w:rsidRPr="004638AE">
        <w:rPr>
          <w:lang w:val="ru-RU"/>
        </w:rPr>
        <w:t xml:space="preserve"> принимает заявки только на испанском языке.</w:t>
      </w:r>
      <w:proofErr w:type="gramEnd"/>
      <w:r w:rsidRPr="004638AE">
        <w:rPr>
          <w:lang w:val="ru-RU"/>
        </w:rPr>
        <w:t xml:space="preserve">  Любая заявка, поданная на любом другом языке, должна быть надлежащим образом переведена на испанский язык, чтобы быть принятой для поиска и экспертизы.</w:t>
      </w:r>
    </w:p>
    <w:p w14:paraId="4EB37F03" w14:textId="77777777" w:rsidR="00B75756" w:rsidRPr="004638AE" w:rsidRDefault="00B75756" w:rsidP="008D478E">
      <w:pPr>
        <w:rPr>
          <w:lang w:val="ru-RU"/>
        </w:rPr>
      </w:pPr>
    </w:p>
    <w:p w14:paraId="571C789F" w14:textId="77777777" w:rsidR="0083261F" w:rsidRPr="004638AE" w:rsidRDefault="0083261F" w:rsidP="00F3105C">
      <w:pPr>
        <w:keepNext/>
        <w:keepLines/>
        <w:rPr>
          <w:b/>
          <w:bCs/>
          <w:szCs w:val="22"/>
          <w:lang w:val="ru-RU"/>
        </w:rPr>
      </w:pPr>
      <w:r w:rsidRPr="004638AE">
        <w:rPr>
          <w:b/>
          <w:lang w:val="ru-RU"/>
        </w:rPr>
        <w:t>Другие языки, которыми владеет большое число экспертов</w:t>
      </w:r>
      <w:r w:rsidRPr="004638AE">
        <w:rPr>
          <w:b/>
          <w:bCs/>
          <w:szCs w:val="22"/>
          <w:lang w:val="ru-RU"/>
        </w:rPr>
        <w:t>:</w:t>
      </w:r>
      <w:r w:rsidRPr="004638AE">
        <w:rPr>
          <w:szCs w:val="22"/>
          <w:lang w:val="ru-RU"/>
        </w:rPr>
        <w:t xml:space="preserve">  </w:t>
      </w:r>
    </w:p>
    <w:p w14:paraId="7A4C4021" w14:textId="77777777" w:rsidR="00B75756" w:rsidRPr="004638AE" w:rsidRDefault="00B75756" w:rsidP="00F3105C">
      <w:pPr>
        <w:keepNext/>
        <w:keepLines/>
        <w:rPr>
          <w:lang w:val="ru-RU"/>
        </w:rPr>
      </w:pPr>
    </w:p>
    <w:p w14:paraId="2CC421CD" w14:textId="77777777" w:rsidR="009F1EDA" w:rsidRPr="004638AE" w:rsidRDefault="009F1EDA" w:rsidP="00F3105C">
      <w:pPr>
        <w:keepNext/>
        <w:keepLines/>
        <w:rPr>
          <w:lang w:val="ru-RU"/>
        </w:rPr>
      </w:pPr>
      <w:r w:rsidRPr="004638AE">
        <w:rPr>
          <w:lang w:val="ru-RU"/>
        </w:rPr>
        <w:t>Наши эксперты достаточно хорошо владеют английским языком (около 80% специалистов владеют им на продвинутом уровне и продолжают совершенствовать свои навыки), знают французский и немецкий языки.</w:t>
      </w:r>
    </w:p>
    <w:p w14:paraId="28EBB2D9" w14:textId="77777777" w:rsidR="00B75756" w:rsidRPr="004638AE" w:rsidRDefault="00B75756" w:rsidP="008D478E">
      <w:pPr>
        <w:rPr>
          <w:lang w:val="ru-RU"/>
        </w:rPr>
      </w:pPr>
    </w:p>
    <w:p w14:paraId="7538E8AC" w14:textId="18D40C2A" w:rsidR="0083261F" w:rsidRPr="004638AE" w:rsidRDefault="0083261F" w:rsidP="0083261F">
      <w:pPr>
        <w:rPr>
          <w:szCs w:val="22"/>
          <w:lang w:val="ru-RU"/>
        </w:rPr>
      </w:pPr>
      <w:r w:rsidRPr="004638AE">
        <w:rPr>
          <w:b/>
          <w:bCs/>
          <w:szCs w:val="22"/>
          <w:lang w:val="ru-RU"/>
        </w:rPr>
        <w:t xml:space="preserve">Предоставляемые </w:t>
      </w:r>
      <w:r w:rsidRPr="004638AE">
        <w:rPr>
          <w:b/>
          <w:lang w:val="ru-RU"/>
        </w:rPr>
        <w:t>услуги для содействия в проведении поиска или понимании известного уровня техники на других языках</w:t>
      </w:r>
      <w:r w:rsidRPr="004638AE">
        <w:rPr>
          <w:b/>
          <w:bCs/>
          <w:szCs w:val="22"/>
          <w:lang w:val="ru-RU"/>
        </w:rPr>
        <w:t>:</w:t>
      </w:r>
      <w:r w:rsidRPr="004638AE">
        <w:rPr>
          <w:szCs w:val="22"/>
          <w:lang w:val="ru-RU"/>
        </w:rPr>
        <w:t xml:space="preserve">  </w:t>
      </w:r>
    </w:p>
    <w:p w14:paraId="23431761" w14:textId="77777777" w:rsidR="00B75756" w:rsidRPr="004638AE" w:rsidRDefault="00B75756" w:rsidP="008D478E">
      <w:pPr>
        <w:rPr>
          <w:lang w:val="ru-RU"/>
        </w:rPr>
      </w:pPr>
    </w:p>
    <w:p w14:paraId="41366099" w14:textId="77777777" w:rsidR="00E251BB" w:rsidRPr="004638AE" w:rsidRDefault="00E251BB" w:rsidP="00E251BB">
      <w:pPr>
        <w:rPr>
          <w:lang w:val="ru-RU"/>
        </w:rPr>
      </w:pPr>
      <w:r w:rsidRPr="004638AE">
        <w:rPr>
          <w:lang w:val="ru-RU"/>
        </w:rPr>
        <w:t>Как уже отмечалось, обучение английскому языку считается частью ежегодной программы обучения наших сотрудников и служит эффективным инструментом, помогающим им лучше ориентироваться в информации об известном уровне техники на других языках.</w:t>
      </w:r>
    </w:p>
    <w:p w14:paraId="648DE03F" w14:textId="77777777" w:rsidR="00B75756" w:rsidRPr="004638AE" w:rsidRDefault="00B75756" w:rsidP="008D478E">
      <w:pPr>
        <w:rPr>
          <w:lang w:val="ru-RU"/>
        </w:rPr>
      </w:pPr>
    </w:p>
    <w:p w14:paraId="2B50E09E" w14:textId="5BDB3192" w:rsidR="00E251BB" w:rsidRPr="004638AE" w:rsidRDefault="00E251BB" w:rsidP="00E251BB">
      <w:pPr>
        <w:rPr>
          <w:lang w:val="ru-RU"/>
        </w:rPr>
      </w:pPr>
      <w:r w:rsidRPr="004638AE">
        <w:rPr>
          <w:lang w:val="ru-RU"/>
        </w:rPr>
        <w:t xml:space="preserve">Помимо этого, некоторые из наших баз данных содержат компьютерные переводы документов, а некоторые другие – документы, переведенные специалистами (например, </w:t>
      </w:r>
      <w:r w:rsidRPr="004638AE">
        <w:t>Thomson</w:t>
      </w:r>
      <w:r w:rsidRPr="004638AE">
        <w:rPr>
          <w:lang w:val="ru-RU"/>
        </w:rPr>
        <w:t xml:space="preserve"> </w:t>
      </w:r>
      <w:r w:rsidRPr="004638AE">
        <w:t>Innovation</w:t>
      </w:r>
      <w:r w:rsidRPr="004638AE">
        <w:rPr>
          <w:lang w:val="ru-RU"/>
        </w:rPr>
        <w:t xml:space="preserve">), что обеспечивает </w:t>
      </w:r>
      <w:r w:rsidR="005E3294" w:rsidRPr="004638AE">
        <w:rPr>
          <w:lang w:val="ru-RU"/>
        </w:rPr>
        <w:t>более точный перевод</w:t>
      </w:r>
      <w:r w:rsidRPr="004638AE">
        <w:rPr>
          <w:lang w:val="ru-RU"/>
        </w:rPr>
        <w:t>, особенно если речь идет о некоторых документах из стран Азии, компьютерный перевод которых иногда трудно понять.</w:t>
      </w:r>
    </w:p>
    <w:p w14:paraId="172A0365" w14:textId="77777777" w:rsidR="0083261F" w:rsidRPr="004638AE" w:rsidRDefault="0083261F" w:rsidP="0083261F">
      <w:pPr>
        <w:pStyle w:val="SectionHeading"/>
        <w:rPr>
          <w:lang w:val="ru-RU"/>
        </w:rPr>
      </w:pPr>
      <w:r w:rsidRPr="004638AE">
        <w:rPr>
          <w:lang w:val="ru-RU"/>
        </w:rPr>
        <w:t>2.2 – СИСТЕМА управления качествоМ</w:t>
      </w:r>
    </w:p>
    <w:p w14:paraId="41D0F675" w14:textId="77777777" w:rsidR="0083261F" w:rsidRPr="004638AE" w:rsidRDefault="0083261F" w:rsidP="0083261F">
      <w:pPr>
        <w:rPr>
          <w:b/>
          <w:i/>
          <w:lang w:val="ru-RU"/>
        </w:rPr>
      </w:pPr>
      <w:r w:rsidRPr="004638AE">
        <w:rPr>
          <w:b/>
          <w:bCs/>
          <w:i/>
          <w:lang w:val="ru-RU"/>
        </w:rPr>
        <w:t>Правила 36.1(iv) и 63.1(iv):  Это ведомство или организация должна иметь систему управления качеством и механизмы внутреннего контроля в соответствии с общими правилами международного поиска</w:t>
      </w:r>
      <w:r w:rsidRPr="004638AE">
        <w:rPr>
          <w:b/>
          <w:i/>
          <w:lang w:val="ru-RU"/>
        </w:rPr>
        <w:t>.</w:t>
      </w:r>
    </w:p>
    <w:p w14:paraId="088BCC43" w14:textId="77777777" w:rsidR="00B75756" w:rsidRPr="004638AE" w:rsidRDefault="00B75756" w:rsidP="00B75756">
      <w:pPr>
        <w:jc w:val="both"/>
        <w:rPr>
          <w:b/>
          <w:bCs/>
          <w:szCs w:val="22"/>
          <w:lang w:val="ru-RU"/>
        </w:rPr>
      </w:pPr>
    </w:p>
    <w:p w14:paraId="7627CD13" w14:textId="77777777" w:rsidR="0083261F" w:rsidRPr="00653338" w:rsidRDefault="0083261F" w:rsidP="0083261F">
      <w:pPr>
        <w:rPr>
          <w:szCs w:val="22"/>
          <w:lang w:val="ru-RU"/>
        </w:rPr>
      </w:pPr>
      <w:r w:rsidRPr="004638AE">
        <w:rPr>
          <w:b/>
          <w:bCs/>
          <w:szCs w:val="22"/>
          <w:lang w:val="ru-RU"/>
        </w:rPr>
        <w:t>Национальная</w:t>
      </w:r>
      <w:r w:rsidRPr="00653338">
        <w:rPr>
          <w:b/>
          <w:bCs/>
          <w:szCs w:val="22"/>
          <w:lang w:val="ru-RU"/>
        </w:rPr>
        <w:t xml:space="preserve"> </w:t>
      </w:r>
      <w:r w:rsidRPr="004638AE">
        <w:rPr>
          <w:b/>
          <w:bCs/>
          <w:szCs w:val="22"/>
          <w:lang w:val="ru-RU"/>
        </w:rPr>
        <w:t>система</w:t>
      </w:r>
      <w:r w:rsidRPr="00653338">
        <w:rPr>
          <w:b/>
          <w:bCs/>
          <w:szCs w:val="22"/>
          <w:lang w:val="ru-RU"/>
        </w:rPr>
        <w:t xml:space="preserve"> </w:t>
      </w:r>
      <w:r w:rsidRPr="004638AE">
        <w:rPr>
          <w:b/>
          <w:bCs/>
          <w:szCs w:val="22"/>
          <w:lang w:val="ru-RU"/>
        </w:rPr>
        <w:t>управления</w:t>
      </w:r>
      <w:r w:rsidRPr="00653338">
        <w:rPr>
          <w:b/>
          <w:bCs/>
          <w:szCs w:val="22"/>
          <w:lang w:val="ru-RU"/>
        </w:rPr>
        <w:t xml:space="preserve"> </w:t>
      </w:r>
      <w:r w:rsidRPr="004638AE">
        <w:rPr>
          <w:b/>
          <w:bCs/>
          <w:szCs w:val="22"/>
          <w:lang w:val="ru-RU"/>
        </w:rPr>
        <w:t>качеством</w:t>
      </w:r>
      <w:r w:rsidRPr="00653338">
        <w:rPr>
          <w:b/>
          <w:bCs/>
          <w:szCs w:val="22"/>
          <w:lang w:val="ru-RU"/>
        </w:rPr>
        <w:t>:</w:t>
      </w:r>
    </w:p>
    <w:p w14:paraId="6FF34E95" w14:textId="77777777" w:rsidR="00B75756" w:rsidRPr="00653338" w:rsidRDefault="00B75756" w:rsidP="008D478E">
      <w:pPr>
        <w:rPr>
          <w:lang w:val="ru-RU"/>
        </w:rPr>
      </w:pPr>
    </w:p>
    <w:p w14:paraId="641A8D8F" w14:textId="33D554E5" w:rsidR="00B75756" w:rsidRPr="004638AE" w:rsidRDefault="005E3294" w:rsidP="008D478E">
      <w:pPr>
        <w:rPr>
          <w:lang w:val="ru-RU"/>
        </w:rPr>
      </w:pPr>
      <w:r w:rsidRPr="004638AE">
        <w:rPr>
          <w:lang w:val="ru-RU"/>
        </w:rPr>
        <w:t xml:space="preserve">Система управления качеством </w:t>
      </w:r>
      <w:r w:rsidRPr="004638AE">
        <w:t>INAPI</w:t>
      </w:r>
      <w:r w:rsidRPr="004638AE">
        <w:rPr>
          <w:lang w:val="ru-RU"/>
        </w:rPr>
        <w:t xml:space="preserve"> соответствует требованиям главы 21 Руководства </w:t>
      </w:r>
      <w:r w:rsidRPr="004638AE">
        <w:t>PCT</w:t>
      </w:r>
      <w:r w:rsidRPr="004638AE">
        <w:rPr>
          <w:lang w:val="ru-RU"/>
        </w:rPr>
        <w:t xml:space="preserve"> по проведению международного поиска и международной экспертизы.  Ежегодные отчеты, составляемые в соответствии с этим Руководством начиная с 2013 года, публикуются на веб-сайте ВОИС: </w:t>
      </w:r>
      <w:r w:rsidR="00B75756" w:rsidRPr="004638AE">
        <w:rPr>
          <w:lang w:val="ru-RU"/>
        </w:rPr>
        <w:t xml:space="preserve"> </w:t>
      </w:r>
      <w:r w:rsidR="00B75756" w:rsidRPr="004638AE">
        <w:t>http</w:t>
      </w:r>
      <w:r w:rsidR="00B75756" w:rsidRPr="004638AE">
        <w:rPr>
          <w:lang w:val="ru-RU"/>
        </w:rPr>
        <w:t>://</w:t>
      </w:r>
      <w:r w:rsidR="00B75756" w:rsidRPr="004638AE">
        <w:t>www</w:t>
      </w:r>
      <w:r w:rsidR="00B75756" w:rsidRPr="004638AE">
        <w:rPr>
          <w:lang w:val="ru-RU"/>
        </w:rPr>
        <w:t>.</w:t>
      </w:r>
      <w:proofErr w:type="spellStart"/>
      <w:r w:rsidR="00B75756" w:rsidRPr="004638AE">
        <w:t>wipo</w:t>
      </w:r>
      <w:proofErr w:type="spellEnd"/>
      <w:r w:rsidR="00B75756" w:rsidRPr="004638AE">
        <w:rPr>
          <w:lang w:val="ru-RU"/>
        </w:rPr>
        <w:t>.</w:t>
      </w:r>
      <w:proofErr w:type="spellStart"/>
      <w:r w:rsidR="00B75756" w:rsidRPr="004638AE">
        <w:t>int</w:t>
      </w:r>
      <w:proofErr w:type="spellEnd"/>
      <w:r w:rsidR="00B75756" w:rsidRPr="004638AE">
        <w:rPr>
          <w:lang w:val="ru-RU"/>
        </w:rPr>
        <w:t>/</w:t>
      </w:r>
      <w:r w:rsidR="00B75756" w:rsidRPr="004638AE">
        <w:t>pct</w:t>
      </w:r>
      <w:r w:rsidR="00B75756" w:rsidRPr="004638AE">
        <w:rPr>
          <w:lang w:val="ru-RU"/>
        </w:rPr>
        <w:t>/</w:t>
      </w:r>
      <w:proofErr w:type="spellStart"/>
      <w:r w:rsidR="00B75756" w:rsidRPr="004638AE">
        <w:t>en</w:t>
      </w:r>
      <w:proofErr w:type="spellEnd"/>
      <w:r w:rsidR="00B75756" w:rsidRPr="004638AE">
        <w:rPr>
          <w:lang w:val="ru-RU"/>
        </w:rPr>
        <w:t>/</w:t>
      </w:r>
      <w:r w:rsidR="00B75756" w:rsidRPr="004638AE">
        <w:t>quality</w:t>
      </w:r>
      <w:r w:rsidR="00B75756" w:rsidRPr="004638AE">
        <w:rPr>
          <w:lang w:val="ru-RU"/>
        </w:rPr>
        <w:t>/</w:t>
      </w:r>
      <w:r w:rsidR="00B75756" w:rsidRPr="004638AE">
        <w:t>authorities</w:t>
      </w:r>
      <w:r w:rsidR="00B75756" w:rsidRPr="004638AE">
        <w:rPr>
          <w:lang w:val="ru-RU"/>
        </w:rPr>
        <w:t>.</w:t>
      </w:r>
      <w:r w:rsidR="00B75756" w:rsidRPr="004638AE">
        <w:t>html</w:t>
      </w:r>
      <w:r w:rsidR="00B75756" w:rsidRPr="004638AE">
        <w:rPr>
          <w:lang w:val="ru-RU"/>
        </w:rPr>
        <w:t>.</w:t>
      </w:r>
    </w:p>
    <w:p w14:paraId="69B58249" w14:textId="77777777" w:rsidR="00B75756" w:rsidRPr="004638AE" w:rsidRDefault="00B75756" w:rsidP="008D478E">
      <w:pPr>
        <w:rPr>
          <w:lang w:val="ru-RU"/>
        </w:rPr>
      </w:pPr>
    </w:p>
    <w:p w14:paraId="760D2700" w14:textId="129D58CE" w:rsidR="00AD3731" w:rsidRPr="004638AE" w:rsidRDefault="00AD3731" w:rsidP="00AD3731">
      <w:pPr>
        <w:rPr>
          <w:lang w:val="ru-RU"/>
        </w:rPr>
      </w:pPr>
      <w:r w:rsidRPr="004638AE">
        <w:rPr>
          <w:lang w:val="ru-RU"/>
        </w:rPr>
        <w:t xml:space="preserve">Хотя наша деятельность в качестве МПО/ОМПЭ еще не сертифицирована в соответствии с </w:t>
      </w:r>
      <w:r w:rsidRPr="004638AE">
        <w:t>ISO</w:t>
      </w:r>
      <w:r w:rsidRPr="004638AE">
        <w:rPr>
          <w:lang w:val="ru-RU"/>
        </w:rPr>
        <w:t xml:space="preserve"> 9001, в отличие от наших функций в качестве получающего ведомства, в 2018 г. мы планируем включить и то, и другое в программу повторной сертификации (с логическим переходом на версию </w:t>
      </w:r>
      <w:r w:rsidRPr="004638AE">
        <w:t>ISO</w:t>
      </w:r>
      <w:r w:rsidRPr="004638AE">
        <w:rPr>
          <w:lang w:val="ru-RU"/>
        </w:rPr>
        <w:t xml:space="preserve"> 9001:2015), в связи с чем все операции, считающиеся частью процесса работы МПО/ОМПЭ, в том числе составление необходимой учетной документации и меры по устранению недостатков, разработаны соответствующим образом, а переход на стандарт </w:t>
      </w:r>
      <w:r w:rsidRPr="004638AE">
        <w:t>ISO</w:t>
      </w:r>
      <w:r w:rsidRPr="004638AE">
        <w:rPr>
          <w:lang w:val="ru-RU"/>
        </w:rPr>
        <w:t xml:space="preserve"> 9001 необходим для постоянного совершенствования.  Эта система действует с октября 2014 года, с начала нашей работы в качестве МПО/ОМПЭ, поскольку </w:t>
      </w:r>
      <w:r w:rsidR="000149C8" w:rsidRPr="004638AE">
        <w:rPr>
          <w:lang w:val="ru-RU"/>
        </w:rPr>
        <w:t xml:space="preserve">изначально </w:t>
      </w:r>
      <w:r w:rsidRPr="004638AE">
        <w:rPr>
          <w:lang w:val="ru-RU"/>
        </w:rPr>
        <w:t xml:space="preserve">этот процесс разрабатывался на основе этого </w:t>
      </w:r>
      <w:r w:rsidRPr="004638AE">
        <w:t>ISO</w:t>
      </w:r>
      <w:r w:rsidRPr="004638AE">
        <w:rPr>
          <w:lang w:val="ru-RU"/>
        </w:rPr>
        <w:t>.</w:t>
      </w:r>
    </w:p>
    <w:p w14:paraId="7BA21349" w14:textId="77777777" w:rsidR="0083261F" w:rsidRPr="004638AE" w:rsidRDefault="0083261F" w:rsidP="0083261F">
      <w:pPr>
        <w:pStyle w:val="SectionHeading"/>
        <w:rPr>
          <w:lang w:val="ru-RU"/>
        </w:rPr>
      </w:pPr>
      <w:r w:rsidRPr="004638AE">
        <w:rPr>
          <w:lang w:val="ru-RU"/>
        </w:rPr>
        <w:t>3 – предполагаемый объем ОПЕРАЦИЙ</w:t>
      </w:r>
    </w:p>
    <w:p w14:paraId="13CAD3AE" w14:textId="77777777" w:rsidR="0083261F" w:rsidRPr="004638AE" w:rsidRDefault="0083261F" w:rsidP="0083261F">
      <w:pPr>
        <w:rPr>
          <w:b/>
          <w:bCs/>
          <w:szCs w:val="22"/>
          <w:lang w:val="ru-RU"/>
        </w:rPr>
      </w:pPr>
      <w:r w:rsidRPr="004638AE">
        <w:rPr>
          <w:b/>
          <w:bCs/>
          <w:lang w:val="ru-RU"/>
        </w:rPr>
        <w:t>Язык(и), на котором(ых) будут предоставляться услуги</w:t>
      </w:r>
      <w:r w:rsidRPr="004638AE">
        <w:rPr>
          <w:b/>
          <w:bCs/>
          <w:szCs w:val="22"/>
          <w:lang w:val="ru-RU"/>
        </w:rPr>
        <w:t>:</w:t>
      </w:r>
    </w:p>
    <w:p w14:paraId="67276CEF" w14:textId="77777777" w:rsidR="00B75756" w:rsidRPr="004638AE" w:rsidRDefault="00B75756" w:rsidP="00B75756">
      <w:pPr>
        <w:rPr>
          <w:szCs w:val="22"/>
          <w:lang w:val="ru-RU"/>
        </w:rPr>
      </w:pPr>
    </w:p>
    <w:p w14:paraId="4365E279" w14:textId="77777777" w:rsidR="00AD3731" w:rsidRPr="004638AE" w:rsidRDefault="0083261F" w:rsidP="00AD3731">
      <w:pPr>
        <w:rPr>
          <w:lang w:val="ru-RU"/>
        </w:rPr>
      </w:pPr>
      <w:r w:rsidRPr="004638AE">
        <w:rPr>
          <w:b/>
          <w:bCs/>
          <w:szCs w:val="22"/>
          <w:lang w:val="ru-RU"/>
        </w:rPr>
        <w:t>Государства или получающие ведомства, для которых будут предлагаться услуги компетентного органа</w:t>
      </w:r>
      <w:r w:rsidR="00B75756" w:rsidRPr="004638AE">
        <w:rPr>
          <w:bCs/>
          <w:szCs w:val="22"/>
          <w:lang w:val="ru-RU"/>
        </w:rPr>
        <w:t>:</w:t>
      </w:r>
      <w:r w:rsidR="008D478E" w:rsidRPr="004638AE">
        <w:rPr>
          <w:lang w:val="ru-RU"/>
        </w:rPr>
        <w:t xml:space="preserve"> </w:t>
      </w:r>
      <w:r w:rsidR="00B75756" w:rsidRPr="004638AE">
        <w:rPr>
          <w:lang w:val="ru-RU"/>
        </w:rPr>
        <w:t xml:space="preserve"> </w:t>
      </w:r>
      <w:r w:rsidR="00AD3731" w:rsidRPr="004638AE">
        <w:rPr>
          <w:lang w:val="ru-RU"/>
        </w:rPr>
        <w:t xml:space="preserve">Страны Латинской Америки и Карибского бассейна.  В настоящее время 11 стран региона, в том числе Чили, Перу, Эквадор, Колумбия, Панама, Куба, Доминиканская Республика, Гватемала, Коста-Рика, Эль-Сальвадор и Мексика, планируют использовать </w:t>
      </w:r>
      <w:r w:rsidR="00AD3731" w:rsidRPr="004638AE">
        <w:t>INAPI</w:t>
      </w:r>
      <w:r w:rsidR="00AD3731" w:rsidRPr="004638AE">
        <w:rPr>
          <w:lang w:val="ru-RU"/>
        </w:rPr>
        <w:t xml:space="preserve"> в качестве МПО/ОМПЭ.</w:t>
      </w:r>
    </w:p>
    <w:p w14:paraId="67547927" w14:textId="77777777" w:rsidR="00B75756" w:rsidRPr="004638AE" w:rsidRDefault="00B75756" w:rsidP="00B75756">
      <w:pPr>
        <w:rPr>
          <w:szCs w:val="22"/>
          <w:lang w:val="ru-RU"/>
        </w:rPr>
      </w:pPr>
    </w:p>
    <w:p w14:paraId="59E87221" w14:textId="77777777" w:rsidR="00626153" w:rsidRPr="004638AE" w:rsidRDefault="0083261F" w:rsidP="00626153">
      <w:pPr>
        <w:rPr>
          <w:lang w:val="ru-RU"/>
        </w:rPr>
      </w:pPr>
      <w:r w:rsidRPr="004638AE">
        <w:rPr>
          <w:b/>
          <w:bCs/>
          <w:szCs w:val="22"/>
          <w:lang w:val="ru-RU"/>
        </w:rPr>
        <w:t>Ограничения в отношении объема операций</w:t>
      </w:r>
      <w:r w:rsidR="00B75756" w:rsidRPr="004638AE">
        <w:rPr>
          <w:b/>
          <w:lang w:val="ru-RU"/>
        </w:rPr>
        <w:t>:</w:t>
      </w:r>
      <w:r w:rsidR="008D478E" w:rsidRPr="004638AE">
        <w:rPr>
          <w:lang w:val="ru-RU"/>
        </w:rPr>
        <w:t xml:space="preserve"> </w:t>
      </w:r>
      <w:r w:rsidR="00B75756" w:rsidRPr="004638AE">
        <w:rPr>
          <w:lang w:val="ru-RU"/>
        </w:rPr>
        <w:t xml:space="preserve"> </w:t>
      </w:r>
      <w:r w:rsidR="00B75756" w:rsidRPr="004638AE">
        <w:t>INAPI</w:t>
      </w:r>
      <w:r w:rsidR="00B75756" w:rsidRPr="004638AE">
        <w:rPr>
          <w:lang w:val="ru-RU"/>
        </w:rPr>
        <w:t xml:space="preserve"> </w:t>
      </w:r>
      <w:r w:rsidR="00626153" w:rsidRPr="004638AE">
        <w:rPr>
          <w:lang w:val="ru-RU"/>
        </w:rPr>
        <w:t>не проводит международный поиск и предварительную экспертизу по заявкам, поданным не на испанском языке.</w:t>
      </w:r>
    </w:p>
    <w:p w14:paraId="2EB8BE16" w14:textId="5D6A811F" w:rsidR="00B75756" w:rsidRPr="004638AE" w:rsidRDefault="00B75756" w:rsidP="008D478E">
      <w:pPr>
        <w:rPr>
          <w:lang w:val="ru-RU"/>
        </w:rPr>
      </w:pPr>
    </w:p>
    <w:p w14:paraId="29518DC5" w14:textId="4F7902EB" w:rsidR="00B75756" w:rsidRPr="004638AE" w:rsidRDefault="000149C8" w:rsidP="00B75756">
      <w:pPr>
        <w:rPr>
          <w:lang w:val="ru-RU"/>
        </w:rPr>
      </w:pPr>
      <w:r w:rsidRPr="004638AE">
        <w:rPr>
          <w:lang w:val="ru-RU"/>
        </w:rPr>
        <w:t>Что касается исключения объектов из поиска или экспертизы, то поиск и экспертиза проводятся в отношении всех объектов, по которым такие действия осуществляются в случае чилийских национальных заявок.</w:t>
      </w:r>
    </w:p>
    <w:p w14:paraId="38B88D18" w14:textId="77777777" w:rsidR="0083261F" w:rsidRPr="00653338" w:rsidRDefault="0083261F" w:rsidP="0083261F">
      <w:pPr>
        <w:pStyle w:val="SectionHeading"/>
        <w:rPr>
          <w:lang w:val="ru-RU"/>
        </w:rPr>
      </w:pPr>
      <w:r w:rsidRPr="00653338">
        <w:rPr>
          <w:lang w:val="ru-RU"/>
        </w:rPr>
        <w:t xml:space="preserve">4 – </w:t>
      </w:r>
      <w:r w:rsidRPr="004638AE">
        <w:rPr>
          <w:lang w:val="ru-RU"/>
        </w:rPr>
        <w:t>ОБОСНОВАНИЕ</w:t>
      </w:r>
      <w:r w:rsidRPr="00653338">
        <w:rPr>
          <w:lang w:val="ru-RU"/>
        </w:rPr>
        <w:t xml:space="preserve"> </w:t>
      </w:r>
      <w:r w:rsidRPr="004638AE">
        <w:rPr>
          <w:lang w:val="ru-RU"/>
        </w:rPr>
        <w:t>ЗАЯВления</w:t>
      </w:r>
    </w:p>
    <w:p w14:paraId="021EE28E" w14:textId="776A7FE5" w:rsidR="00287D7F" w:rsidRPr="004638AE" w:rsidRDefault="00287D7F" w:rsidP="00287D7F">
      <w:pPr>
        <w:rPr>
          <w:lang w:val="ru-RU"/>
        </w:rPr>
      </w:pPr>
      <w:r w:rsidRPr="004638AE">
        <w:rPr>
          <w:lang w:val="ru-RU"/>
        </w:rPr>
        <w:t xml:space="preserve">Как и само создание </w:t>
      </w:r>
      <w:r w:rsidRPr="004638AE">
        <w:t>INAPI</w:t>
      </w:r>
      <w:r w:rsidRPr="004638AE">
        <w:rPr>
          <w:lang w:val="ru-RU"/>
        </w:rPr>
        <w:t xml:space="preserve">, так и работа, выполненная ведомством с момента его создания, помогли перейти к следующей стадии процесса преобразования системы интеллектуальной собственности в Чили.  В этом контексте </w:t>
      </w:r>
      <w:r w:rsidRPr="004638AE">
        <w:t>INAPI</w:t>
      </w:r>
      <w:r w:rsidRPr="004638AE">
        <w:rPr>
          <w:lang w:val="ru-RU"/>
        </w:rPr>
        <w:t xml:space="preserve"> превратился в современное и эффективное ведомство, способное не только оказывать высококачественные услуги, но и активно взаимодействовать со всей международной системой интеллектуальной собственности.</w:t>
      </w:r>
    </w:p>
    <w:p w14:paraId="5B807035" w14:textId="77777777" w:rsidR="00B75756" w:rsidRPr="004638AE" w:rsidRDefault="00B75756" w:rsidP="008D478E">
      <w:pPr>
        <w:rPr>
          <w:lang w:val="ru-RU"/>
        </w:rPr>
      </w:pPr>
    </w:p>
    <w:p w14:paraId="43FCAEFA" w14:textId="77777777" w:rsidR="00287D7F" w:rsidRPr="004638AE" w:rsidRDefault="00287D7F" w:rsidP="00287D7F">
      <w:pPr>
        <w:rPr>
          <w:lang w:val="ru-RU"/>
        </w:rPr>
      </w:pPr>
      <w:proofErr w:type="gramStart"/>
      <w:r w:rsidRPr="004638AE">
        <w:t>INAPI</w:t>
      </w:r>
      <w:r w:rsidRPr="004638AE">
        <w:rPr>
          <w:lang w:val="ru-RU"/>
        </w:rPr>
        <w:t xml:space="preserve"> глубоко убежден в том, что международная система интеллектуальной собственности имеет большое значение для содействия инновациям и предпринимательству.</w:t>
      </w:r>
      <w:proofErr w:type="gramEnd"/>
      <w:r w:rsidRPr="004638AE">
        <w:rPr>
          <w:lang w:val="ru-RU"/>
        </w:rPr>
        <w:t xml:space="preserve">  В этом контексте Договор о патентной кооперации (</w:t>
      </w:r>
      <w:r w:rsidRPr="004638AE">
        <w:t>PCT</w:t>
      </w:r>
      <w:r w:rsidRPr="004638AE">
        <w:rPr>
          <w:lang w:val="ru-RU"/>
        </w:rPr>
        <w:t xml:space="preserve">) играет ключевую роль, поскольку с момента его вступления в силу в Чили, реализация этого договора является одним из стратегических приоритетов </w:t>
      </w:r>
      <w:r w:rsidRPr="004638AE">
        <w:t>INAPI</w:t>
      </w:r>
      <w:r w:rsidRPr="004638AE">
        <w:rPr>
          <w:lang w:val="ru-RU"/>
        </w:rPr>
        <w:t xml:space="preserve">. </w:t>
      </w:r>
    </w:p>
    <w:p w14:paraId="45B7B1D1" w14:textId="77777777" w:rsidR="00B75756" w:rsidRPr="004638AE" w:rsidRDefault="00B75756" w:rsidP="008D478E">
      <w:pPr>
        <w:rPr>
          <w:lang w:val="ru-RU"/>
        </w:rPr>
      </w:pPr>
    </w:p>
    <w:p w14:paraId="218B9FAB" w14:textId="200F5732" w:rsidR="00113679" w:rsidRPr="004638AE" w:rsidRDefault="00113679" w:rsidP="00113679">
      <w:pPr>
        <w:rPr>
          <w:lang w:val="ru-RU"/>
        </w:rPr>
      </w:pPr>
      <w:r w:rsidRPr="004638AE">
        <w:rPr>
          <w:lang w:val="ru-RU"/>
        </w:rPr>
        <w:t xml:space="preserve">Правительство Чили считает, что </w:t>
      </w:r>
      <w:r w:rsidRPr="004638AE">
        <w:t>PCT</w:t>
      </w:r>
      <w:r w:rsidRPr="004638AE">
        <w:rPr>
          <w:lang w:val="ru-RU"/>
        </w:rPr>
        <w:t xml:space="preserve"> дает государствам-участникам реальную и практическую возможность взаимодействовать друг с другом и эффективно вносить свой вклад в совершенствование системы, делая ее более привлекательной и доступной для пользователей.  Продлевая назначение </w:t>
      </w:r>
      <w:r w:rsidRPr="004638AE">
        <w:t>INAPI</w:t>
      </w:r>
      <w:r w:rsidRPr="004638AE">
        <w:rPr>
          <w:lang w:val="ru-RU"/>
        </w:rPr>
        <w:t xml:space="preserve"> в качестве МПО/ОМПЭ, правительство Чили считает, что это может способствовать дальнейшему развитию системы в регионе и стимулировать подачу заявок </w:t>
      </w:r>
      <w:r w:rsidR="00AD2B88" w:rsidRPr="004638AE">
        <w:rPr>
          <w:lang w:val="ru-RU"/>
        </w:rPr>
        <w:t xml:space="preserve">по процедуре </w:t>
      </w:r>
      <w:r w:rsidRPr="004638AE">
        <w:t>PCT</w:t>
      </w:r>
      <w:r w:rsidRPr="004638AE">
        <w:rPr>
          <w:lang w:val="ru-RU"/>
        </w:rPr>
        <w:t xml:space="preserve"> в Латинской Америке.  Это особ</w:t>
      </w:r>
      <w:r w:rsidR="00F3105C">
        <w:rPr>
          <w:lang w:val="ru-RU"/>
        </w:rPr>
        <w:t>енн</w:t>
      </w:r>
      <w:r w:rsidRPr="004638AE">
        <w:rPr>
          <w:lang w:val="ru-RU"/>
        </w:rPr>
        <w:t xml:space="preserve">о важно, если учесть, что с 2005 по 2020 год количество поданных заявок увеличилось всего на 4,8%, что намного меньше, чем в других регионах, таких как Азия, где количество заявок, поданных </w:t>
      </w:r>
      <w:r w:rsidR="00AD2B88" w:rsidRPr="004638AE">
        <w:rPr>
          <w:lang w:val="ru-RU"/>
        </w:rPr>
        <w:t>по процедуре</w:t>
      </w:r>
      <w:r w:rsidRPr="004638AE">
        <w:rPr>
          <w:lang w:val="ru-RU"/>
        </w:rPr>
        <w:t xml:space="preserve"> </w:t>
      </w:r>
      <w:r w:rsidRPr="004638AE">
        <w:t>PCT</w:t>
      </w:r>
      <w:r w:rsidRPr="004638AE">
        <w:rPr>
          <w:lang w:val="ru-RU"/>
        </w:rPr>
        <w:t>, увеличилось на 10,9% за этот же период.</w:t>
      </w:r>
    </w:p>
    <w:p w14:paraId="732B411D" w14:textId="77777777" w:rsidR="00B75756" w:rsidRPr="004638AE" w:rsidRDefault="00B75756" w:rsidP="008D478E">
      <w:pPr>
        <w:rPr>
          <w:lang w:val="ru-RU"/>
        </w:rPr>
      </w:pPr>
    </w:p>
    <w:p w14:paraId="3F390E4E" w14:textId="77777777" w:rsidR="00113679" w:rsidRPr="004638AE" w:rsidRDefault="00113679" w:rsidP="00113679">
      <w:pPr>
        <w:rPr>
          <w:lang w:val="ru-RU"/>
        </w:rPr>
      </w:pPr>
      <w:r w:rsidRPr="004638AE">
        <w:rPr>
          <w:lang w:val="ru-RU"/>
        </w:rPr>
        <w:t xml:space="preserve">Кроме того, </w:t>
      </w:r>
      <w:r w:rsidRPr="004638AE">
        <w:t>INAPI</w:t>
      </w:r>
      <w:r w:rsidRPr="004638AE">
        <w:rPr>
          <w:lang w:val="ru-RU"/>
        </w:rPr>
        <w:t xml:space="preserve"> убежден в том, что роль, которую он играет в качестве испаноязычного МПО/ОМПЭ, идет на пользу тем странам региона Латинской Америки, которые пока еще не присоединились к договору или уже обсуждают возможность присоединения к нему.  Активное участие </w:t>
      </w:r>
      <w:r w:rsidRPr="004638AE">
        <w:t>INAPI</w:t>
      </w:r>
      <w:r w:rsidRPr="004638AE">
        <w:rPr>
          <w:lang w:val="ru-RU"/>
        </w:rPr>
        <w:t xml:space="preserve"> во всех компонентах системы </w:t>
      </w:r>
      <w:r w:rsidRPr="004638AE">
        <w:t>PCT</w:t>
      </w:r>
      <w:r w:rsidRPr="004638AE">
        <w:rPr>
          <w:lang w:val="ru-RU"/>
        </w:rPr>
        <w:t xml:space="preserve"> позволяет ему делиться опытом и помогать тем странам, которые уже стали или хотят стать частью этой системы.  Наличие в регионе испаноязычного МПО/ОМПЭ, способного проводить международный поиск и предварительную экспертизу, вне всякого сомнения, идет на пользу всей системе. </w:t>
      </w:r>
    </w:p>
    <w:p w14:paraId="5BD883AB" w14:textId="77777777" w:rsidR="00B75756" w:rsidRPr="004638AE" w:rsidRDefault="00B75756" w:rsidP="008D478E">
      <w:pPr>
        <w:rPr>
          <w:lang w:val="ru-RU"/>
        </w:rPr>
      </w:pPr>
    </w:p>
    <w:p w14:paraId="629ACABC" w14:textId="663387AF" w:rsidR="00B75756" w:rsidRPr="004638AE" w:rsidRDefault="00113679" w:rsidP="008D478E">
      <w:pPr>
        <w:rPr>
          <w:lang w:val="ru-RU"/>
        </w:rPr>
      </w:pPr>
      <w:r w:rsidRPr="004638AE">
        <w:rPr>
          <w:lang w:val="ru-RU"/>
        </w:rPr>
        <w:t xml:space="preserve">В этой связи, а также руководствуясь стратегией содействия более широкому использованию системы, правительство Чили считает, что сегодня существование МПО/ОМПЭ в регионе Латинской Америки имеет очень большое значение, позволяя избежать возможных задержек в рассмотрении подаваемых </w:t>
      </w:r>
      <w:r w:rsidR="00AD2B88" w:rsidRPr="004638AE">
        <w:rPr>
          <w:lang w:val="ru-RU"/>
        </w:rPr>
        <w:t>по процедуре</w:t>
      </w:r>
      <w:r w:rsidRPr="004638AE">
        <w:rPr>
          <w:lang w:val="ru-RU"/>
        </w:rPr>
        <w:t xml:space="preserve"> </w:t>
      </w:r>
      <w:r w:rsidRPr="004638AE">
        <w:t>PCT</w:t>
      </w:r>
      <w:r w:rsidRPr="004638AE">
        <w:rPr>
          <w:lang w:val="ru-RU"/>
        </w:rPr>
        <w:t xml:space="preserve"> международных заявок из-за перегруженности некоторых ведомств.  Кроме того, мы считаем, что используемые для проведения поиска ресурсы должны распределяться между разными регионами мира, с тем чтобы они использовались более эффективно.</w:t>
      </w:r>
    </w:p>
    <w:p w14:paraId="5BE9A17D" w14:textId="77777777" w:rsidR="00113679" w:rsidRPr="004638AE" w:rsidRDefault="00113679" w:rsidP="008D478E">
      <w:pPr>
        <w:rPr>
          <w:lang w:val="ru-RU"/>
        </w:rPr>
      </w:pPr>
    </w:p>
    <w:p w14:paraId="350D3384" w14:textId="77777777" w:rsidR="005F6CFC" w:rsidRPr="004638AE" w:rsidRDefault="005F6CFC" w:rsidP="005F6CFC">
      <w:pPr>
        <w:rPr>
          <w:lang w:val="ru-RU"/>
        </w:rPr>
      </w:pPr>
      <w:r w:rsidRPr="004638AE">
        <w:rPr>
          <w:lang w:val="ru-RU"/>
        </w:rPr>
        <w:t xml:space="preserve">Учитывая заинтересованность Чили в содействии инновациям и предпринимательству и осознавая значение международной патентной системы для достижения этих целей, мы считаем целесообразным продлить назначение </w:t>
      </w:r>
      <w:r w:rsidRPr="004638AE">
        <w:t>INAPI</w:t>
      </w:r>
      <w:r w:rsidRPr="004638AE">
        <w:rPr>
          <w:lang w:val="ru-RU"/>
        </w:rPr>
        <w:t xml:space="preserve"> в качестве МПО/ОМПЭ.  </w:t>
      </w:r>
      <w:r w:rsidRPr="004638AE">
        <w:t>INAPI</w:t>
      </w:r>
      <w:r w:rsidRPr="004638AE">
        <w:rPr>
          <w:lang w:val="ru-RU"/>
        </w:rPr>
        <w:t xml:space="preserve"> соответствует установленным техническим требованиям, что позволяет ему оказывать услуги по проведению поиска и экспертизы как отечественным заявителям, так и заявителям из других государств-участников </w:t>
      </w:r>
      <w:r w:rsidRPr="004638AE">
        <w:t>PCT</w:t>
      </w:r>
      <w:r w:rsidRPr="004638AE">
        <w:rPr>
          <w:lang w:val="ru-RU"/>
        </w:rPr>
        <w:t xml:space="preserve">, особенно из стран Латинской Америки, тем самым способствуя более широкому использованию системы </w:t>
      </w:r>
      <w:r w:rsidRPr="004638AE">
        <w:t>PCT</w:t>
      </w:r>
      <w:r w:rsidRPr="004638AE">
        <w:rPr>
          <w:lang w:val="ru-RU"/>
        </w:rPr>
        <w:t xml:space="preserve"> в регионе. </w:t>
      </w:r>
    </w:p>
    <w:p w14:paraId="793CF03C" w14:textId="77777777" w:rsidR="00B75756" w:rsidRPr="004638AE" w:rsidRDefault="00B75756" w:rsidP="008D478E">
      <w:pPr>
        <w:rPr>
          <w:lang w:val="ru-RU"/>
        </w:rPr>
      </w:pPr>
    </w:p>
    <w:p w14:paraId="1B468D71" w14:textId="7DB95457" w:rsidR="000A0CA3" w:rsidRPr="004638AE" w:rsidRDefault="000A0CA3" w:rsidP="00A7117A">
      <w:pPr>
        <w:keepLines/>
        <w:rPr>
          <w:lang w:val="ru-RU"/>
        </w:rPr>
      </w:pPr>
      <w:r w:rsidRPr="004638AE">
        <w:rPr>
          <w:lang w:val="ru-RU"/>
        </w:rPr>
        <w:t xml:space="preserve">За те годы, на протяжении которых </w:t>
      </w:r>
      <w:r w:rsidRPr="004638AE">
        <w:t>INAPI</w:t>
      </w:r>
      <w:r w:rsidRPr="004638AE">
        <w:rPr>
          <w:lang w:val="ru-RU"/>
        </w:rPr>
        <w:t xml:space="preserve"> действует в качестве Международного органа, мы наблюдаем существенное увеличение количества заявок, поданных </w:t>
      </w:r>
      <w:r w:rsidR="000149C8" w:rsidRPr="004638AE">
        <w:rPr>
          <w:lang w:val="ru-RU"/>
        </w:rPr>
        <w:t xml:space="preserve">по процедуре </w:t>
      </w:r>
      <w:r w:rsidRPr="004638AE">
        <w:t>PCT</w:t>
      </w:r>
      <w:r w:rsidRPr="004638AE">
        <w:rPr>
          <w:lang w:val="ru-RU"/>
        </w:rPr>
        <w:t xml:space="preserve">, причем не только чилийскими заявителями, но также заявителями из других стран региона, таких как Мексика, Колумбия, Перу, Эквадор и Эль-Сальвадор.  Это подтверждает наше утверждение о том, что деятельность МПО/ОМПЭ в регионе стимулирует использование системы </w:t>
      </w:r>
      <w:r w:rsidRPr="004638AE">
        <w:t>PCT</w:t>
      </w:r>
      <w:r w:rsidRPr="004638AE">
        <w:rPr>
          <w:lang w:val="ru-RU"/>
        </w:rPr>
        <w:t xml:space="preserve"> в странах Латинской Америки.  Так, в 2015 г. </w:t>
      </w:r>
      <w:proofErr w:type="gramStart"/>
      <w:r w:rsidRPr="004638AE">
        <w:t>INAPI</w:t>
      </w:r>
      <w:r w:rsidRPr="004638AE">
        <w:rPr>
          <w:lang w:val="ru-RU"/>
        </w:rPr>
        <w:t xml:space="preserve"> получил 136 заявок </w:t>
      </w:r>
      <w:r w:rsidR="00AD2B88" w:rsidRPr="004638AE">
        <w:rPr>
          <w:lang w:val="ru-RU"/>
        </w:rPr>
        <w:t>по процедуре</w:t>
      </w:r>
      <w:r w:rsidRPr="004638AE">
        <w:rPr>
          <w:lang w:val="ru-RU"/>
        </w:rPr>
        <w:t xml:space="preserve"> </w:t>
      </w:r>
      <w:r w:rsidRPr="004638AE">
        <w:t>PCT</w:t>
      </w:r>
      <w:r w:rsidRPr="004638AE">
        <w:rPr>
          <w:lang w:val="ru-RU"/>
        </w:rPr>
        <w:t>, а в 2016 г. – 163 заявки.</w:t>
      </w:r>
      <w:proofErr w:type="gramEnd"/>
      <w:r w:rsidRPr="004638AE">
        <w:rPr>
          <w:lang w:val="ru-RU"/>
        </w:rPr>
        <w:t xml:space="preserve">  Ожидается, что с годами это число будет увеличиваться, что свидетельствует о значительно более широком использовании </w:t>
      </w:r>
      <w:r w:rsidRPr="004638AE">
        <w:t>PCT</w:t>
      </w:r>
      <w:r w:rsidRPr="004638AE">
        <w:rPr>
          <w:lang w:val="ru-RU"/>
        </w:rPr>
        <w:t xml:space="preserve">, особенно учитывая тот факт, что в 2014 г. количество заявок, принятых </w:t>
      </w:r>
      <w:r w:rsidRPr="004638AE">
        <w:t>INAPI</w:t>
      </w:r>
      <w:r w:rsidRPr="004638AE">
        <w:rPr>
          <w:lang w:val="ru-RU"/>
        </w:rPr>
        <w:t xml:space="preserve"> в качестве ПВ, едва достигло 90.</w:t>
      </w:r>
    </w:p>
    <w:p w14:paraId="750B590E" w14:textId="77777777" w:rsidR="00B75756" w:rsidRPr="004638AE" w:rsidRDefault="00B75756" w:rsidP="008D478E">
      <w:pPr>
        <w:rPr>
          <w:lang w:val="ru-RU"/>
        </w:rPr>
      </w:pPr>
    </w:p>
    <w:p w14:paraId="1F5FD4CA" w14:textId="77777777" w:rsidR="000A0CA3" w:rsidRPr="004638AE" w:rsidRDefault="000A0CA3" w:rsidP="000A0CA3">
      <w:pPr>
        <w:rPr>
          <w:lang w:val="ru-RU"/>
        </w:rPr>
      </w:pPr>
      <w:r w:rsidRPr="004638AE">
        <w:rPr>
          <w:lang w:val="ru-RU"/>
        </w:rPr>
        <w:t xml:space="preserve">Что касается выполняемых </w:t>
      </w:r>
      <w:r w:rsidRPr="004638AE">
        <w:t>INAPI</w:t>
      </w:r>
      <w:r w:rsidRPr="004638AE">
        <w:rPr>
          <w:lang w:val="ru-RU"/>
        </w:rPr>
        <w:t xml:space="preserve"> функций МПО, в течение первого года нашей работы нам было поручено провести международный поиск по 182 заявкам, а в 2016 г. количество заявок увеличилось до 219.</w:t>
      </w:r>
    </w:p>
    <w:p w14:paraId="5A0A88A9" w14:textId="77777777" w:rsidR="00B75756" w:rsidRPr="004638AE" w:rsidRDefault="00B75756" w:rsidP="008D478E">
      <w:pPr>
        <w:rPr>
          <w:lang w:val="ru-RU"/>
        </w:rPr>
      </w:pPr>
    </w:p>
    <w:p w14:paraId="65311945" w14:textId="77777777" w:rsidR="000A0CA3" w:rsidRPr="004638AE" w:rsidRDefault="000A0CA3" w:rsidP="000A0CA3">
      <w:pPr>
        <w:rPr>
          <w:lang w:val="ru-RU"/>
        </w:rPr>
      </w:pPr>
      <w:r w:rsidRPr="004638AE">
        <w:rPr>
          <w:lang w:val="ru-RU"/>
        </w:rPr>
        <w:t xml:space="preserve">Более того, нами установлено, что многими заявителями, выбравшими </w:t>
      </w:r>
      <w:r w:rsidRPr="004638AE">
        <w:t>INAPI</w:t>
      </w:r>
      <w:r w:rsidRPr="004638AE">
        <w:rPr>
          <w:lang w:val="ru-RU"/>
        </w:rPr>
        <w:t xml:space="preserve"> в качестве своего МПО, подано более одной заявки, что демонстрирует огромное доверие к нам и уверенность в высоком качестве нашей работы, а также признание эффективности проводимого нами международного поиска.</w:t>
      </w:r>
    </w:p>
    <w:p w14:paraId="16E3E737" w14:textId="77777777" w:rsidR="00B75756" w:rsidRPr="004638AE" w:rsidRDefault="00B75756" w:rsidP="008D478E">
      <w:pPr>
        <w:rPr>
          <w:lang w:val="ru-RU"/>
        </w:rPr>
      </w:pPr>
    </w:p>
    <w:p w14:paraId="0DDA9D89" w14:textId="241E423B" w:rsidR="005136C8" w:rsidRPr="004638AE" w:rsidRDefault="005136C8" w:rsidP="005136C8">
      <w:pPr>
        <w:rPr>
          <w:lang w:val="ru-RU"/>
        </w:rPr>
      </w:pPr>
      <w:r w:rsidRPr="004638AE">
        <w:rPr>
          <w:lang w:val="ru-RU"/>
        </w:rPr>
        <w:t>Кроме того, наши пользователи по</w:t>
      </w:r>
      <w:r w:rsidR="000149C8" w:rsidRPr="004638AE">
        <w:rPr>
          <w:lang w:val="ru-RU"/>
        </w:rPr>
        <w:t>лучают еще большие преимущества</w:t>
      </w:r>
      <w:r w:rsidRPr="004638AE">
        <w:rPr>
          <w:lang w:val="ru-RU"/>
        </w:rPr>
        <w:t xml:space="preserve"> благодаря тому, что </w:t>
      </w:r>
      <w:r w:rsidRPr="004638AE">
        <w:t>INAPI</w:t>
      </w:r>
      <w:r w:rsidRPr="004638AE">
        <w:rPr>
          <w:lang w:val="ru-RU"/>
        </w:rPr>
        <w:t xml:space="preserve"> действует в качестве МПО/ОМПЭ, что было отмечено п</w:t>
      </w:r>
      <w:r w:rsidR="000149C8" w:rsidRPr="004638AE">
        <w:rPr>
          <w:lang w:val="ru-RU"/>
        </w:rPr>
        <w:t>равительством Чили, наградившим</w:t>
      </w:r>
      <w:r w:rsidRPr="004638AE">
        <w:rPr>
          <w:lang w:val="ru-RU"/>
        </w:rPr>
        <w:t xml:space="preserve"> </w:t>
      </w:r>
      <w:r w:rsidRPr="004638AE">
        <w:t>INAPI</w:t>
      </w:r>
      <w:r w:rsidRPr="004638AE">
        <w:rPr>
          <w:lang w:val="ru-RU"/>
        </w:rPr>
        <w:t xml:space="preserve"> за особые заслуги перед обществом, в результате чего ведомство оказалось в числе трех лучших государственных учреждений в стране.  Отмечаются заслуги национальных учреждений, способствующих существенному повышению качества жизни тех, кто пользуется услугами этих учреждений, благодаря популяризации системы ИС и преимуществам подачи патентных заявок за рубежом, как в нашем случае.  С тех пор как мы начали действовать в качестве Международного органа, число поданных международных заявок </w:t>
      </w:r>
      <w:r w:rsidR="000149C8" w:rsidRPr="004638AE">
        <w:rPr>
          <w:lang w:val="ru-RU"/>
        </w:rPr>
        <w:t>растет</w:t>
      </w:r>
      <w:r w:rsidRPr="004638AE">
        <w:rPr>
          <w:lang w:val="ru-RU"/>
        </w:rPr>
        <w:t xml:space="preserve"> необычайно быстрыми темпами, и значительное число заявителей, которые не знали о системе ИС, обратились за информацией об использовании договора, что привело к увеличению числа новых участников системы.</w:t>
      </w:r>
    </w:p>
    <w:p w14:paraId="251FF675" w14:textId="77777777" w:rsidR="0083261F" w:rsidRPr="004638AE" w:rsidRDefault="0083261F" w:rsidP="0083261F">
      <w:pPr>
        <w:pStyle w:val="SectionHeading"/>
        <w:keepLines/>
        <w:rPr>
          <w:lang w:val="ru-RU"/>
        </w:rPr>
      </w:pPr>
      <w:r w:rsidRPr="004638AE">
        <w:rPr>
          <w:lang w:val="ru-RU"/>
        </w:rPr>
        <w:t>5 – государство(а)-ЗАЯВИТЕЛЬ(и)</w:t>
      </w:r>
    </w:p>
    <w:p w14:paraId="563EA764" w14:textId="77777777" w:rsidR="00B75756" w:rsidRPr="004638AE" w:rsidRDefault="0083261F" w:rsidP="00B75756">
      <w:pPr>
        <w:rPr>
          <w:b/>
          <w:bCs/>
          <w:szCs w:val="22"/>
          <w:lang w:val="ru-RU"/>
        </w:rPr>
      </w:pPr>
      <w:r w:rsidRPr="004638AE">
        <w:rPr>
          <w:b/>
          <w:bCs/>
          <w:szCs w:val="22"/>
          <w:lang w:val="ru-RU"/>
        </w:rPr>
        <w:t>Географическое положение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</w:tblGrid>
      <w:tr w:rsidR="00B75756" w:rsidRPr="004638AE" w14:paraId="292ACC61" w14:textId="77777777" w:rsidTr="008D478E">
        <w:trPr>
          <w:trHeight w:val="3936"/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8CB5" w14:textId="77777777" w:rsidR="00B75756" w:rsidRPr="004638AE" w:rsidRDefault="00B75756" w:rsidP="00C057C4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4638AE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72F7C22" wp14:editId="53BA19B0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1447800</wp:posOffset>
                      </wp:positionV>
                      <wp:extent cx="533400" cy="171450"/>
                      <wp:effectExtent l="0" t="133350" r="0" b="95250"/>
                      <wp:wrapNone/>
                      <wp:docPr id="6" name="Right Arrow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212194">
                                <a:off x="0" y="0"/>
                                <a:ext cx="533400" cy="1714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77778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6AFFDE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6" o:spid="_x0000_s1026" type="#_x0000_t13" style="position:absolute;margin-left:66.4pt;margin-top:114pt;width:42pt;height:13.5pt;rotation:2416306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" fillcolor="red" strokecolor="red"/>
                  </w:pict>
                </mc:Fallback>
              </mc:AlternateContent>
            </w:r>
            <w:r w:rsidR="008D478E" w:rsidRPr="004638AE">
              <w:object w:dxaOrig="3390" w:dyaOrig="3330" w14:anchorId="257860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0.4pt;height:217.25pt" o:ole="">
                  <v:imagedata r:id="rId11" o:title=""/>
                </v:shape>
                <o:OLEObject Type="Embed" ProgID="PBrush" ShapeID="_x0000_i1025" DrawAspect="Content" ObjectID="_1552834236" r:id="rId12"/>
              </w:object>
            </w:r>
          </w:p>
        </w:tc>
      </w:tr>
    </w:tbl>
    <w:p w14:paraId="69EF69CC" w14:textId="77777777" w:rsidR="00B75756" w:rsidRPr="004638AE" w:rsidRDefault="00B75756" w:rsidP="00B75756">
      <w:pPr>
        <w:rPr>
          <w:rFonts w:eastAsia="Times New Roman"/>
          <w:i/>
          <w:iCs/>
          <w:szCs w:val="22"/>
          <w:lang w:val="ru-RU"/>
        </w:rPr>
      </w:pPr>
      <w:r w:rsidRPr="004638AE">
        <w:rPr>
          <w:i/>
          <w:iCs/>
          <w:szCs w:val="22"/>
          <w:lang w:val="ru-RU"/>
        </w:rPr>
        <w:t xml:space="preserve">                                        [</w:t>
      </w:r>
      <w:r w:rsidR="0083261F" w:rsidRPr="004638AE">
        <w:rPr>
          <w:i/>
          <w:iCs/>
          <w:lang w:val="ru-RU"/>
        </w:rPr>
        <w:t>На карте изображены Чили и соседние страны</w:t>
      </w:r>
      <w:r w:rsidRPr="004638AE">
        <w:rPr>
          <w:i/>
          <w:iCs/>
          <w:szCs w:val="22"/>
          <w:lang w:val="ru-RU"/>
        </w:rPr>
        <w:t>]</w:t>
      </w:r>
    </w:p>
    <w:p w14:paraId="20BA98AB" w14:textId="77777777" w:rsidR="00B75756" w:rsidRPr="004638AE" w:rsidRDefault="00B75756" w:rsidP="00B75756">
      <w:pPr>
        <w:rPr>
          <w:b/>
          <w:bCs/>
          <w:szCs w:val="22"/>
          <w:lang w:val="ru-RU"/>
        </w:rPr>
      </w:pPr>
    </w:p>
    <w:p w14:paraId="317F9EA1" w14:textId="77777777" w:rsidR="0083261F" w:rsidRPr="00653338" w:rsidRDefault="0083261F" w:rsidP="00A7117A">
      <w:pPr>
        <w:keepNext/>
        <w:rPr>
          <w:szCs w:val="22"/>
          <w:lang w:val="ru-RU"/>
        </w:rPr>
      </w:pPr>
      <w:r w:rsidRPr="004638AE">
        <w:rPr>
          <w:b/>
          <w:bCs/>
          <w:szCs w:val="22"/>
          <w:lang w:val="ru-RU"/>
        </w:rPr>
        <w:t>Членство</w:t>
      </w:r>
      <w:r w:rsidRPr="00653338">
        <w:rPr>
          <w:b/>
          <w:bCs/>
          <w:szCs w:val="22"/>
          <w:lang w:val="ru-RU"/>
        </w:rPr>
        <w:t xml:space="preserve"> </w:t>
      </w:r>
      <w:r w:rsidRPr="004638AE">
        <w:rPr>
          <w:b/>
          <w:bCs/>
          <w:szCs w:val="22"/>
          <w:lang w:val="ru-RU"/>
        </w:rPr>
        <w:t>в</w:t>
      </w:r>
      <w:r w:rsidRPr="00653338">
        <w:rPr>
          <w:b/>
          <w:bCs/>
          <w:szCs w:val="22"/>
          <w:lang w:val="ru-RU"/>
        </w:rPr>
        <w:t xml:space="preserve"> </w:t>
      </w:r>
      <w:r w:rsidRPr="004638AE">
        <w:rPr>
          <w:b/>
          <w:bCs/>
          <w:szCs w:val="22"/>
          <w:lang w:val="ru-RU"/>
        </w:rPr>
        <w:t>региональных</w:t>
      </w:r>
      <w:r w:rsidRPr="00653338">
        <w:rPr>
          <w:b/>
          <w:bCs/>
          <w:szCs w:val="22"/>
          <w:lang w:val="ru-RU"/>
        </w:rPr>
        <w:t xml:space="preserve"> </w:t>
      </w:r>
      <w:r w:rsidRPr="004638AE">
        <w:rPr>
          <w:b/>
          <w:bCs/>
          <w:szCs w:val="22"/>
          <w:lang w:val="ru-RU"/>
        </w:rPr>
        <w:t>организациях</w:t>
      </w:r>
      <w:r w:rsidRPr="00653338">
        <w:rPr>
          <w:b/>
          <w:bCs/>
          <w:szCs w:val="22"/>
          <w:lang w:val="ru-RU"/>
        </w:rPr>
        <w:t>:</w:t>
      </w:r>
      <w:r w:rsidRPr="00653338">
        <w:rPr>
          <w:szCs w:val="22"/>
          <w:lang w:val="ru-RU"/>
        </w:rPr>
        <w:t xml:space="preserve">  </w:t>
      </w:r>
    </w:p>
    <w:p w14:paraId="07F55D69" w14:textId="77777777" w:rsidR="00B75756" w:rsidRPr="00653338" w:rsidRDefault="00B75756" w:rsidP="00A7117A">
      <w:pPr>
        <w:keepNext/>
        <w:rPr>
          <w:szCs w:val="22"/>
          <w:lang w:val="ru-RU"/>
        </w:rPr>
      </w:pPr>
    </w:p>
    <w:p w14:paraId="6B0D2D3B" w14:textId="67B3DE8A" w:rsidR="00B75756" w:rsidRPr="00F3105C" w:rsidRDefault="008D478E" w:rsidP="00A7117A">
      <w:pPr>
        <w:keepNext/>
        <w:ind w:left="1134" w:hanging="567"/>
        <w:rPr>
          <w:lang w:val="ru-RU"/>
        </w:rPr>
      </w:pPr>
      <w:r w:rsidRPr="00F3105C">
        <w:rPr>
          <w:lang w:val="ru-RU"/>
        </w:rPr>
        <w:t>–</w:t>
      </w:r>
      <w:r w:rsidRPr="00F3105C">
        <w:rPr>
          <w:lang w:val="ru-RU"/>
        </w:rPr>
        <w:tab/>
      </w:r>
      <w:proofErr w:type="spellStart"/>
      <w:r w:rsidR="00B75756" w:rsidRPr="004638AE">
        <w:t>Prosur</w:t>
      </w:r>
      <w:proofErr w:type="spellEnd"/>
      <w:r w:rsidR="00B75756" w:rsidRPr="00F3105C">
        <w:rPr>
          <w:lang w:val="ru-RU"/>
        </w:rPr>
        <w:t xml:space="preserve">: </w:t>
      </w:r>
      <w:r w:rsidRPr="00F3105C">
        <w:rPr>
          <w:lang w:val="ru-RU"/>
        </w:rPr>
        <w:t xml:space="preserve"> </w:t>
      </w:r>
      <w:r w:rsidR="00F3105C">
        <w:rPr>
          <w:lang w:val="ru-RU"/>
        </w:rPr>
        <w:t>это</w:t>
      </w:r>
      <w:r w:rsidR="00F3105C" w:rsidRPr="00F3105C">
        <w:rPr>
          <w:lang w:val="ru-RU"/>
        </w:rPr>
        <w:t xml:space="preserve"> </w:t>
      </w:r>
      <w:r w:rsidR="00F3105C">
        <w:rPr>
          <w:lang w:val="ru-RU"/>
        </w:rPr>
        <w:t>инициатива</w:t>
      </w:r>
      <w:r w:rsidR="00F3105C" w:rsidRPr="00F3105C">
        <w:rPr>
          <w:lang w:val="ru-RU"/>
        </w:rPr>
        <w:t xml:space="preserve">, </w:t>
      </w:r>
      <w:r w:rsidR="00F3105C">
        <w:rPr>
          <w:lang w:val="ru-RU"/>
        </w:rPr>
        <w:t>в</w:t>
      </w:r>
      <w:r w:rsidR="00F3105C" w:rsidRPr="00F3105C">
        <w:rPr>
          <w:lang w:val="ru-RU"/>
        </w:rPr>
        <w:t xml:space="preserve"> </w:t>
      </w:r>
      <w:r w:rsidR="00F3105C">
        <w:rPr>
          <w:lang w:val="ru-RU"/>
        </w:rPr>
        <w:t>которой</w:t>
      </w:r>
      <w:r w:rsidR="00F3105C" w:rsidRPr="00F3105C">
        <w:rPr>
          <w:lang w:val="ru-RU"/>
        </w:rPr>
        <w:t xml:space="preserve"> </w:t>
      </w:r>
      <w:r w:rsidR="00F3105C">
        <w:rPr>
          <w:lang w:val="ru-RU"/>
        </w:rPr>
        <w:t>участвуют</w:t>
      </w:r>
      <w:r w:rsidR="00F3105C" w:rsidRPr="00F3105C">
        <w:rPr>
          <w:lang w:val="ru-RU"/>
        </w:rPr>
        <w:t xml:space="preserve"> </w:t>
      </w:r>
      <w:r w:rsidR="00F3105C">
        <w:rPr>
          <w:lang w:val="ru-RU"/>
        </w:rPr>
        <w:t>ведомства</w:t>
      </w:r>
      <w:r w:rsidR="00F3105C" w:rsidRPr="00F3105C">
        <w:rPr>
          <w:lang w:val="ru-RU"/>
        </w:rPr>
        <w:t xml:space="preserve"> </w:t>
      </w:r>
      <w:r w:rsidR="00F3105C">
        <w:rPr>
          <w:lang w:val="ru-RU"/>
        </w:rPr>
        <w:t>промышленной</w:t>
      </w:r>
      <w:r w:rsidR="00F3105C" w:rsidRPr="00F3105C">
        <w:rPr>
          <w:lang w:val="ru-RU"/>
        </w:rPr>
        <w:t xml:space="preserve"> </w:t>
      </w:r>
      <w:r w:rsidR="00F3105C">
        <w:rPr>
          <w:lang w:val="ru-RU"/>
        </w:rPr>
        <w:t>собственности</w:t>
      </w:r>
      <w:r w:rsidR="00F3105C" w:rsidRPr="00F3105C">
        <w:rPr>
          <w:lang w:val="ru-RU"/>
        </w:rPr>
        <w:t xml:space="preserve"> </w:t>
      </w:r>
      <w:r w:rsidR="00F3105C">
        <w:rPr>
          <w:lang w:val="ru-RU"/>
        </w:rPr>
        <w:t>стран</w:t>
      </w:r>
      <w:r w:rsidR="00F3105C" w:rsidRPr="00F3105C">
        <w:rPr>
          <w:lang w:val="ru-RU"/>
        </w:rPr>
        <w:t xml:space="preserve"> </w:t>
      </w:r>
      <w:r w:rsidR="00F3105C">
        <w:rPr>
          <w:lang w:val="ru-RU"/>
        </w:rPr>
        <w:t>Латинской</w:t>
      </w:r>
      <w:r w:rsidR="00F3105C" w:rsidRPr="00F3105C">
        <w:rPr>
          <w:lang w:val="ru-RU"/>
        </w:rPr>
        <w:t xml:space="preserve"> </w:t>
      </w:r>
      <w:r w:rsidR="00F3105C">
        <w:rPr>
          <w:lang w:val="ru-RU"/>
        </w:rPr>
        <w:t>Америки</w:t>
      </w:r>
      <w:r w:rsidR="00F3105C" w:rsidRPr="00F3105C">
        <w:rPr>
          <w:lang w:val="ru-RU"/>
        </w:rPr>
        <w:t xml:space="preserve"> </w:t>
      </w:r>
      <w:r w:rsidR="00F3105C">
        <w:rPr>
          <w:lang w:val="ru-RU"/>
        </w:rPr>
        <w:t>и</w:t>
      </w:r>
      <w:r w:rsidR="00F3105C" w:rsidRPr="00F3105C">
        <w:rPr>
          <w:lang w:val="ru-RU"/>
        </w:rPr>
        <w:t xml:space="preserve"> </w:t>
      </w:r>
      <w:r w:rsidR="00F3105C">
        <w:rPr>
          <w:lang w:val="ru-RU"/>
        </w:rPr>
        <w:t>целью</w:t>
      </w:r>
      <w:r w:rsidR="00F3105C" w:rsidRPr="00F3105C">
        <w:rPr>
          <w:lang w:val="ru-RU"/>
        </w:rPr>
        <w:t xml:space="preserve"> </w:t>
      </w:r>
      <w:r w:rsidR="00F3105C">
        <w:rPr>
          <w:lang w:val="ru-RU"/>
        </w:rPr>
        <w:t>которой</w:t>
      </w:r>
      <w:r w:rsidR="00F3105C" w:rsidRPr="00F3105C">
        <w:rPr>
          <w:lang w:val="ru-RU"/>
        </w:rPr>
        <w:t xml:space="preserve"> </w:t>
      </w:r>
      <w:r w:rsidR="00F3105C">
        <w:rPr>
          <w:lang w:val="ru-RU"/>
        </w:rPr>
        <w:t>является</w:t>
      </w:r>
      <w:r w:rsidR="00F3105C" w:rsidRPr="00F3105C">
        <w:rPr>
          <w:lang w:val="ru-RU"/>
        </w:rPr>
        <w:t xml:space="preserve"> </w:t>
      </w:r>
      <w:r w:rsidR="00F3105C">
        <w:rPr>
          <w:lang w:val="ru-RU"/>
        </w:rPr>
        <w:t>повышение</w:t>
      </w:r>
      <w:r w:rsidR="00F3105C" w:rsidRPr="00F3105C">
        <w:rPr>
          <w:lang w:val="ru-RU"/>
        </w:rPr>
        <w:t xml:space="preserve"> </w:t>
      </w:r>
      <w:r w:rsidR="00F3105C">
        <w:rPr>
          <w:lang w:val="ru-RU"/>
        </w:rPr>
        <w:t>эффективности</w:t>
      </w:r>
      <w:r w:rsidR="00F3105C" w:rsidRPr="00F3105C">
        <w:rPr>
          <w:lang w:val="ru-RU"/>
        </w:rPr>
        <w:t xml:space="preserve"> </w:t>
      </w:r>
      <w:r w:rsidR="00F3105C">
        <w:rPr>
          <w:lang w:val="ru-RU"/>
        </w:rPr>
        <w:t>использования</w:t>
      </w:r>
      <w:r w:rsidR="00F3105C" w:rsidRPr="00F3105C">
        <w:rPr>
          <w:lang w:val="ru-RU"/>
        </w:rPr>
        <w:t xml:space="preserve"> </w:t>
      </w:r>
      <w:r w:rsidR="00F3105C">
        <w:rPr>
          <w:lang w:val="ru-RU"/>
        </w:rPr>
        <w:t>системы</w:t>
      </w:r>
      <w:r w:rsidR="00F3105C" w:rsidRPr="00F3105C">
        <w:rPr>
          <w:lang w:val="ru-RU"/>
        </w:rPr>
        <w:t xml:space="preserve"> </w:t>
      </w:r>
      <w:r w:rsidR="00F3105C">
        <w:rPr>
          <w:lang w:val="ru-RU"/>
        </w:rPr>
        <w:t>ИС</w:t>
      </w:r>
      <w:r w:rsidR="00F3105C" w:rsidRPr="00F3105C">
        <w:rPr>
          <w:lang w:val="ru-RU"/>
        </w:rPr>
        <w:t xml:space="preserve"> </w:t>
      </w:r>
      <w:r w:rsidR="00F3105C">
        <w:rPr>
          <w:lang w:val="ru-RU"/>
        </w:rPr>
        <w:t>в</w:t>
      </w:r>
      <w:r w:rsidR="00F3105C" w:rsidRPr="00F3105C">
        <w:rPr>
          <w:lang w:val="ru-RU"/>
        </w:rPr>
        <w:t xml:space="preserve"> </w:t>
      </w:r>
      <w:r w:rsidR="00F3105C">
        <w:rPr>
          <w:lang w:val="ru-RU"/>
        </w:rPr>
        <w:t>регионе</w:t>
      </w:r>
      <w:r w:rsidR="00F3105C" w:rsidRPr="00F3105C">
        <w:rPr>
          <w:lang w:val="ru-RU"/>
        </w:rPr>
        <w:t xml:space="preserve"> </w:t>
      </w:r>
      <w:r w:rsidR="00F3105C">
        <w:rPr>
          <w:lang w:val="ru-RU"/>
        </w:rPr>
        <w:t>и</w:t>
      </w:r>
      <w:r w:rsidR="00F3105C" w:rsidRPr="00F3105C">
        <w:rPr>
          <w:lang w:val="ru-RU"/>
        </w:rPr>
        <w:t xml:space="preserve"> </w:t>
      </w:r>
      <w:r w:rsidR="00F3105C">
        <w:rPr>
          <w:lang w:val="ru-RU"/>
        </w:rPr>
        <w:t>содействие</w:t>
      </w:r>
      <w:r w:rsidR="00F3105C" w:rsidRPr="00F3105C">
        <w:rPr>
          <w:lang w:val="ru-RU"/>
        </w:rPr>
        <w:t xml:space="preserve"> </w:t>
      </w:r>
      <w:r w:rsidR="00F3105C">
        <w:rPr>
          <w:lang w:val="ru-RU"/>
        </w:rPr>
        <w:t>распределению работы между этими ведомствами.  Странами</w:t>
      </w:r>
      <w:r w:rsidR="00F3105C" w:rsidRPr="00194299">
        <w:rPr>
          <w:lang w:val="ru-RU"/>
        </w:rPr>
        <w:t xml:space="preserve">, </w:t>
      </w:r>
      <w:r w:rsidR="00F3105C">
        <w:rPr>
          <w:lang w:val="ru-RU"/>
        </w:rPr>
        <w:t>участвующими</w:t>
      </w:r>
      <w:r w:rsidR="00F3105C" w:rsidRPr="00194299">
        <w:rPr>
          <w:lang w:val="ru-RU"/>
        </w:rPr>
        <w:t xml:space="preserve"> </w:t>
      </w:r>
      <w:r w:rsidR="00F3105C">
        <w:rPr>
          <w:lang w:val="ru-RU"/>
        </w:rPr>
        <w:t>в</w:t>
      </w:r>
      <w:r w:rsidR="00F3105C" w:rsidRPr="00194299">
        <w:rPr>
          <w:lang w:val="ru-RU"/>
        </w:rPr>
        <w:t xml:space="preserve"> </w:t>
      </w:r>
      <w:r w:rsidR="00F3105C">
        <w:rPr>
          <w:lang w:val="ru-RU"/>
        </w:rPr>
        <w:t>этой</w:t>
      </w:r>
      <w:r w:rsidR="00F3105C" w:rsidRPr="00194299">
        <w:rPr>
          <w:lang w:val="ru-RU"/>
        </w:rPr>
        <w:t xml:space="preserve"> </w:t>
      </w:r>
      <w:r w:rsidR="00F3105C">
        <w:rPr>
          <w:lang w:val="ru-RU"/>
        </w:rPr>
        <w:t>инициативе</w:t>
      </w:r>
      <w:r w:rsidR="00F3105C" w:rsidRPr="00194299">
        <w:rPr>
          <w:lang w:val="ru-RU"/>
        </w:rPr>
        <w:t xml:space="preserve">, </w:t>
      </w:r>
      <w:r w:rsidR="00F3105C">
        <w:rPr>
          <w:lang w:val="ru-RU"/>
        </w:rPr>
        <w:t>являются</w:t>
      </w:r>
      <w:r w:rsidR="00F3105C" w:rsidRPr="00194299">
        <w:rPr>
          <w:lang w:val="ru-RU"/>
        </w:rPr>
        <w:t xml:space="preserve"> </w:t>
      </w:r>
      <w:r w:rsidR="00F3105C">
        <w:rPr>
          <w:lang w:val="ru-RU"/>
        </w:rPr>
        <w:t>Аргентина</w:t>
      </w:r>
      <w:r w:rsidR="00F3105C" w:rsidRPr="00194299">
        <w:rPr>
          <w:lang w:val="ru-RU"/>
        </w:rPr>
        <w:t xml:space="preserve">, </w:t>
      </w:r>
      <w:r w:rsidR="00F3105C">
        <w:rPr>
          <w:lang w:val="ru-RU"/>
        </w:rPr>
        <w:t>Бразилия</w:t>
      </w:r>
      <w:r w:rsidR="00F3105C" w:rsidRPr="00194299">
        <w:rPr>
          <w:lang w:val="ru-RU"/>
        </w:rPr>
        <w:t xml:space="preserve">, </w:t>
      </w:r>
      <w:r w:rsidR="00F3105C">
        <w:rPr>
          <w:lang w:val="ru-RU"/>
        </w:rPr>
        <w:t>Чили</w:t>
      </w:r>
      <w:r w:rsidR="00F3105C" w:rsidRPr="00194299">
        <w:rPr>
          <w:lang w:val="ru-RU"/>
        </w:rPr>
        <w:t xml:space="preserve">, </w:t>
      </w:r>
      <w:r w:rsidR="00F3105C">
        <w:rPr>
          <w:lang w:val="ru-RU"/>
        </w:rPr>
        <w:t>Колумбия</w:t>
      </w:r>
      <w:r w:rsidR="00F3105C" w:rsidRPr="00194299">
        <w:rPr>
          <w:lang w:val="ru-RU"/>
        </w:rPr>
        <w:t xml:space="preserve">, </w:t>
      </w:r>
      <w:r w:rsidR="00F3105C">
        <w:rPr>
          <w:lang w:val="ru-RU"/>
        </w:rPr>
        <w:t>Коста</w:t>
      </w:r>
      <w:r w:rsidR="00F3105C" w:rsidRPr="00194299">
        <w:rPr>
          <w:lang w:val="ru-RU"/>
        </w:rPr>
        <w:t>-</w:t>
      </w:r>
      <w:r w:rsidR="00F3105C">
        <w:rPr>
          <w:lang w:val="ru-RU"/>
        </w:rPr>
        <w:t>Рика</w:t>
      </w:r>
      <w:r w:rsidR="00F3105C" w:rsidRPr="00194299">
        <w:rPr>
          <w:lang w:val="ru-RU"/>
        </w:rPr>
        <w:t xml:space="preserve">, </w:t>
      </w:r>
      <w:r w:rsidR="00F3105C">
        <w:rPr>
          <w:lang w:val="ru-RU"/>
        </w:rPr>
        <w:t>Эквадор</w:t>
      </w:r>
      <w:r w:rsidR="00F3105C" w:rsidRPr="00194299">
        <w:rPr>
          <w:lang w:val="ru-RU"/>
        </w:rPr>
        <w:t xml:space="preserve">, </w:t>
      </w:r>
      <w:r w:rsidR="00F3105C">
        <w:rPr>
          <w:lang w:val="ru-RU"/>
        </w:rPr>
        <w:t>Парагвай</w:t>
      </w:r>
      <w:r w:rsidR="00F3105C" w:rsidRPr="00194299">
        <w:rPr>
          <w:lang w:val="ru-RU"/>
        </w:rPr>
        <w:t xml:space="preserve">, </w:t>
      </w:r>
      <w:r w:rsidR="00F3105C">
        <w:rPr>
          <w:lang w:val="ru-RU"/>
        </w:rPr>
        <w:t>Перу</w:t>
      </w:r>
      <w:r w:rsidR="00F3105C" w:rsidRPr="00194299">
        <w:rPr>
          <w:lang w:val="ru-RU"/>
        </w:rPr>
        <w:t xml:space="preserve"> </w:t>
      </w:r>
      <w:r w:rsidR="00F3105C">
        <w:rPr>
          <w:lang w:val="ru-RU"/>
        </w:rPr>
        <w:t>и</w:t>
      </w:r>
      <w:r w:rsidR="00F3105C" w:rsidRPr="00194299">
        <w:rPr>
          <w:lang w:val="ru-RU"/>
        </w:rPr>
        <w:t xml:space="preserve"> </w:t>
      </w:r>
      <w:r w:rsidR="00F3105C">
        <w:rPr>
          <w:lang w:val="ru-RU"/>
        </w:rPr>
        <w:t>Уругвай.</w:t>
      </w:r>
    </w:p>
    <w:p w14:paraId="738D1117" w14:textId="77777777" w:rsidR="00B75756" w:rsidRPr="00194299" w:rsidRDefault="00B75756" w:rsidP="008D478E">
      <w:pPr>
        <w:ind w:left="1134" w:hanging="567"/>
        <w:rPr>
          <w:lang w:val="ru-RU"/>
        </w:rPr>
      </w:pPr>
    </w:p>
    <w:p w14:paraId="05D5857D" w14:textId="6C022081" w:rsidR="00B75756" w:rsidRPr="004638AE" w:rsidRDefault="008D478E" w:rsidP="008D478E">
      <w:pPr>
        <w:ind w:left="1134" w:hanging="567"/>
        <w:rPr>
          <w:lang w:val="ru-RU"/>
        </w:rPr>
      </w:pPr>
      <w:r w:rsidRPr="004638AE">
        <w:rPr>
          <w:lang w:val="ru-RU"/>
        </w:rPr>
        <w:t>–</w:t>
      </w:r>
      <w:r w:rsidRPr="004638AE">
        <w:rPr>
          <w:lang w:val="ru-RU"/>
        </w:rPr>
        <w:tab/>
      </w:r>
      <w:proofErr w:type="spellStart"/>
      <w:r w:rsidR="00B75756" w:rsidRPr="004638AE">
        <w:t>Alianza</w:t>
      </w:r>
      <w:proofErr w:type="spellEnd"/>
      <w:r w:rsidR="00B75756" w:rsidRPr="004638AE">
        <w:rPr>
          <w:lang w:val="ru-RU"/>
        </w:rPr>
        <w:t xml:space="preserve"> </w:t>
      </w:r>
      <w:r w:rsidR="00B75756" w:rsidRPr="004638AE">
        <w:t>del</w:t>
      </w:r>
      <w:r w:rsidR="00B75756" w:rsidRPr="004638AE">
        <w:rPr>
          <w:lang w:val="ru-RU"/>
        </w:rPr>
        <w:t xml:space="preserve"> </w:t>
      </w:r>
      <w:r w:rsidR="00B75756" w:rsidRPr="004638AE">
        <w:t>Pac</w:t>
      </w:r>
      <w:r w:rsidR="00B75756" w:rsidRPr="004638AE">
        <w:rPr>
          <w:lang w:val="ru-RU"/>
        </w:rPr>
        <w:t>í</w:t>
      </w:r>
      <w:r w:rsidR="00B75756" w:rsidRPr="004638AE">
        <w:t>fico</w:t>
      </w:r>
      <w:r w:rsidR="00B75756" w:rsidRPr="004638AE">
        <w:rPr>
          <w:lang w:val="ru-RU"/>
        </w:rPr>
        <w:t xml:space="preserve">:  </w:t>
      </w:r>
      <w:r w:rsidR="00D352B9" w:rsidRPr="004638AE">
        <w:rPr>
          <w:lang w:val="ru-RU"/>
        </w:rPr>
        <w:t>это государственная инициатива, целью которой является содействие развитию и росту участвующих в ней государств (Чили, Колумбии, Мексики и Перу) и торговле между этими странами</w:t>
      </w:r>
      <w:r w:rsidR="00B75756" w:rsidRPr="004638AE">
        <w:rPr>
          <w:lang w:val="ru-RU"/>
        </w:rPr>
        <w:t>).</w:t>
      </w:r>
    </w:p>
    <w:p w14:paraId="6B6EAFB3" w14:textId="77777777" w:rsidR="00B75756" w:rsidRPr="004638AE" w:rsidRDefault="00B75756" w:rsidP="008D478E">
      <w:pPr>
        <w:rPr>
          <w:lang w:val="ru-RU"/>
        </w:rPr>
      </w:pPr>
    </w:p>
    <w:p w14:paraId="28828596" w14:textId="4A68001C" w:rsidR="00D352B9" w:rsidRPr="004638AE" w:rsidRDefault="00D352B9" w:rsidP="00D352B9">
      <w:pPr>
        <w:rPr>
          <w:lang w:val="ru-RU"/>
        </w:rPr>
      </w:pPr>
      <w:r w:rsidRPr="004638AE">
        <w:rPr>
          <w:lang w:val="ru-RU"/>
        </w:rPr>
        <w:t xml:space="preserve">Являясь членом </w:t>
      </w:r>
      <w:proofErr w:type="spellStart"/>
      <w:r w:rsidRPr="004638AE">
        <w:t>Prosur</w:t>
      </w:r>
      <w:proofErr w:type="spellEnd"/>
      <w:r w:rsidRPr="004638AE">
        <w:rPr>
          <w:lang w:val="ru-RU"/>
        </w:rPr>
        <w:t xml:space="preserve"> и </w:t>
      </w:r>
      <w:proofErr w:type="spellStart"/>
      <w:r w:rsidRPr="004638AE">
        <w:t>Alianza</w:t>
      </w:r>
      <w:proofErr w:type="spellEnd"/>
      <w:r w:rsidRPr="004638AE">
        <w:rPr>
          <w:lang w:val="ru-RU"/>
        </w:rPr>
        <w:t xml:space="preserve"> </w:t>
      </w:r>
      <w:r w:rsidRPr="004638AE">
        <w:t>del</w:t>
      </w:r>
      <w:r w:rsidRPr="004638AE">
        <w:rPr>
          <w:lang w:val="ru-RU"/>
        </w:rPr>
        <w:t xml:space="preserve"> </w:t>
      </w:r>
      <w:r w:rsidRPr="004638AE">
        <w:t>Pac</w:t>
      </w:r>
      <w:r w:rsidRPr="004638AE">
        <w:rPr>
          <w:lang w:val="ru-RU"/>
        </w:rPr>
        <w:t>í</w:t>
      </w:r>
      <w:r w:rsidRPr="004638AE">
        <w:t>fico</w:t>
      </w:r>
      <w:r w:rsidRPr="004638AE">
        <w:rPr>
          <w:lang w:val="ru-RU"/>
        </w:rPr>
        <w:t xml:space="preserve">, в 2016 г. </w:t>
      </w:r>
      <w:proofErr w:type="gramStart"/>
      <w:r w:rsidRPr="004638AE">
        <w:t>INAPI</w:t>
      </w:r>
      <w:r w:rsidRPr="004638AE">
        <w:rPr>
          <w:lang w:val="ru-RU"/>
        </w:rPr>
        <w:t xml:space="preserve"> подписал соглашения об ускоренном патентном делопроизводстве (</w:t>
      </w:r>
      <w:r w:rsidRPr="004638AE">
        <w:t>PPH</w:t>
      </w:r>
      <w:r w:rsidR="00194299">
        <w:rPr>
          <w:lang w:val="ru-RU"/>
        </w:rPr>
        <w:t>)</w:t>
      </w:r>
      <w:r w:rsidRPr="004638AE">
        <w:rPr>
          <w:lang w:val="ru-RU"/>
        </w:rPr>
        <w:t xml:space="preserve">, с тем чтобы способствовать внедрению стандартов эффективности </w:t>
      </w:r>
      <w:r w:rsidRPr="004638AE">
        <w:t>INAPI</w:t>
      </w:r>
      <w:r w:rsidRPr="004638AE">
        <w:rPr>
          <w:lang w:val="ru-RU"/>
        </w:rPr>
        <w:t xml:space="preserve"> в качестве МПО/ОМПЭ и сделать нашу работу в качестве Международного органа еще более полезной для стран региона.</w:t>
      </w:r>
      <w:proofErr w:type="gramEnd"/>
    </w:p>
    <w:p w14:paraId="016774E0" w14:textId="77777777" w:rsidR="00B75756" w:rsidRPr="004638AE" w:rsidRDefault="00B75756" w:rsidP="00B75756">
      <w:pPr>
        <w:rPr>
          <w:szCs w:val="22"/>
          <w:lang w:val="ru-RU"/>
        </w:rPr>
      </w:pPr>
    </w:p>
    <w:p w14:paraId="78FB66F9" w14:textId="0CCA2E61" w:rsidR="00B75756" w:rsidRPr="00653338" w:rsidRDefault="0083261F" w:rsidP="00B75756">
      <w:pPr>
        <w:rPr>
          <w:lang w:val="ru-RU"/>
        </w:rPr>
      </w:pPr>
      <w:r w:rsidRPr="004638AE">
        <w:rPr>
          <w:b/>
          <w:bCs/>
          <w:szCs w:val="22"/>
          <w:lang w:val="ru-RU"/>
        </w:rPr>
        <w:t>Численность</w:t>
      </w:r>
      <w:r w:rsidRPr="00653338">
        <w:rPr>
          <w:b/>
          <w:bCs/>
          <w:szCs w:val="22"/>
          <w:lang w:val="ru-RU"/>
        </w:rPr>
        <w:t xml:space="preserve"> </w:t>
      </w:r>
      <w:r w:rsidRPr="004638AE">
        <w:rPr>
          <w:b/>
          <w:bCs/>
          <w:szCs w:val="22"/>
          <w:lang w:val="ru-RU"/>
        </w:rPr>
        <w:t>населения</w:t>
      </w:r>
      <w:r w:rsidR="00B75756" w:rsidRPr="00653338">
        <w:rPr>
          <w:b/>
          <w:bCs/>
          <w:szCs w:val="22"/>
          <w:lang w:val="ru-RU"/>
        </w:rPr>
        <w:t>:</w:t>
      </w:r>
      <w:r w:rsidR="00B75756" w:rsidRPr="00653338">
        <w:rPr>
          <w:lang w:val="ru-RU"/>
        </w:rPr>
        <w:t xml:space="preserve">  17</w:t>
      </w:r>
      <w:r w:rsidR="00DE17F8" w:rsidRPr="00653338">
        <w:rPr>
          <w:lang w:val="ru-RU"/>
        </w:rPr>
        <w:t>,</w:t>
      </w:r>
      <w:r w:rsidR="00B75756" w:rsidRPr="00653338">
        <w:rPr>
          <w:lang w:val="ru-RU"/>
        </w:rPr>
        <w:t xml:space="preserve">95 </w:t>
      </w:r>
      <w:r w:rsidR="00DE17F8" w:rsidRPr="004638AE">
        <w:rPr>
          <w:lang w:val="ru-RU"/>
        </w:rPr>
        <w:t>млн</w:t>
      </w:r>
      <w:r w:rsidR="00DE17F8" w:rsidRPr="00653338">
        <w:rPr>
          <w:lang w:val="ru-RU"/>
        </w:rPr>
        <w:t xml:space="preserve"> </w:t>
      </w:r>
      <w:r w:rsidR="00DE17F8" w:rsidRPr="004638AE">
        <w:rPr>
          <w:lang w:val="ru-RU"/>
        </w:rPr>
        <w:t>чел</w:t>
      </w:r>
      <w:r w:rsidR="00DE17F8" w:rsidRPr="00653338">
        <w:rPr>
          <w:lang w:val="ru-RU"/>
        </w:rPr>
        <w:t xml:space="preserve">. </w:t>
      </w:r>
      <w:r w:rsidR="00B75756" w:rsidRPr="00653338">
        <w:rPr>
          <w:i/>
          <w:lang w:val="ru-RU"/>
        </w:rPr>
        <w:t>(</w:t>
      </w:r>
      <w:r w:rsidR="00DE17F8" w:rsidRPr="004638AE">
        <w:rPr>
          <w:i/>
          <w:lang w:val="ru-RU"/>
        </w:rPr>
        <w:t>информация Всемирного банка</w:t>
      </w:r>
      <w:r w:rsidR="00B75756" w:rsidRPr="00653338">
        <w:rPr>
          <w:i/>
          <w:lang w:val="ru-RU"/>
        </w:rPr>
        <w:t>)</w:t>
      </w:r>
    </w:p>
    <w:p w14:paraId="5FAA681A" w14:textId="77777777" w:rsidR="00B75756" w:rsidRPr="00653338" w:rsidRDefault="00B75756" w:rsidP="00B75756">
      <w:pPr>
        <w:rPr>
          <w:szCs w:val="22"/>
          <w:lang w:val="ru-RU"/>
        </w:rPr>
      </w:pPr>
    </w:p>
    <w:p w14:paraId="27688663" w14:textId="4D801901" w:rsidR="00B75756" w:rsidRPr="004638AE" w:rsidRDefault="0083261F" w:rsidP="00B75756">
      <w:pPr>
        <w:rPr>
          <w:lang w:val="ru-RU"/>
        </w:rPr>
      </w:pPr>
      <w:r w:rsidRPr="004638AE">
        <w:rPr>
          <w:b/>
          <w:bCs/>
          <w:szCs w:val="22"/>
          <w:lang w:val="ru-RU"/>
        </w:rPr>
        <w:t xml:space="preserve">ВВП </w:t>
      </w:r>
      <w:r w:rsidRPr="004638AE">
        <w:rPr>
          <w:b/>
          <w:bCs/>
          <w:i/>
          <w:szCs w:val="22"/>
          <w:lang w:val="ru-RU"/>
        </w:rPr>
        <w:t>на душу населения</w:t>
      </w:r>
      <w:r w:rsidR="00B75756" w:rsidRPr="004638AE">
        <w:rPr>
          <w:b/>
          <w:bCs/>
          <w:szCs w:val="22"/>
          <w:lang w:val="ru-RU"/>
        </w:rPr>
        <w:t>:</w:t>
      </w:r>
      <w:r w:rsidR="00DE17F8" w:rsidRPr="004638AE">
        <w:rPr>
          <w:lang w:val="ru-RU"/>
        </w:rPr>
        <w:t xml:space="preserve">  22</w:t>
      </w:r>
      <w:r w:rsidR="00DE17F8" w:rsidRPr="004638AE">
        <w:t> </w:t>
      </w:r>
      <w:r w:rsidR="00B75756" w:rsidRPr="004638AE">
        <w:rPr>
          <w:lang w:val="ru-RU"/>
        </w:rPr>
        <w:t xml:space="preserve">370 </w:t>
      </w:r>
      <w:r w:rsidR="00DE17F8" w:rsidRPr="004638AE">
        <w:rPr>
          <w:lang w:val="ru-RU"/>
        </w:rPr>
        <w:t>долл. США</w:t>
      </w:r>
      <w:r w:rsidR="00B75756" w:rsidRPr="004638AE">
        <w:rPr>
          <w:lang w:val="ru-RU"/>
        </w:rPr>
        <w:t xml:space="preserve"> (2015</w:t>
      </w:r>
      <w:r w:rsidR="00DE17F8" w:rsidRPr="004638AE">
        <w:rPr>
          <w:lang w:val="ru-RU"/>
        </w:rPr>
        <w:t xml:space="preserve"> г.</w:t>
      </w:r>
      <w:r w:rsidR="00B75756" w:rsidRPr="004638AE">
        <w:rPr>
          <w:lang w:val="ru-RU"/>
        </w:rPr>
        <w:t>) (</w:t>
      </w:r>
      <w:r w:rsidR="00DE17F8" w:rsidRPr="004638AE">
        <w:rPr>
          <w:lang w:val="ru-RU"/>
        </w:rPr>
        <w:t>ППС</w:t>
      </w:r>
      <w:r w:rsidR="00B75756" w:rsidRPr="004638AE">
        <w:rPr>
          <w:lang w:val="ru-RU"/>
        </w:rPr>
        <w:t xml:space="preserve">) </w:t>
      </w:r>
      <w:r w:rsidR="00B75756" w:rsidRPr="004638AE">
        <w:rPr>
          <w:i/>
          <w:lang w:val="ru-RU"/>
        </w:rPr>
        <w:t>(</w:t>
      </w:r>
      <w:r w:rsidR="00DE17F8" w:rsidRPr="004638AE">
        <w:rPr>
          <w:i/>
          <w:lang w:val="ru-RU"/>
        </w:rPr>
        <w:t>информация Всемирного банка</w:t>
      </w:r>
      <w:r w:rsidR="00B75756" w:rsidRPr="004638AE">
        <w:rPr>
          <w:i/>
          <w:lang w:val="ru-RU"/>
        </w:rPr>
        <w:t>)</w:t>
      </w:r>
    </w:p>
    <w:p w14:paraId="6FF84EBE" w14:textId="77777777" w:rsidR="00B75756" w:rsidRPr="004638AE" w:rsidRDefault="00B75756" w:rsidP="00B75756">
      <w:pPr>
        <w:rPr>
          <w:szCs w:val="22"/>
          <w:lang w:val="ru-RU"/>
        </w:rPr>
      </w:pPr>
    </w:p>
    <w:p w14:paraId="23F1B381" w14:textId="2BC30239" w:rsidR="00B75756" w:rsidRPr="004638AE" w:rsidRDefault="0083261F" w:rsidP="00B75756">
      <w:pPr>
        <w:rPr>
          <w:lang w:val="ru-RU"/>
        </w:rPr>
      </w:pPr>
      <w:r w:rsidRPr="004638AE">
        <w:rPr>
          <w:b/>
          <w:bCs/>
          <w:szCs w:val="22"/>
          <w:lang w:val="ru-RU"/>
        </w:rPr>
        <w:t>Оценка национальных расходов на НИОКР (в % от ВВП)</w:t>
      </w:r>
      <w:r w:rsidR="00B75756" w:rsidRPr="004638AE">
        <w:rPr>
          <w:b/>
          <w:bCs/>
          <w:szCs w:val="22"/>
          <w:lang w:val="ru-RU"/>
        </w:rPr>
        <w:t>:</w:t>
      </w:r>
      <w:r w:rsidR="00B75756" w:rsidRPr="004638AE">
        <w:rPr>
          <w:szCs w:val="22"/>
          <w:lang w:val="ru-RU"/>
        </w:rPr>
        <w:t xml:space="preserve">  </w:t>
      </w:r>
      <w:r w:rsidR="00DE17F8" w:rsidRPr="004638AE">
        <w:rPr>
          <w:lang w:val="ru-RU"/>
        </w:rPr>
        <w:t>0,</w:t>
      </w:r>
      <w:r w:rsidR="00B75756" w:rsidRPr="004638AE">
        <w:rPr>
          <w:lang w:val="ru-RU"/>
        </w:rPr>
        <w:t>39 (</w:t>
      </w:r>
      <w:r w:rsidR="00DE17F8" w:rsidRPr="004638AE">
        <w:rPr>
          <w:lang w:val="ru-RU"/>
        </w:rPr>
        <w:t xml:space="preserve">2015 г.) </w:t>
      </w:r>
      <w:r w:rsidR="00DE17F8" w:rsidRPr="004638AE">
        <w:rPr>
          <w:i/>
          <w:lang w:val="ru-RU"/>
        </w:rPr>
        <w:t>(информация Всемирного банка)</w:t>
      </w:r>
    </w:p>
    <w:p w14:paraId="0A8025AC" w14:textId="77777777" w:rsidR="00B75756" w:rsidRPr="004638AE" w:rsidRDefault="00B75756" w:rsidP="00B75756">
      <w:pPr>
        <w:rPr>
          <w:szCs w:val="22"/>
          <w:lang w:val="ru-RU"/>
        </w:rPr>
      </w:pPr>
    </w:p>
    <w:p w14:paraId="3C8F3866" w14:textId="06851464" w:rsidR="006619C5" w:rsidRPr="004638AE" w:rsidRDefault="0083261F" w:rsidP="006619C5">
      <w:pPr>
        <w:rPr>
          <w:lang w:val="ru-RU"/>
        </w:rPr>
      </w:pPr>
      <w:r w:rsidRPr="004638AE">
        <w:rPr>
          <w:b/>
          <w:bCs/>
          <w:szCs w:val="22"/>
          <w:lang w:val="ru-RU"/>
        </w:rPr>
        <w:t>Количество исследовательских университетов</w:t>
      </w:r>
      <w:r w:rsidR="00A80A18" w:rsidRPr="004638AE">
        <w:rPr>
          <w:b/>
          <w:bCs/>
          <w:szCs w:val="22"/>
          <w:lang w:val="ru-RU"/>
        </w:rPr>
        <w:t xml:space="preserve">:  </w:t>
      </w:r>
      <w:r w:rsidR="006619C5" w:rsidRPr="004638AE">
        <w:rPr>
          <w:lang w:val="ru-RU"/>
        </w:rPr>
        <w:t>В Чили 25 государственных университетов являются членами Совета ректоров.  Помимо этого, в стране действует 31 частный университет.  Все университеты страны обязаны заниматься научными исследованиями, что является одним из требований, которым должно соответствовать высшее учебное заведение, чтобы быть официально признанным правительством в качестве такового.</w:t>
      </w:r>
    </w:p>
    <w:p w14:paraId="2294169A" w14:textId="77777777" w:rsidR="00B75756" w:rsidRPr="004638AE" w:rsidRDefault="00B75756" w:rsidP="00B75756">
      <w:pPr>
        <w:rPr>
          <w:szCs w:val="22"/>
          <w:lang w:val="ru-RU"/>
        </w:rPr>
      </w:pPr>
    </w:p>
    <w:p w14:paraId="2633DCCD" w14:textId="7AB85673" w:rsidR="00B75756" w:rsidRPr="004638AE" w:rsidRDefault="0083261F" w:rsidP="008D478E">
      <w:pPr>
        <w:rPr>
          <w:lang w:val="ru-RU"/>
        </w:rPr>
      </w:pPr>
      <w:r w:rsidRPr="004638AE">
        <w:rPr>
          <w:b/>
          <w:bCs/>
          <w:szCs w:val="22"/>
          <w:lang w:val="ru-RU"/>
        </w:rPr>
        <w:t>Краткая характеристика национальной системы патентной информации (например, патентные библиотеки, центры поддержки технологий и инноваций</w:t>
      </w:r>
      <w:r w:rsidR="00B75756" w:rsidRPr="004638AE">
        <w:rPr>
          <w:b/>
          <w:bCs/>
          <w:lang w:val="ru-RU"/>
        </w:rPr>
        <w:t>)</w:t>
      </w:r>
      <w:r w:rsidR="00A80A18" w:rsidRPr="004638AE">
        <w:rPr>
          <w:b/>
          <w:bCs/>
          <w:lang w:val="ru-RU"/>
        </w:rPr>
        <w:t xml:space="preserve">:  </w:t>
      </w:r>
      <w:r w:rsidR="006619C5" w:rsidRPr="004638AE">
        <w:rPr>
          <w:lang w:val="ru-RU"/>
        </w:rPr>
        <w:t xml:space="preserve">Одной из главных задач </w:t>
      </w:r>
      <w:r w:rsidR="006619C5" w:rsidRPr="004638AE">
        <w:t>INAPI</w:t>
      </w:r>
      <w:r w:rsidR="006619C5" w:rsidRPr="004638AE">
        <w:rPr>
          <w:lang w:val="ru-RU"/>
        </w:rPr>
        <w:t xml:space="preserve"> является составление необходимой документации для заявителей и пользователей патентной системой.  В настоящее время наше учреждение принимает участие в инициативе «Депозитарные библиотеки ВОИС».  Соответствующую информацию см. на странице</w:t>
      </w:r>
      <w:r w:rsidR="00A80A18" w:rsidRPr="004638AE">
        <w:rPr>
          <w:lang w:val="ru-RU"/>
        </w:rPr>
        <w:t xml:space="preserve">:  </w:t>
      </w:r>
      <w:r w:rsidR="00B75756" w:rsidRPr="004638AE">
        <w:t>http</w:t>
      </w:r>
      <w:r w:rsidR="00B75756" w:rsidRPr="004638AE">
        <w:rPr>
          <w:lang w:val="ru-RU"/>
        </w:rPr>
        <w:t>://</w:t>
      </w:r>
      <w:r w:rsidR="00B75756" w:rsidRPr="004638AE">
        <w:t>www</w:t>
      </w:r>
      <w:r w:rsidR="00B75756" w:rsidRPr="004638AE">
        <w:rPr>
          <w:lang w:val="ru-RU"/>
        </w:rPr>
        <w:t>.</w:t>
      </w:r>
      <w:proofErr w:type="spellStart"/>
      <w:r w:rsidR="00B75756" w:rsidRPr="004638AE">
        <w:t>wipo</w:t>
      </w:r>
      <w:proofErr w:type="spellEnd"/>
      <w:r w:rsidR="00B75756" w:rsidRPr="004638AE">
        <w:rPr>
          <w:lang w:val="ru-RU"/>
        </w:rPr>
        <w:t>.</w:t>
      </w:r>
      <w:proofErr w:type="spellStart"/>
      <w:r w:rsidR="00B75756" w:rsidRPr="004638AE">
        <w:t>int</w:t>
      </w:r>
      <w:proofErr w:type="spellEnd"/>
      <w:r w:rsidR="00B75756" w:rsidRPr="004638AE">
        <w:rPr>
          <w:lang w:val="ru-RU"/>
        </w:rPr>
        <w:t>/</w:t>
      </w:r>
      <w:r w:rsidR="00B75756" w:rsidRPr="004638AE">
        <w:t>library</w:t>
      </w:r>
      <w:r w:rsidR="00B75756" w:rsidRPr="004638AE">
        <w:rPr>
          <w:lang w:val="ru-RU"/>
        </w:rPr>
        <w:t>/</w:t>
      </w:r>
      <w:proofErr w:type="spellStart"/>
      <w:r w:rsidR="00B75756" w:rsidRPr="004638AE">
        <w:t>en</w:t>
      </w:r>
      <w:proofErr w:type="spellEnd"/>
      <w:r w:rsidR="00B75756" w:rsidRPr="004638AE">
        <w:rPr>
          <w:lang w:val="ru-RU"/>
        </w:rPr>
        <w:t>/</w:t>
      </w:r>
      <w:r w:rsidR="00B75756" w:rsidRPr="004638AE">
        <w:t>depository</w:t>
      </w:r>
      <w:r w:rsidR="00B75756" w:rsidRPr="004638AE">
        <w:rPr>
          <w:lang w:val="ru-RU"/>
        </w:rPr>
        <w:t>_</w:t>
      </w:r>
      <w:r w:rsidR="00B75756" w:rsidRPr="004638AE">
        <w:t>libraries</w:t>
      </w:r>
      <w:r w:rsidR="00B75756" w:rsidRPr="004638AE">
        <w:rPr>
          <w:lang w:val="ru-RU"/>
        </w:rPr>
        <w:t>.</w:t>
      </w:r>
      <w:proofErr w:type="spellStart"/>
      <w:r w:rsidR="00B75756" w:rsidRPr="004638AE">
        <w:t>jsp</w:t>
      </w:r>
      <w:proofErr w:type="spellEnd"/>
      <w:r w:rsidR="00A80A18" w:rsidRPr="004638AE">
        <w:rPr>
          <w:lang w:val="ru-RU"/>
        </w:rPr>
        <w:t xml:space="preserve">.  </w:t>
      </w:r>
      <w:r w:rsidR="006619C5" w:rsidRPr="004638AE">
        <w:rPr>
          <w:lang w:val="ru-RU"/>
        </w:rPr>
        <w:t>Наши сотрудники имеют доступ к документации, предоставленной ВОИС, и мы работаем над созданием достаточных возможностей, благодаря которым у каждого пользователя будет доступ к этой важной информации</w:t>
      </w:r>
      <w:r w:rsidR="00B75756" w:rsidRPr="004638AE">
        <w:rPr>
          <w:lang w:val="ru-RU"/>
        </w:rPr>
        <w:t>.</w:t>
      </w:r>
    </w:p>
    <w:p w14:paraId="2EAA698F" w14:textId="77777777" w:rsidR="00B75756" w:rsidRPr="004638AE" w:rsidRDefault="00B75756" w:rsidP="008D478E">
      <w:pPr>
        <w:rPr>
          <w:lang w:val="ru-RU"/>
        </w:rPr>
      </w:pPr>
    </w:p>
    <w:p w14:paraId="3838B45A" w14:textId="77777777" w:rsidR="00F06120" w:rsidRPr="004638AE" w:rsidRDefault="00F06120" w:rsidP="00F06120">
      <w:pPr>
        <w:rPr>
          <w:lang w:val="ru-RU"/>
        </w:rPr>
      </w:pPr>
      <w:r w:rsidRPr="004638AE">
        <w:rPr>
          <w:lang w:val="ru-RU"/>
        </w:rPr>
        <w:t xml:space="preserve">Помимо этого и в дополнение к участию в библиотечном проекте ВОИС, мы близки к завершению работы над окончательным вариантом нашей заявки на участие в Программе создания центров поддержки технологии и инноваций (ЦПТИ) ВОИС. </w:t>
      </w:r>
    </w:p>
    <w:p w14:paraId="547235F9" w14:textId="77777777" w:rsidR="00B75756" w:rsidRPr="004638AE" w:rsidRDefault="00B75756" w:rsidP="008D478E">
      <w:pPr>
        <w:rPr>
          <w:lang w:val="ru-RU"/>
        </w:rPr>
      </w:pPr>
    </w:p>
    <w:p w14:paraId="3C8D6AFF" w14:textId="6139BE63" w:rsidR="00B75756" w:rsidRPr="004638AE" w:rsidRDefault="0083261F" w:rsidP="008D478E">
      <w:pPr>
        <w:rPr>
          <w:lang w:val="ru-RU"/>
        </w:rPr>
      </w:pPr>
      <w:r w:rsidRPr="004638AE">
        <w:rPr>
          <w:b/>
          <w:bCs/>
          <w:szCs w:val="22"/>
          <w:lang w:val="ru-RU"/>
        </w:rPr>
        <w:t>Ведущие отрасли промышленности</w:t>
      </w:r>
      <w:r w:rsidR="00A80A18" w:rsidRPr="004638AE">
        <w:rPr>
          <w:b/>
          <w:bCs/>
          <w:lang w:val="ru-RU"/>
        </w:rPr>
        <w:t xml:space="preserve">:  </w:t>
      </w:r>
      <w:r w:rsidR="00F06120" w:rsidRPr="004638AE">
        <w:rPr>
          <w:lang w:val="ru-RU"/>
        </w:rPr>
        <w:t>горнодобывающая</w:t>
      </w:r>
      <w:r w:rsidR="00194299">
        <w:rPr>
          <w:lang w:val="ru-RU"/>
        </w:rPr>
        <w:t xml:space="preserve"> промышленность</w:t>
      </w:r>
      <w:r w:rsidR="00B75756" w:rsidRPr="004638AE">
        <w:rPr>
          <w:lang w:val="ru-RU"/>
        </w:rPr>
        <w:t xml:space="preserve">, </w:t>
      </w:r>
      <w:r w:rsidR="00F06120" w:rsidRPr="004638AE">
        <w:rPr>
          <w:lang w:val="ru-RU"/>
        </w:rPr>
        <w:t>рыболовство, деревообрабатывающая/целлюлозно-бумажная промышленность, сельское хозяйство.</w:t>
      </w:r>
    </w:p>
    <w:p w14:paraId="184E94CD" w14:textId="77777777" w:rsidR="00B75756" w:rsidRPr="004638AE" w:rsidRDefault="00B75756" w:rsidP="008D478E">
      <w:pPr>
        <w:rPr>
          <w:lang w:val="ru-RU"/>
        </w:rPr>
      </w:pPr>
    </w:p>
    <w:p w14:paraId="19AF3FFC" w14:textId="083DD1B8" w:rsidR="00B75756" w:rsidRPr="004638AE" w:rsidRDefault="0083261F" w:rsidP="008D478E">
      <w:pPr>
        <w:rPr>
          <w:lang w:val="ru-RU"/>
        </w:rPr>
      </w:pPr>
      <w:r w:rsidRPr="004638AE">
        <w:rPr>
          <w:b/>
          <w:bCs/>
          <w:szCs w:val="22"/>
          <w:lang w:val="ru-RU"/>
        </w:rPr>
        <w:t>Основные страны-торговые партнеры</w:t>
      </w:r>
      <w:r w:rsidR="00DE17F8" w:rsidRPr="004638AE">
        <w:rPr>
          <w:b/>
          <w:bCs/>
          <w:lang w:val="ru-RU"/>
        </w:rPr>
        <w:t xml:space="preserve">: </w:t>
      </w:r>
      <w:r w:rsidR="00DE17F8" w:rsidRPr="004638AE">
        <w:rPr>
          <w:bCs/>
          <w:lang w:val="ru-RU"/>
        </w:rPr>
        <w:t>Китай, США, Япония, Южная Корея, Бразилия, Перу, Испания, Мексика, Колумбия, Аргентина</w:t>
      </w:r>
      <w:r w:rsidR="00DE17F8" w:rsidRPr="004638AE">
        <w:rPr>
          <w:lang w:val="ru-RU"/>
        </w:rPr>
        <w:t>.</w:t>
      </w:r>
    </w:p>
    <w:p w14:paraId="73367345" w14:textId="77777777" w:rsidR="00B75756" w:rsidRPr="004638AE" w:rsidRDefault="00B75756" w:rsidP="008D478E">
      <w:pPr>
        <w:rPr>
          <w:lang w:val="ru-RU"/>
        </w:rPr>
      </w:pPr>
    </w:p>
    <w:p w14:paraId="0AF11E46" w14:textId="77777777" w:rsidR="00B75756" w:rsidRPr="00653338" w:rsidRDefault="0083261F" w:rsidP="00A7117A">
      <w:pPr>
        <w:keepNext/>
        <w:rPr>
          <w:b/>
          <w:lang w:val="ru-RU"/>
        </w:rPr>
      </w:pPr>
      <w:r w:rsidRPr="004638AE">
        <w:rPr>
          <w:b/>
          <w:bCs/>
          <w:szCs w:val="22"/>
          <w:lang w:val="ru-RU"/>
        </w:rPr>
        <w:t>Другая</w:t>
      </w:r>
      <w:r w:rsidRPr="00653338">
        <w:rPr>
          <w:b/>
          <w:bCs/>
          <w:szCs w:val="22"/>
          <w:lang w:val="ru-RU"/>
        </w:rPr>
        <w:t xml:space="preserve"> </w:t>
      </w:r>
      <w:r w:rsidRPr="004638AE">
        <w:rPr>
          <w:b/>
          <w:bCs/>
          <w:szCs w:val="22"/>
          <w:lang w:val="ru-RU"/>
        </w:rPr>
        <w:t>важная</w:t>
      </w:r>
      <w:r w:rsidRPr="00653338">
        <w:rPr>
          <w:b/>
          <w:bCs/>
          <w:szCs w:val="22"/>
          <w:lang w:val="ru-RU"/>
        </w:rPr>
        <w:t xml:space="preserve"> </w:t>
      </w:r>
      <w:r w:rsidRPr="004638AE">
        <w:rPr>
          <w:b/>
          <w:bCs/>
          <w:szCs w:val="22"/>
          <w:lang w:val="ru-RU"/>
        </w:rPr>
        <w:t>информация</w:t>
      </w:r>
      <w:r w:rsidR="00B75756" w:rsidRPr="00653338">
        <w:rPr>
          <w:b/>
          <w:lang w:val="ru-RU"/>
        </w:rPr>
        <w:t xml:space="preserve">:  </w:t>
      </w:r>
    </w:p>
    <w:p w14:paraId="5F230ED0" w14:textId="77777777" w:rsidR="00B75756" w:rsidRPr="00653338" w:rsidRDefault="00B75756" w:rsidP="00A7117A">
      <w:pPr>
        <w:keepNext/>
        <w:rPr>
          <w:lang w:val="ru-RU"/>
        </w:rPr>
      </w:pPr>
    </w:p>
    <w:p w14:paraId="72F612EC" w14:textId="77777777" w:rsidR="00F06120" w:rsidRPr="004638AE" w:rsidRDefault="00F06120" w:rsidP="00A7117A">
      <w:pPr>
        <w:keepNext/>
        <w:rPr>
          <w:lang w:val="ru-RU"/>
        </w:rPr>
      </w:pPr>
      <w:r w:rsidRPr="004638AE">
        <w:rPr>
          <w:lang w:val="ru-RU"/>
        </w:rPr>
        <w:t xml:space="preserve">В 2016 году правительство Чили приступило к реализации Национальной стратегии в отношении промышленной собственности, разработанной </w:t>
      </w:r>
      <w:r w:rsidRPr="004638AE">
        <w:t>INAPI</w:t>
      </w:r>
      <w:r w:rsidRPr="004638AE">
        <w:rPr>
          <w:lang w:val="ru-RU"/>
        </w:rPr>
        <w:t xml:space="preserve">.  Эта стратегия включает такие компоненты, как использование системы </w:t>
      </w:r>
      <w:r w:rsidRPr="004638AE">
        <w:t>PCT</w:t>
      </w:r>
      <w:r w:rsidRPr="004638AE">
        <w:rPr>
          <w:lang w:val="ru-RU"/>
        </w:rPr>
        <w:t xml:space="preserve"> и участие чилийских компаний и учреждений в работе патентных систем за рубежом.</w:t>
      </w:r>
    </w:p>
    <w:p w14:paraId="09AE24D8" w14:textId="77777777" w:rsidR="00B75756" w:rsidRPr="004638AE" w:rsidRDefault="00B75756" w:rsidP="00B75756">
      <w:pPr>
        <w:jc w:val="both"/>
        <w:rPr>
          <w:szCs w:val="22"/>
          <w:lang w:val="ru-RU"/>
        </w:rPr>
      </w:pPr>
    </w:p>
    <w:p w14:paraId="78C8183B" w14:textId="0EC3FC1A" w:rsidR="00B75756" w:rsidRPr="004638AE" w:rsidRDefault="00F06120" w:rsidP="008D478E">
      <w:pPr>
        <w:rPr>
          <w:lang w:val="ru-RU"/>
        </w:rPr>
      </w:pPr>
      <w:r w:rsidRPr="004638AE">
        <w:rPr>
          <w:lang w:val="ru-RU"/>
        </w:rPr>
        <w:t>Информацию об этой стратегии (на испанском языке) можно получить на следующей странице</w:t>
      </w:r>
      <w:r w:rsidR="00B75756" w:rsidRPr="004638AE">
        <w:rPr>
          <w:lang w:val="ru-RU"/>
        </w:rPr>
        <w:t>:</w:t>
      </w:r>
    </w:p>
    <w:p w14:paraId="2F567E41" w14:textId="77777777" w:rsidR="00B75756" w:rsidRPr="00653338" w:rsidRDefault="00A7117A" w:rsidP="00B75756">
      <w:pPr>
        <w:jc w:val="both"/>
        <w:rPr>
          <w:szCs w:val="22"/>
          <w:lang w:val="ru-RU"/>
        </w:rPr>
      </w:pPr>
      <w:hyperlink r:id="rId13" w:history="1">
        <w:r w:rsidR="00B75756" w:rsidRPr="004638AE">
          <w:rPr>
            <w:rStyle w:val="Hyperlink"/>
            <w:szCs w:val="22"/>
          </w:rPr>
          <w:t>http</w:t>
        </w:r>
        <w:r w:rsidR="00B75756" w:rsidRPr="00653338">
          <w:rPr>
            <w:rStyle w:val="Hyperlink"/>
            <w:szCs w:val="22"/>
            <w:lang w:val="ru-RU"/>
          </w:rPr>
          <w:t>://</w:t>
        </w:r>
        <w:r w:rsidR="00B75756" w:rsidRPr="004638AE">
          <w:rPr>
            <w:rStyle w:val="Hyperlink"/>
            <w:szCs w:val="22"/>
          </w:rPr>
          <w:t>www</w:t>
        </w:r>
        <w:r w:rsidR="00B75756" w:rsidRPr="00653338">
          <w:rPr>
            <w:rStyle w:val="Hyperlink"/>
            <w:szCs w:val="22"/>
            <w:lang w:val="ru-RU"/>
          </w:rPr>
          <w:t>.</w:t>
        </w:r>
        <w:proofErr w:type="spellStart"/>
        <w:r w:rsidR="00B75756" w:rsidRPr="004638AE">
          <w:rPr>
            <w:rStyle w:val="Hyperlink"/>
            <w:szCs w:val="22"/>
          </w:rPr>
          <w:t>inapi</w:t>
        </w:r>
        <w:proofErr w:type="spellEnd"/>
        <w:r w:rsidR="00B75756" w:rsidRPr="00653338">
          <w:rPr>
            <w:rStyle w:val="Hyperlink"/>
            <w:szCs w:val="22"/>
            <w:lang w:val="ru-RU"/>
          </w:rPr>
          <w:t>.</w:t>
        </w:r>
        <w:r w:rsidR="00B75756" w:rsidRPr="004638AE">
          <w:rPr>
            <w:rStyle w:val="Hyperlink"/>
            <w:szCs w:val="22"/>
          </w:rPr>
          <w:t>cl</w:t>
        </w:r>
        <w:r w:rsidR="00B75756" w:rsidRPr="00653338">
          <w:rPr>
            <w:rStyle w:val="Hyperlink"/>
            <w:szCs w:val="22"/>
            <w:lang w:val="ru-RU"/>
          </w:rPr>
          <w:t>/</w:t>
        </w:r>
        <w:r w:rsidR="00B75756" w:rsidRPr="004638AE">
          <w:rPr>
            <w:rStyle w:val="Hyperlink"/>
            <w:szCs w:val="22"/>
          </w:rPr>
          <w:t>portal</w:t>
        </w:r>
        <w:r w:rsidR="00B75756" w:rsidRPr="00653338">
          <w:rPr>
            <w:rStyle w:val="Hyperlink"/>
            <w:szCs w:val="22"/>
            <w:lang w:val="ru-RU"/>
          </w:rPr>
          <w:t>/</w:t>
        </w:r>
        <w:proofErr w:type="spellStart"/>
        <w:r w:rsidR="00B75756" w:rsidRPr="004638AE">
          <w:rPr>
            <w:rStyle w:val="Hyperlink"/>
            <w:szCs w:val="22"/>
          </w:rPr>
          <w:t>publicaciones</w:t>
        </w:r>
        <w:proofErr w:type="spellEnd"/>
        <w:r w:rsidR="00B75756" w:rsidRPr="00653338">
          <w:rPr>
            <w:rStyle w:val="Hyperlink"/>
            <w:szCs w:val="22"/>
            <w:lang w:val="ru-RU"/>
          </w:rPr>
          <w:t>/608/</w:t>
        </w:r>
        <w:r w:rsidR="00B75756" w:rsidRPr="004638AE">
          <w:rPr>
            <w:rStyle w:val="Hyperlink"/>
            <w:szCs w:val="22"/>
          </w:rPr>
          <w:t>articles</w:t>
        </w:r>
        <w:r w:rsidR="00B75756" w:rsidRPr="00653338">
          <w:rPr>
            <w:rStyle w:val="Hyperlink"/>
            <w:szCs w:val="22"/>
            <w:lang w:val="ru-RU"/>
          </w:rPr>
          <w:t>-9870_</w:t>
        </w:r>
        <w:proofErr w:type="spellStart"/>
        <w:r w:rsidR="00B75756" w:rsidRPr="004638AE">
          <w:rPr>
            <w:rStyle w:val="Hyperlink"/>
            <w:szCs w:val="22"/>
          </w:rPr>
          <w:t>recurso</w:t>
        </w:r>
        <w:proofErr w:type="spellEnd"/>
        <w:r w:rsidR="00B75756" w:rsidRPr="00653338">
          <w:rPr>
            <w:rStyle w:val="Hyperlink"/>
            <w:szCs w:val="22"/>
            <w:lang w:val="ru-RU"/>
          </w:rPr>
          <w:t>_1.</w:t>
        </w:r>
        <w:r w:rsidR="00B75756" w:rsidRPr="004638AE">
          <w:rPr>
            <w:rStyle w:val="Hyperlink"/>
            <w:szCs w:val="22"/>
          </w:rPr>
          <w:t>pdf</w:t>
        </w:r>
      </w:hyperlink>
    </w:p>
    <w:p w14:paraId="24364FF8" w14:textId="77777777" w:rsidR="0083261F" w:rsidRPr="004638AE" w:rsidRDefault="0083261F" w:rsidP="0083261F">
      <w:pPr>
        <w:pStyle w:val="SectionHeading"/>
        <w:rPr>
          <w:lang w:val="ru-RU"/>
        </w:rPr>
      </w:pPr>
      <w:r w:rsidRPr="004638AE">
        <w:rPr>
          <w:lang w:val="ru-RU"/>
        </w:rPr>
        <w:t>6 – характерИСТИКА ПАТЕНТНЫХ ЗАЯВОК</w:t>
      </w:r>
    </w:p>
    <w:p w14:paraId="52A69417" w14:textId="77777777" w:rsidR="0083261F" w:rsidRPr="004638AE" w:rsidRDefault="0083261F" w:rsidP="0083261F">
      <w:pPr>
        <w:rPr>
          <w:b/>
          <w:bCs/>
          <w:szCs w:val="22"/>
          <w:lang w:val="ru-RU"/>
        </w:rPr>
      </w:pPr>
      <w:r w:rsidRPr="004638AE">
        <w:rPr>
          <w:b/>
          <w:bCs/>
          <w:lang w:val="ru-RU"/>
        </w:rPr>
        <w:t>Количество полученных национальных заявок в разбивке по областям техники</w:t>
      </w:r>
    </w:p>
    <w:p w14:paraId="5B8C1CA2" w14:textId="77777777" w:rsidR="00B75756" w:rsidRPr="004638AE" w:rsidRDefault="00B75756" w:rsidP="008D478E">
      <w:pPr>
        <w:keepNext/>
        <w:keepLines/>
        <w:rPr>
          <w:szCs w:val="22"/>
          <w:lang w:val="ru-RU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9"/>
        <w:gridCol w:w="1031"/>
        <w:gridCol w:w="1170"/>
        <w:gridCol w:w="1080"/>
        <w:gridCol w:w="1260"/>
      </w:tblGrid>
      <w:tr w:rsidR="00B75756" w:rsidRPr="004638AE" w14:paraId="2A6A2676" w14:textId="77777777" w:rsidTr="00C10769">
        <w:trPr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9334A5F" w14:textId="77777777" w:rsidR="00B75756" w:rsidRPr="004638AE" w:rsidRDefault="00B75756" w:rsidP="008D478E">
            <w:pPr>
              <w:keepNext/>
              <w:jc w:val="right"/>
              <w:rPr>
                <w:rFonts w:eastAsia="Times New Roman"/>
                <w:b/>
                <w:bCs/>
                <w:szCs w:val="22"/>
                <w:lang w:val="ru-RU" w:eastAsia="en-US" w:bidi="he-IL"/>
              </w:rPr>
            </w:pPr>
          </w:p>
          <w:p w14:paraId="2FB8D7FC" w14:textId="77777777" w:rsidR="00B75756" w:rsidRPr="004638AE" w:rsidRDefault="0083261F" w:rsidP="008D478E">
            <w:pPr>
              <w:keepNext/>
              <w:jc w:val="right"/>
              <w:rPr>
                <w:b/>
                <w:bCs/>
                <w:szCs w:val="22"/>
                <w:lang w:eastAsia="en-US" w:bidi="he-IL"/>
              </w:rPr>
            </w:pPr>
            <w:r w:rsidRPr="004638AE">
              <w:rPr>
                <w:b/>
                <w:bCs/>
                <w:szCs w:val="22"/>
                <w:lang w:val="ru-RU" w:eastAsia="en-US" w:bidi="he-IL"/>
              </w:rPr>
              <w:t>Год</w:t>
            </w:r>
            <w:r w:rsidR="00B75756" w:rsidRPr="004638AE">
              <w:rPr>
                <w:rStyle w:val="FootnoteReference"/>
                <w:szCs w:val="22"/>
                <w:lang w:eastAsia="en-US" w:bidi="he-IL"/>
              </w:rPr>
              <w:footnoteReference w:id="2"/>
            </w:r>
          </w:p>
          <w:p w14:paraId="61429E3C" w14:textId="77777777" w:rsidR="00B75756" w:rsidRPr="004638AE" w:rsidRDefault="0083261F" w:rsidP="008D478E">
            <w:pPr>
              <w:keepNext/>
              <w:suppressAutoHyphens/>
              <w:rPr>
                <w:rFonts w:eastAsia="Times New Roman"/>
                <w:b/>
                <w:bCs/>
                <w:szCs w:val="22"/>
                <w:lang w:eastAsia="en-US" w:bidi="he-IL"/>
              </w:rPr>
            </w:pPr>
            <w:r w:rsidRPr="004638AE">
              <w:rPr>
                <w:b/>
                <w:bCs/>
                <w:szCs w:val="22"/>
                <w:lang w:val="ru-RU"/>
              </w:rPr>
              <w:t>Область техники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4CC5" w14:textId="77777777" w:rsidR="00B75756" w:rsidRPr="004638AE" w:rsidRDefault="00B75756" w:rsidP="008D478E">
            <w:pPr>
              <w:keepNext/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 w:rsidRPr="004638AE">
              <w:rPr>
                <w:szCs w:val="22"/>
                <w:lang w:eastAsia="en-US" w:bidi="he-IL"/>
              </w:rPr>
              <w:t>2013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0DC4" w14:textId="77777777" w:rsidR="00B75756" w:rsidRPr="004638AE" w:rsidRDefault="00B75756" w:rsidP="008D478E">
            <w:pPr>
              <w:keepNext/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 w:rsidRPr="004638AE">
              <w:rPr>
                <w:szCs w:val="22"/>
                <w:lang w:eastAsia="en-US" w:bidi="he-IL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D6C4" w14:textId="77777777" w:rsidR="00B75756" w:rsidRPr="004638AE" w:rsidRDefault="00B75756" w:rsidP="008D478E">
            <w:pPr>
              <w:keepNext/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 w:rsidRPr="004638AE">
              <w:rPr>
                <w:szCs w:val="22"/>
                <w:lang w:eastAsia="en-US" w:bidi="he-IL"/>
              </w:rPr>
              <w:t>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10BE" w14:textId="77777777" w:rsidR="00B75756" w:rsidRPr="004638AE" w:rsidRDefault="00B75756" w:rsidP="008D478E">
            <w:pPr>
              <w:keepNext/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 w:rsidRPr="004638AE">
              <w:rPr>
                <w:szCs w:val="22"/>
                <w:lang w:eastAsia="en-US" w:bidi="he-IL"/>
              </w:rPr>
              <w:t>2016</w:t>
            </w:r>
          </w:p>
        </w:tc>
      </w:tr>
      <w:tr w:rsidR="00C10769" w:rsidRPr="004638AE" w14:paraId="5939073E" w14:textId="77777777" w:rsidTr="00C10769">
        <w:trPr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43C0" w14:textId="77777777" w:rsidR="00C10769" w:rsidRPr="004638AE" w:rsidRDefault="00C10769" w:rsidP="00C10769">
            <w:pPr>
              <w:rPr>
                <w:szCs w:val="22"/>
                <w:lang w:val="ru-RU"/>
              </w:rPr>
            </w:pPr>
            <w:r w:rsidRPr="004638AE">
              <w:rPr>
                <w:szCs w:val="22"/>
                <w:lang w:val="ru-RU"/>
              </w:rPr>
              <w:t>Механика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F024" w14:textId="77777777" w:rsidR="00C10769" w:rsidRPr="004638AE" w:rsidRDefault="00C10769" w:rsidP="00C10769">
            <w:pPr>
              <w:ind w:right="261"/>
              <w:jc w:val="right"/>
            </w:pPr>
            <w:r w:rsidRPr="004638AE">
              <w:t>1 118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9BA6" w14:textId="77777777" w:rsidR="00C10769" w:rsidRPr="004638AE" w:rsidRDefault="00C10769" w:rsidP="00C10769">
            <w:pPr>
              <w:ind w:right="261"/>
              <w:jc w:val="right"/>
            </w:pPr>
            <w:r w:rsidRPr="004638AE">
              <w:t>1 291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11D6" w14:textId="77777777" w:rsidR="00C10769" w:rsidRPr="004638AE" w:rsidRDefault="00C10769" w:rsidP="00C10769">
            <w:pPr>
              <w:ind w:right="261"/>
              <w:jc w:val="right"/>
            </w:pPr>
            <w:r w:rsidRPr="004638AE">
              <w:t>1 221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131C" w14:textId="77777777" w:rsidR="00C10769" w:rsidRPr="004638AE" w:rsidRDefault="00C10769" w:rsidP="00C10769">
            <w:pPr>
              <w:ind w:right="261"/>
              <w:jc w:val="right"/>
            </w:pPr>
            <w:r w:rsidRPr="004638AE">
              <w:t>1 050</w:t>
            </w:r>
          </w:p>
        </w:tc>
      </w:tr>
      <w:tr w:rsidR="00C10769" w:rsidRPr="004638AE" w14:paraId="64AD2025" w14:textId="77777777" w:rsidTr="00C10769">
        <w:trPr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A8EA" w14:textId="77777777" w:rsidR="00C10769" w:rsidRPr="004638AE" w:rsidRDefault="00C10769" w:rsidP="00C10769">
            <w:pPr>
              <w:rPr>
                <w:szCs w:val="22"/>
                <w:lang w:val="ru-RU"/>
              </w:rPr>
            </w:pPr>
            <w:r w:rsidRPr="004638AE">
              <w:rPr>
                <w:szCs w:val="22"/>
                <w:lang w:val="ru-RU"/>
              </w:rPr>
              <w:t>Электричество/электроника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1F95" w14:textId="77777777" w:rsidR="00C10769" w:rsidRPr="004638AE" w:rsidRDefault="00C10769" w:rsidP="00C10769">
            <w:pPr>
              <w:ind w:right="261"/>
              <w:jc w:val="right"/>
            </w:pPr>
            <w:r w:rsidRPr="004638AE">
              <w:t>313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534B" w14:textId="77777777" w:rsidR="00C10769" w:rsidRPr="004638AE" w:rsidRDefault="00C10769" w:rsidP="00C10769">
            <w:pPr>
              <w:ind w:right="261"/>
              <w:jc w:val="right"/>
            </w:pPr>
            <w:r w:rsidRPr="004638AE">
              <w:t>420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5EFB" w14:textId="77777777" w:rsidR="00C10769" w:rsidRPr="004638AE" w:rsidRDefault="00C10769" w:rsidP="00C10769">
            <w:pPr>
              <w:ind w:right="261"/>
              <w:jc w:val="right"/>
            </w:pPr>
            <w:r w:rsidRPr="004638AE">
              <w:t>391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8AE4" w14:textId="77777777" w:rsidR="00C10769" w:rsidRPr="004638AE" w:rsidRDefault="00C10769" w:rsidP="00C10769">
            <w:pPr>
              <w:ind w:right="261"/>
              <w:jc w:val="right"/>
            </w:pPr>
            <w:r w:rsidRPr="004638AE">
              <w:t>372</w:t>
            </w:r>
          </w:p>
        </w:tc>
      </w:tr>
      <w:tr w:rsidR="00B75756" w:rsidRPr="004638AE" w14:paraId="2536DB66" w14:textId="77777777" w:rsidTr="00C10769">
        <w:trPr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2B0B" w14:textId="77777777" w:rsidR="00B75756" w:rsidRPr="004638AE" w:rsidRDefault="00C10769" w:rsidP="008D478E">
            <w:pPr>
              <w:keepNext/>
              <w:suppressAutoHyphens/>
              <w:rPr>
                <w:szCs w:val="22"/>
                <w:lang w:val="ru-RU" w:eastAsia="en-US" w:bidi="he-IL"/>
              </w:rPr>
            </w:pPr>
            <w:r w:rsidRPr="004638AE">
              <w:rPr>
                <w:szCs w:val="22"/>
                <w:lang w:val="ru-RU" w:eastAsia="en-US" w:bidi="he-IL"/>
              </w:rPr>
              <w:t>Фармацевтическая продукция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2BA5" w14:textId="77777777" w:rsidR="00B75756" w:rsidRPr="004638AE" w:rsidRDefault="00B75756" w:rsidP="008D478E">
            <w:pPr>
              <w:ind w:right="261"/>
              <w:jc w:val="right"/>
            </w:pPr>
            <w:r w:rsidRPr="004638AE">
              <w:t>660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534C" w14:textId="77777777" w:rsidR="00B75756" w:rsidRPr="004638AE" w:rsidRDefault="00B75756" w:rsidP="008D478E">
            <w:pPr>
              <w:ind w:right="261"/>
              <w:jc w:val="right"/>
            </w:pPr>
            <w:r w:rsidRPr="004638AE">
              <w:t>355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7C46" w14:textId="77777777" w:rsidR="00B75756" w:rsidRPr="004638AE" w:rsidRDefault="00B75756" w:rsidP="008D478E">
            <w:pPr>
              <w:ind w:right="261"/>
              <w:jc w:val="right"/>
            </w:pPr>
            <w:r w:rsidRPr="004638AE">
              <w:t>562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7853" w14:textId="77777777" w:rsidR="00B75756" w:rsidRPr="004638AE" w:rsidRDefault="00B75756" w:rsidP="008D478E">
            <w:pPr>
              <w:ind w:right="261"/>
              <w:jc w:val="right"/>
            </w:pPr>
            <w:r w:rsidRPr="004638AE">
              <w:t>476</w:t>
            </w:r>
          </w:p>
        </w:tc>
      </w:tr>
      <w:tr w:rsidR="00B75756" w:rsidRPr="004638AE" w14:paraId="67A44C54" w14:textId="77777777" w:rsidTr="00C10769">
        <w:trPr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AA53" w14:textId="77777777" w:rsidR="00B75756" w:rsidRPr="004638AE" w:rsidRDefault="00C10769" w:rsidP="008D478E">
            <w:pPr>
              <w:keepNext/>
              <w:suppressAutoHyphens/>
              <w:rPr>
                <w:rFonts w:eastAsia="Times New Roman"/>
                <w:szCs w:val="22"/>
                <w:lang w:val="ru-RU" w:eastAsia="en-US" w:bidi="he-IL"/>
              </w:rPr>
            </w:pPr>
            <w:r w:rsidRPr="004638AE">
              <w:rPr>
                <w:szCs w:val="22"/>
                <w:lang w:val="ru-RU" w:eastAsia="en-US" w:bidi="he-IL"/>
              </w:rPr>
              <w:t>Промышленная химия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1CED" w14:textId="77777777" w:rsidR="00B75756" w:rsidRPr="004638AE" w:rsidRDefault="00B75756" w:rsidP="008D478E">
            <w:pPr>
              <w:ind w:right="261"/>
              <w:jc w:val="right"/>
            </w:pPr>
            <w:r w:rsidRPr="004638AE">
              <w:t>809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83B7" w14:textId="77777777" w:rsidR="00B75756" w:rsidRPr="004638AE" w:rsidRDefault="00B75756" w:rsidP="008D478E">
            <w:pPr>
              <w:ind w:right="261"/>
              <w:jc w:val="right"/>
            </w:pPr>
            <w:r w:rsidRPr="004638AE">
              <w:t>516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F898" w14:textId="77777777" w:rsidR="00B75756" w:rsidRPr="004638AE" w:rsidRDefault="00B75756" w:rsidP="008D478E">
            <w:pPr>
              <w:ind w:right="261"/>
              <w:jc w:val="right"/>
            </w:pPr>
            <w:r w:rsidRPr="004638AE">
              <w:t>644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B576" w14:textId="77777777" w:rsidR="00B75756" w:rsidRPr="004638AE" w:rsidRDefault="00B75756" w:rsidP="008D478E">
            <w:pPr>
              <w:ind w:right="261"/>
              <w:jc w:val="right"/>
            </w:pPr>
            <w:r w:rsidRPr="004638AE">
              <w:t>544</w:t>
            </w:r>
          </w:p>
        </w:tc>
      </w:tr>
      <w:tr w:rsidR="00B75756" w:rsidRPr="004638AE" w14:paraId="21A09054" w14:textId="77777777" w:rsidTr="00C10769">
        <w:trPr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11E7" w14:textId="77777777" w:rsidR="00B75756" w:rsidRPr="004638AE" w:rsidRDefault="00C10769" w:rsidP="008D478E">
            <w:pPr>
              <w:keepNext/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4638AE">
              <w:rPr>
                <w:szCs w:val="22"/>
                <w:lang w:val="ru-RU" w:eastAsia="en-US" w:bidi="he-IL"/>
              </w:rPr>
              <w:t>Биотехнология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872A" w14:textId="77777777" w:rsidR="00B75756" w:rsidRPr="004638AE" w:rsidRDefault="00B75756" w:rsidP="008D478E">
            <w:pPr>
              <w:ind w:right="261"/>
              <w:jc w:val="right"/>
            </w:pPr>
            <w:r w:rsidRPr="004638AE">
              <w:t>259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0B3B" w14:textId="77777777" w:rsidR="00B75756" w:rsidRPr="004638AE" w:rsidRDefault="00B75756" w:rsidP="008D478E">
            <w:pPr>
              <w:ind w:right="261"/>
              <w:jc w:val="right"/>
            </w:pPr>
            <w:r w:rsidRPr="004638AE">
              <w:t>645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C062" w14:textId="77777777" w:rsidR="00B75756" w:rsidRPr="004638AE" w:rsidRDefault="00B75756" w:rsidP="008D478E">
            <w:pPr>
              <w:ind w:right="261"/>
              <w:jc w:val="right"/>
            </w:pPr>
            <w:r w:rsidRPr="004638AE">
              <w:t>559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434B" w14:textId="77777777" w:rsidR="00B75756" w:rsidRPr="004638AE" w:rsidRDefault="00B75756" w:rsidP="008D478E">
            <w:pPr>
              <w:ind w:right="261"/>
              <w:jc w:val="right"/>
            </w:pPr>
            <w:r w:rsidRPr="004638AE">
              <w:t>577</w:t>
            </w:r>
          </w:p>
        </w:tc>
      </w:tr>
      <w:tr w:rsidR="00B75756" w:rsidRPr="004638AE" w14:paraId="3F68AEFB" w14:textId="77777777" w:rsidTr="00C10769">
        <w:trPr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B890" w14:textId="77777777" w:rsidR="00B75756" w:rsidRPr="004638AE" w:rsidRDefault="00C10769" w:rsidP="00C057C4">
            <w:pPr>
              <w:suppressAutoHyphens/>
              <w:rPr>
                <w:rFonts w:eastAsia="Times New Roman"/>
                <w:i/>
                <w:iCs/>
                <w:szCs w:val="22"/>
                <w:lang w:eastAsia="en-US" w:bidi="he-IL"/>
              </w:rPr>
            </w:pPr>
            <w:r w:rsidRPr="004638AE">
              <w:rPr>
                <w:i/>
                <w:iCs/>
                <w:szCs w:val="22"/>
                <w:lang w:val="ru-RU" w:eastAsia="en-US" w:bidi="he-IL"/>
              </w:rPr>
              <w:t>Всего</w:t>
            </w:r>
            <w:r w:rsidR="00B75756" w:rsidRPr="004638AE">
              <w:rPr>
                <w:rStyle w:val="FootnoteReference"/>
                <w:i/>
                <w:iCs/>
                <w:szCs w:val="22"/>
                <w:lang w:eastAsia="en-US" w:bidi="he-IL"/>
              </w:rPr>
              <w:footnoteReference w:id="3"/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422F" w14:textId="77777777" w:rsidR="00B75756" w:rsidRPr="004638AE" w:rsidRDefault="00B75756" w:rsidP="008D478E">
            <w:pPr>
              <w:ind w:right="261"/>
              <w:jc w:val="right"/>
            </w:pPr>
            <w:r w:rsidRPr="004638AE">
              <w:t>3</w:t>
            </w:r>
            <w:r w:rsidR="00C10769" w:rsidRPr="004638AE">
              <w:t xml:space="preserve"> </w:t>
            </w:r>
            <w:r w:rsidRPr="004638AE">
              <w:t>159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BEB1" w14:textId="77777777" w:rsidR="00B75756" w:rsidRPr="004638AE" w:rsidRDefault="00B75756" w:rsidP="008D478E">
            <w:pPr>
              <w:ind w:right="261"/>
              <w:jc w:val="right"/>
            </w:pPr>
            <w:r w:rsidRPr="004638AE">
              <w:t>3</w:t>
            </w:r>
            <w:r w:rsidR="00C10769" w:rsidRPr="004638AE">
              <w:t xml:space="preserve"> </w:t>
            </w:r>
            <w:r w:rsidRPr="004638AE">
              <w:t>227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804A" w14:textId="77777777" w:rsidR="00B75756" w:rsidRPr="004638AE" w:rsidRDefault="00B75756" w:rsidP="008D478E">
            <w:pPr>
              <w:ind w:right="261"/>
              <w:jc w:val="right"/>
              <w:rPr>
                <w:lang w:val="ru-RU"/>
              </w:rPr>
            </w:pPr>
            <w:r w:rsidRPr="004638AE">
              <w:t>3</w:t>
            </w:r>
            <w:r w:rsidR="00C10769" w:rsidRPr="004638AE">
              <w:t xml:space="preserve"> </w:t>
            </w:r>
            <w:r w:rsidRPr="004638AE">
              <w:t>377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779D" w14:textId="77777777" w:rsidR="00B75756" w:rsidRPr="004638AE" w:rsidRDefault="00B75756" w:rsidP="008D478E">
            <w:pPr>
              <w:ind w:right="261"/>
              <w:jc w:val="right"/>
            </w:pPr>
            <w:r w:rsidRPr="004638AE">
              <w:t>3</w:t>
            </w:r>
            <w:r w:rsidR="00C10769" w:rsidRPr="004638AE">
              <w:t xml:space="preserve"> </w:t>
            </w:r>
            <w:r w:rsidRPr="004638AE">
              <w:t>019</w:t>
            </w:r>
          </w:p>
        </w:tc>
      </w:tr>
    </w:tbl>
    <w:p w14:paraId="2E0DB138" w14:textId="77777777" w:rsidR="00B75756" w:rsidRPr="004638AE" w:rsidRDefault="00B75756" w:rsidP="00B75756">
      <w:pPr>
        <w:rPr>
          <w:b/>
          <w:bCs/>
          <w:szCs w:val="22"/>
        </w:rPr>
      </w:pPr>
    </w:p>
    <w:p w14:paraId="5E54899C" w14:textId="77777777" w:rsidR="00C10769" w:rsidRPr="004638AE" w:rsidRDefault="00C10769" w:rsidP="00C10769">
      <w:pPr>
        <w:rPr>
          <w:b/>
          <w:bCs/>
          <w:szCs w:val="22"/>
          <w:lang w:val="ru-RU"/>
        </w:rPr>
      </w:pPr>
      <w:r w:rsidRPr="004638AE">
        <w:rPr>
          <w:b/>
          <w:bCs/>
          <w:lang w:val="ru-RU"/>
        </w:rPr>
        <w:t>Количество полученных национальных заявок в разбивке по процедурам подачи</w:t>
      </w:r>
    </w:p>
    <w:p w14:paraId="6C2FFE76" w14:textId="77777777" w:rsidR="00B75756" w:rsidRPr="004638AE" w:rsidRDefault="00B75756" w:rsidP="00B75756">
      <w:pPr>
        <w:rPr>
          <w:szCs w:val="22"/>
          <w:lang w:val="ru-RU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1260"/>
        <w:gridCol w:w="1260"/>
        <w:gridCol w:w="1260"/>
        <w:gridCol w:w="1260"/>
      </w:tblGrid>
      <w:tr w:rsidR="00B75756" w:rsidRPr="004638AE" w14:paraId="3C5CB5EA" w14:textId="77777777" w:rsidTr="00C10769">
        <w:trPr>
          <w:cantSplit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841D813" w14:textId="77777777" w:rsidR="00C10769" w:rsidRPr="004638AE" w:rsidRDefault="00C10769" w:rsidP="00C10769">
            <w:pPr>
              <w:jc w:val="right"/>
              <w:rPr>
                <w:b/>
                <w:bCs/>
                <w:szCs w:val="22"/>
                <w:lang w:val="ru-RU"/>
              </w:rPr>
            </w:pPr>
          </w:p>
          <w:p w14:paraId="610B1742" w14:textId="77777777" w:rsidR="00C10769" w:rsidRPr="004638AE" w:rsidRDefault="00C10769" w:rsidP="00C10769">
            <w:pPr>
              <w:jc w:val="right"/>
              <w:rPr>
                <w:b/>
                <w:bCs/>
                <w:szCs w:val="22"/>
                <w:lang w:val="ru-RU"/>
              </w:rPr>
            </w:pPr>
            <w:r w:rsidRPr="004638AE">
              <w:rPr>
                <w:b/>
                <w:bCs/>
                <w:szCs w:val="22"/>
                <w:lang w:val="ru-RU"/>
              </w:rPr>
              <w:t>Год</w:t>
            </w:r>
          </w:p>
          <w:p w14:paraId="01882E53" w14:textId="77777777" w:rsidR="00B75756" w:rsidRPr="004638AE" w:rsidRDefault="00C10769" w:rsidP="00C10769">
            <w:pPr>
              <w:suppressAutoHyphens/>
              <w:rPr>
                <w:rFonts w:eastAsia="Times New Roman"/>
                <w:b/>
                <w:bCs/>
                <w:szCs w:val="22"/>
                <w:lang w:eastAsia="en-US" w:bidi="he-IL"/>
              </w:rPr>
            </w:pPr>
            <w:r w:rsidRPr="004638AE">
              <w:rPr>
                <w:b/>
                <w:bCs/>
                <w:szCs w:val="22"/>
                <w:lang w:val="ru-RU"/>
              </w:rPr>
              <w:t>Процедура подачи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D67B" w14:textId="77777777" w:rsidR="00B75756" w:rsidRPr="004638AE" w:rsidRDefault="00B75756" w:rsidP="00C057C4">
            <w:pPr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 w:rsidRPr="004638AE">
              <w:rPr>
                <w:szCs w:val="22"/>
                <w:lang w:eastAsia="en-US" w:bidi="he-IL"/>
              </w:rPr>
              <w:t>2013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0C98" w14:textId="77777777" w:rsidR="00B75756" w:rsidRPr="004638AE" w:rsidRDefault="00B75756" w:rsidP="00C057C4">
            <w:pPr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 w:rsidRPr="004638AE">
              <w:rPr>
                <w:szCs w:val="22"/>
                <w:lang w:eastAsia="en-US" w:bidi="he-IL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F558" w14:textId="77777777" w:rsidR="00B75756" w:rsidRPr="004638AE" w:rsidRDefault="00B75756" w:rsidP="00C057C4">
            <w:pPr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 w:rsidRPr="004638AE">
              <w:rPr>
                <w:szCs w:val="22"/>
                <w:lang w:eastAsia="en-US" w:bidi="he-IL"/>
              </w:rPr>
              <w:t>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E771" w14:textId="77777777" w:rsidR="00B75756" w:rsidRPr="004638AE" w:rsidRDefault="00B75756" w:rsidP="00C057C4">
            <w:pPr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 w:rsidRPr="004638AE">
              <w:rPr>
                <w:szCs w:val="22"/>
                <w:lang w:eastAsia="en-US" w:bidi="he-IL"/>
              </w:rPr>
              <w:t>2016</w:t>
            </w:r>
          </w:p>
        </w:tc>
      </w:tr>
      <w:tr w:rsidR="00C10769" w:rsidRPr="004638AE" w14:paraId="71F48792" w14:textId="77777777" w:rsidTr="00C10769">
        <w:trPr>
          <w:cantSplit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A002" w14:textId="77777777" w:rsidR="00C10769" w:rsidRPr="004638AE" w:rsidRDefault="00C10769" w:rsidP="00C10769">
            <w:pPr>
              <w:rPr>
                <w:szCs w:val="22"/>
                <w:lang w:val="ru-RU"/>
              </w:rPr>
            </w:pPr>
            <w:r w:rsidRPr="004638AE">
              <w:rPr>
                <w:szCs w:val="22"/>
                <w:lang w:val="ru-RU"/>
              </w:rPr>
              <w:t xml:space="preserve">Первая национальная подача/внутренний приоритет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49EF" w14:textId="77777777" w:rsidR="00C10769" w:rsidRPr="004638AE" w:rsidRDefault="00C10769" w:rsidP="00C10769">
            <w:pPr>
              <w:ind w:right="261"/>
              <w:jc w:val="right"/>
            </w:pPr>
            <w:r w:rsidRPr="004638AE">
              <w:t>418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5487" w14:textId="77777777" w:rsidR="00C10769" w:rsidRPr="004638AE" w:rsidRDefault="00C10769" w:rsidP="00C10769">
            <w:pPr>
              <w:ind w:right="261"/>
              <w:jc w:val="right"/>
            </w:pPr>
            <w:r w:rsidRPr="004638AE">
              <w:t>534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9EE1" w14:textId="77777777" w:rsidR="00C10769" w:rsidRPr="004638AE" w:rsidRDefault="00C10769" w:rsidP="00C10769">
            <w:pPr>
              <w:ind w:right="261"/>
              <w:jc w:val="right"/>
            </w:pPr>
            <w:r w:rsidRPr="004638AE">
              <w:t>510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DD6E" w14:textId="77777777" w:rsidR="00C10769" w:rsidRPr="004638AE" w:rsidRDefault="00C10769" w:rsidP="00C10769">
            <w:pPr>
              <w:ind w:right="261"/>
              <w:jc w:val="right"/>
            </w:pPr>
            <w:r w:rsidRPr="004638AE">
              <w:t>460</w:t>
            </w:r>
          </w:p>
        </w:tc>
      </w:tr>
      <w:tr w:rsidR="00C10769" w:rsidRPr="004638AE" w14:paraId="5F1D6A62" w14:textId="77777777" w:rsidTr="00C10769">
        <w:trPr>
          <w:cantSplit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D83C" w14:textId="77777777" w:rsidR="00C10769" w:rsidRPr="004638AE" w:rsidRDefault="00C10769" w:rsidP="00C10769">
            <w:pPr>
              <w:rPr>
                <w:szCs w:val="22"/>
                <w:lang w:val="ru-RU"/>
              </w:rPr>
            </w:pPr>
            <w:r w:rsidRPr="004638AE">
              <w:rPr>
                <w:szCs w:val="22"/>
                <w:lang w:val="ru-RU"/>
              </w:rPr>
              <w:t>Приоритет по Парижской конвенции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5AB9" w14:textId="77777777" w:rsidR="00C10769" w:rsidRPr="004638AE" w:rsidRDefault="00C10769" w:rsidP="00C10769">
            <w:pPr>
              <w:ind w:right="261"/>
              <w:jc w:val="right"/>
            </w:pPr>
            <w:r w:rsidRPr="004638AE">
              <w:t>241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5EBF" w14:textId="77777777" w:rsidR="00C10769" w:rsidRPr="004638AE" w:rsidRDefault="00C10769" w:rsidP="00C10769">
            <w:pPr>
              <w:ind w:right="261"/>
              <w:jc w:val="right"/>
            </w:pPr>
            <w:r w:rsidRPr="004638AE">
              <w:t>223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A2AD" w14:textId="77777777" w:rsidR="00C10769" w:rsidRPr="004638AE" w:rsidRDefault="00C10769" w:rsidP="00C10769">
            <w:pPr>
              <w:ind w:right="261"/>
              <w:jc w:val="right"/>
            </w:pPr>
            <w:r w:rsidRPr="004638AE">
              <w:t>159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7FCB" w14:textId="77777777" w:rsidR="00C10769" w:rsidRPr="004638AE" w:rsidRDefault="00C10769" w:rsidP="00C10769">
            <w:pPr>
              <w:ind w:right="261"/>
              <w:jc w:val="right"/>
            </w:pPr>
            <w:r w:rsidRPr="004638AE">
              <w:t>148</w:t>
            </w:r>
          </w:p>
        </w:tc>
      </w:tr>
      <w:tr w:rsidR="00C10769" w:rsidRPr="004638AE" w14:paraId="428C229A" w14:textId="77777777" w:rsidTr="00C10769">
        <w:trPr>
          <w:cantSplit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1110" w14:textId="77777777" w:rsidR="00C10769" w:rsidRPr="004638AE" w:rsidRDefault="00C10769" w:rsidP="00C10769">
            <w:pPr>
              <w:rPr>
                <w:szCs w:val="22"/>
                <w:lang w:val="ru-RU"/>
              </w:rPr>
            </w:pPr>
            <w:r w:rsidRPr="004638AE">
              <w:rPr>
                <w:szCs w:val="22"/>
                <w:lang w:val="ru-RU"/>
              </w:rPr>
              <w:t>Переход на национальную фазу PCT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5607" w14:textId="77777777" w:rsidR="00C10769" w:rsidRPr="004638AE" w:rsidRDefault="00C10769" w:rsidP="00C10769">
            <w:pPr>
              <w:ind w:right="261"/>
              <w:jc w:val="right"/>
            </w:pPr>
            <w:r w:rsidRPr="004638AE">
              <w:t>2 500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FB66" w14:textId="77777777" w:rsidR="00C10769" w:rsidRPr="004638AE" w:rsidRDefault="00C10769" w:rsidP="00C10769">
            <w:pPr>
              <w:ind w:right="261"/>
              <w:jc w:val="right"/>
            </w:pPr>
            <w:r w:rsidRPr="004638AE">
              <w:t>2 470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3C04" w14:textId="77777777" w:rsidR="00C10769" w:rsidRPr="004638AE" w:rsidRDefault="00C10769" w:rsidP="00C10769">
            <w:pPr>
              <w:ind w:right="261"/>
              <w:jc w:val="right"/>
            </w:pPr>
            <w:r w:rsidRPr="004638AE">
              <w:t>2</w:t>
            </w:r>
            <w:r w:rsidRPr="004638AE">
              <w:rPr>
                <w:lang w:val="ru-RU"/>
              </w:rPr>
              <w:t xml:space="preserve"> </w:t>
            </w:r>
            <w:r w:rsidRPr="004638AE">
              <w:t>708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35A0" w14:textId="77777777" w:rsidR="00C10769" w:rsidRPr="004638AE" w:rsidRDefault="00C10769" w:rsidP="00C10769">
            <w:pPr>
              <w:ind w:right="261"/>
              <w:jc w:val="right"/>
            </w:pPr>
            <w:r w:rsidRPr="004638AE">
              <w:t>2 411</w:t>
            </w:r>
          </w:p>
        </w:tc>
      </w:tr>
      <w:tr w:rsidR="00B75756" w:rsidRPr="004638AE" w14:paraId="7E03A361" w14:textId="77777777" w:rsidTr="00C10769">
        <w:trPr>
          <w:cantSplit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41F1" w14:textId="77777777" w:rsidR="00B75756" w:rsidRPr="004638AE" w:rsidRDefault="00C10769" w:rsidP="00C057C4">
            <w:pPr>
              <w:suppressAutoHyphens/>
              <w:rPr>
                <w:rFonts w:eastAsia="Times New Roman"/>
                <w:i/>
                <w:iCs/>
                <w:szCs w:val="22"/>
                <w:lang w:val="ru-RU" w:eastAsia="en-US" w:bidi="he-IL"/>
              </w:rPr>
            </w:pPr>
            <w:r w:rsidRPr="004638AE">
              <w:rPr>
                <w:i/>
                <w:iCs/>
                <w:szCs w:val="22"/>
                <w:lang w:val="ru-RU" w:eastAsia="en-US" w:bidi="he-IL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85C7" w14:textId="77777777" w:rsidR="00B75756" w:rsidRPr="004638AE" w:rsidRDefault="00B75756" w:rsidP="008D478E">
            <w:pPr>
              <w:ind w:right="261"/>
              <w:jc w:val="right"/>
            </w:pPr>
            <w:r w:rsidRPr="004638AE">
              <w:t>3</w:t>
            </w:r>
            <w:r w:rsidR="00C10769" w:rsidRPr="004638AE">
              <w:t xml:space="preserve"> </w:t>
            </w:r>
            <w:r w:rsidRPr="004638AE">
              <w:t>159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0B38" w14:textId="77777777" w:rsidR="00B75756" w:rsidRPr="004638AE" w:rsidRDefault="00B75756" w:rsidP="008D478E">
            <w:pPr>
              <w:ind w:right="261"/>
              <w:jc w:val="right"/>
            </w:pPr>
            <w:r w:rsidRPr="004638AE">
              <w:t>3</w:t>
            </w:r>
            <w:r w:rsidR="00C10769" w:rsidRPr="004638AE">
              <w:t xml:space="preserve"> </w:t>
            </w:r>
            <w:r w:rsidRPr="004638AE">
              <w:t>227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3AB6" w14:textId="77777777" w:rsidR="00B75756" w:rsidRPr="004638AE" w:rsidRDefault="00B75756" w:rsidP="008D478E">
            <w:pPr>
              <w:ind w:right="261"/>
              <w:jc w:val="right"/>
            </w:pPr>
            <w:r w:rsidRPr="004638AE">
              <w:t>3</w:t>
            </w:r>
            <w:r w:rsidR="00C10769" w:rsidRPr="004638AE">
              <w:t xml:space="preserve"> </w:t>
            </w:r>
            <w:r w:rsidRPr="004638AE">
              <w:t>377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2A03" w14:textId="77777777" w:rsidR="00B75756" w:rsidRPr="004638AE" w:rsidRDefault="00B75756" w:rsidP="008D478E">
            <w:pPr>
              <w:ind w:right="261"/>
              <w:jc w:val="right"/>
            </w:pPr>
            <w:r w:rsidRPr="004638AE">
              <w:t>3</w:t>
            </w:r>
            <w:r w:rsidR="00C10769" w:rsidRPr="004638AE">
              <w:t xml:space="preserve"> </w:t>
            </w:r>
            <w:r w:rsidRPr="004638AE">
              <w:t>019</w:t>
            </w:r>
          </w:p>
        </w:tc>
      </w:tr>
    </w:tbl>
    <w:p w14:paraId="6C9FCED3" w14:textId="77777777" w:rsidR="00B75756" w:rsidRPr="004638AE" w:rsidRDefault="00B75756" w:rsidP="00B75756">
      <w:pPr>
        <w:rPr>
          <w:b/>
          <w:bCs/>
          <w:szCs w:val="22"/>
        </w:rPr>
      </w:pPr>
    </w:p>
    <w:p w14:paraId="0E775D8E" w14:textId="37CCCCCF" w:rsidR="00B75756" w:rsidRPr="00A7117A" w:rsidRDefault="00C10769" w:rsidP="00B75756">
      <w:pPr>
        <w:rPr>
          <w:b/>
          <w:bCs/>
          <w:szCs w:val="22"/>
        </w:rPr>
      </w:pPr>
      <w:r w:rsidRPr="004638AE">
        <w:rPr>
          <w:b/>
          <w:bCs/>
          <w:lang w:val="ru-RU"/>
        </w:rPr>
        <w:t>Количество международных заявок, полученных в качестве ПВ</w:t>
      </w:r>
      <w:bookmarkStart w:id="6" w:name="_GoBack"/>
      <w:bookmarkEnd w:id="6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990"/>
        <w:gridCol w:w="1080"/>
        <w:gridCol w:w="1080"/>
        <w:gridCol w:w="1170"/>
        <w:gridCol w:w="1114"/>
      </w:tblGrid>
      <w:tr w:rsidR="00B75756" w:rsidRPr="004638AE" w14:paraId="45E782F8" w14:textId="77777777" w:rsidTr="00C1076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44CB681" w14:textId="77777777" w:rsidR="00C10769" w:rsidRPr="004638AE" w:rsidRDefault="00C10769" w:rsidP="00C10769">
            <w:pPr>
              <w:jc w:val="right"/>
              <w:rPr>
                <w:b/>
                <w:bCs/>
                <w:szCs w:val="22"/>
                <w:lang w:val="ru-RU"/>
              </w:rPr>
            </w:pPr>
          </w:p>
          <w:p w14:paraId="5E0222E4" w14:textId="77777777" w:rsidR="00C10769" w:rsidRPr="004638AE" w:rsidRDefault="00C10769" w:rsidP="00C10769">
            <w:pPr>
              <w:jc w:val="right"/>
              <w:rPr>
                <w:b/>
                <w:bCs/>
                <w:szCs w:val="22"/>
                <w:lang w:val="ru-RU"/>
              </w:rPr>
            </w:pPr>
            <w:r w:rsidRPr="004638AE">
              <w:rPr>
                <w:b/>
                <w:bCs/>
                <w:szCs w:val="22"/>
                <w:lang w:val="ru-RU"/>
              </w:rPr>
              <w:t>Год</w:t>
            </w:r>
          </w:p>
          <w:p w14:paraId="13016F3B" w14:textId="77777777" w:rsidR="00B75756" w:rsidRPr="004638AE" w:rsidRDefault="00C10769" w:rsidP="00C10769">
            <w:pPr>
              <w:suppressAutoHyphens/>
              <w:rPr>
                <w:rFonts w:eastAsia="Times New Roman"/>
                <w:b/>
                <w:bCs/>
                <w:szCs w:val="22"/>
                <w:lang w:eastAsia="en-US" w:bidi="he-IL"/>
              </w:rPr>
            </w:pPr>
            <w:r w:rsidRPr="004638AE">
              <w:rPr>
                <w:b/>
                <w:bCs/>
                <w:szCs w:val="22"/>
                <w:lang w:val="ru-RU"/>
              </w:rPr>
              <w:t>Область техники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DB36" w14:textId="77777777" w:rsidR="00B75756" w:rsidRPr="004638AE" w:rsidRDefault="00B75756" w:rsidP="00C057C4">
            <w:pPr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 w:rsidRPr="004638AE">
              <w:rPr>
                <w:szCs w:val="22"/>
                <w:lang w:eastAsia="en-US" w:bidi="he-IL"/>
              </w:rPr>
              <w:t>2012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89F8" w14:textId="77777777" w:rsidR="00B75756" w:rsidRPr="004638AE" w:rsidRDefault="00B75756" w:rsidP="00C057C4">
            <w:pPr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 w:rsidRPr="004638AE">
              <w:rPr>
                <w:szCs w:val="22"/>
                <w:lang w:eastAsia="en-US" w:bidi="he-IL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E9C1" w14:textId="77777777" w:rsidR="00B75756" w:rsidRPr="004638AE" w:rsidRDefault="00B75756" w:rsidP="00C057C4">
            <w:pPr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 w:rsidRPr="004638AE">
              <w:rPr>
                <w:szCs w:val="22"/>
                <w:lang w:eastAsia="en-US" w:bidi="he-IL"/>
              </w:rPr>
              <w:t>2014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51EE" w14:textId="77777777" w:rsidR="00B75756" w:rsidRPr="004638AE" w:rsidRDefault="00B75756" w:rsidP="00C057C4">
            <w:pPr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 w:rsidRPr="004638AE">
              <w:rPr>
                <w:szCs w:val="22"/>
                <w:lang w:eastAsia="en-US" w:bidi="he-IL"/>
              </w:rPr>
              <w:t>2015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CF82" w14:textId="77777777" w:rsidR="00B75756" w:rsidRPr="004638AE" w:rsidRDefault="00B75756" w:rsidP="00C057C4">
            <w:pPr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 w:rsidRPr="004638AE">
              <w:rPr>
                <w:szCs w:val="22"/>
                <w:lang w:eastAsia="en-US" w:bidi="he-IL"/>
              </w:rPr>
              <w:t>2016</w:t>
            </w:r>
          </w:p>
        </w:tc>
      </w:tr>
      <w:tr w:rsidR="00C10769" w:rsidRPr="004638AE" w14:paraId="5A41A707" w14:textId="77777777" w:rsidTr="00C1076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4EA4" w14:textId="77777777" w:rsidR="00C10769" w:rsidRPr="004638AE" w:rsidRDefault="00C10769" w:rsidP="00C10769">
            <w:pPr>
              <w:rPr>
                <w:lang w:val="ru-RU"/>
              </w:rPr>
            </w:pPr>
            <w:r w:rsidRPr="004638AE">
              <w:rPr>
                <w:szCs w:val="22"/>
                <w:lang w:val="ru-RU"/>
              </w:rPr>
              <w:t>Механика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CEA8" w14:textId="77777777" w:rsidR="00C10769" w:rsidRPr="004638AE" w:rsidRDefault="00C10769" w:rsidP="00C10769">
            <w:pPr>
              <w:ind w:right="260"/>
              <w:jc w:val="right"/>
            </w:pPr>
            <w:r w:rsidRPr="004638AE"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DE25" w14:textId="77777777" w:rsidR="00C10769" w:rsidRPr="004638AE" w:rsidRDefault="00C10769" w:rsidP="00C10769">
            <w:pPr>
              <w:ind w:right="260"/>
              <w:jc w:val="right"/>
            </w:pPr>
            <w:r w:rsidRPr="004638AE">
              <w:t>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067C" w14:textId="77777777" w:rsidR="00C10769" w:rsidRPr="004638AE" w:rsidRDefault="00C10769" w:rsidP="00C10769">
            <w:pPr>
              <w:ind w:right="260"/>
              <w:jc w:val="right"/>
            </w:pPr>
            <w:r w:rsidRPr="004638AE">
              <w:t>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A31B" w14:textId="77777777" w:rsidR="00C10769" w:rsidRPr="004638AE" w:rsidRDefault="00C10769" w:rsidP="00C10769">
            <w:pPr>
              <w:ind w:right="260"/>
              <w:jc w:val="right"/>
            </w:pPr>
            <w:r w:rsidRPr="004638AE">
              <w:t>57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1768" w14:textId="77777777" w:rsidR="00C10769" w:rsidRPr="004638AE" w:rsidRDefault="00C10769" w:rsidP="00C10769">
            <w:pPr>
              <w:ind w:right="260"/>
              <w:jc w:val="right"/>
            </w:pPr>
            <w:r w:rsidRPr="004638AE">
              <w:t>81</w:t>
            </w:r>
          </w:p>
        </w:tc>
      </w:tr>
      <w:tr w:rsidR="00C10769" w:rsidRPr="004638AE" w14:paraId="12935341" w14:textId="77777777" w:rsidTr="00C1076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A4DE" w14:textId="77777777" w:rsidR="00C10769" w:rsidRPr="004638AE" w:rsidRDefault="00C10769" w:rsidP="00C10769">
            <w:pPr>
              <w:rPr>
                <w:szCs w:val="22"/>
                <w:lang w:val="ru-RU"/>
              </w:rPr>
            </w:pPr>
            <w:r w:rsidRPr="004638AE">
              <w:rPr>
                <w:szCs w:val="22"/>
                <w:lang w:val="ru-RU"/>
              </w:rPr>
              <w:t>Электричество/электроника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8CA5" w14:textId="77777777" w:rsidR="00C10769" w:rsidRPr="004638AE" w:rsidRDefault="00C10769" w:rsidP="00C10769">
            <w:pPr>
              <w:ind w:right="260"/>
              <w:jc w:val="right"/>
            </w:pPr>
            <w:r w:rsidRPr="004638AE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9864" w14:textId="77777777" w:rsidR="00C10769" w:rsidRPr="004638AE" w:rsidRDefault="00C10769" w:rsidP="00C10769">
            <w:pPr>
              <w:ind w:right="260"/>
              <w:jc w:val="right"/>
            </w:pPr>
            <w:r w:rsidRPr="004638AE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1750" w14:textId="77777777" w:rsidR="00C10769" w:rsidRPr="004638AE" w:rsidRDefault="00C10769" w:rsidP="00C10769">
            <w:pPr>
              <w:ind w:right="260"/>
              <w:jc w:val="right"/>
            </w:pPr>
            <w:r w:rsidRPr="004638AE"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0983" w14:textId="77777777" w:rsidR="00C10769" w:rsidRPr="004638AE" w:rsidRDefault="00C10769" w:rsidP="00C10769">
            <w:pPr>
              <w:ind w:right="260"/>
              <w:jc w:val="right"/>
            </w:pPr>
            <w:r w:rsidRPr="004638AE">
              <w:t>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E24B" w14:textId="77777777" w:rsidR="00C10769" w:rsidRPr="004638AE" w:rsidRDefault="00C10769" w:rsidP="00C10769">
            <w:pPr>
              <w:ind w:right="260"/>
              <w:jc w:val="right"/>
            </w:pPr>
            <w:r w:rsidRPr="004638AE">
              <w:t>23</w:t>
            </w:r>
          </w:p>
        </w:tc>
      </w:tr>
      <w:tr w:rsidR="00B75756" w:rsidRPr="004638AE" w14:paraId="0C29C34E" w14:textId="77777777" w:rsidTr="00C1076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AFC4" w14:textId="77777777" w:rsidR="00B75756" w:rsidRPr="004638AE" w:rsidRDefault="00C10769" w:rsidP="00C057C4">
            <w:pPr>
              <w:suppressAutoHyphens/>
              <w:rPr>
                <w:szCs w:val="22"/>
                <w:lang w:val="ru-RU" w:eastAsia="en-US" w:bidi="he-IL"/>
              </w:rPr>
            </w:pPr>
            <w:r w:rsidRPr="004638AE">
              <w:rPr>
                <w:szCs w:val="22"/>
                <w:lang w:val="ru-RU" w:eastAsia="en-US" w:bidi="he-IL"/>
              </w:rPr>
              <w:t>Фармацевтическая продукция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D32A" w14:textId="77777777" w:rsidR="00B75756" w:rsidRPr="004638AE" w:rsidRDefault="00B75756" w:rsidP="008D478E">
            <w:pPr>
              <w:ind w:right="260"/>
              <w:jc w:val="right"/>
            </w:pPr>
            <w:r w:rsidRPr="004638AE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A761" w14:textId="77777777" w:rsidR="00B75756" w:rsidRPr="004638AE" w:rsidRDefault="00B75756" w:rsidP="008D478E">
            <w:pPr>
              <w:ind w:right="260"/>
              <w:jc w:val="right"/>
            </w:pPr>
            <w:r w:rsidRPr="004638AE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2C20" w14:textId="77777777" w:rsidR="00B75756" w:rsidRPr="004638AE" w:rsidRDefault="00B75756" w:rsidP="008D478E">
            <w:pPr>
              <w:ind w:right="260"/>
              <w:jc w:val="right"/>
            </w:pPr>
            <w:r w:rsidRPr="004638AE"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9315" w14:textId="77777777" w:rsidR="00B75756" w:rsidRPr="004638AE" w:rsidRDefault="00B75756" w:rsidP="008D478E">
            <w:pPr>
              <w:ind w:right="260"/>
              <w:jc w:val="right"/>
            </w:pPr>
            <w:r w:rsidRPr="004638AE"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3CBC" w14:textId="77777777" w:rsidR="00B75756" w:rsidRPr="004638AE" w:rsidRDefault="00B75756" w:rsidP="008D478E">
            <w:pPr>
              <w:ind w:right="260"/>
              <w:jc w:val="right"/>
            </w:pPr>
            <w:r w:rsidRPr="004638AE">
              <w:t>7</w:t>
            </w:r>
          </w:p>
        </w:tc>
      </w:tr>
      <w:tr w:rsidR="00B75756" w:rsidRPr="004638AE" w14:paraId="663018E8" w14:textId="77777777" w:rsidTr="00C1076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33FE" w14:textId="77777777" w:rsidR="00B75756" w:rsidRPr="004638AE" w:rsidRDefault="00C10769" w:rsidP="00C057C4">
            <w:pPr>
              <w:suppressAutoHyphens/>
              <w:rPr>
                <w:rFonts w:eastAsia="Times New Roman"/>
                <w:szCs w:val="22"/>
                <w:lang w:val="ru-RU" w:eastAsia="en-US" w:bidi="he-IL"/>
              </w:rPr>
            </w:pPr>
            <w:r w:rsidRPr="004638AE">
              <w:rPr>
                <w:szCs w:val="22"/>
                <w:lang w:val="ru-RU" w:eastAsia="en-US" w:bidi="he-IL"/>
              </w:rPr>
              <w:t>Химия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7B00" w14:textId="77777777" w:rsidR="00B75756" w:rsidRPr="004638AE" w:rsidRDefault="00B75756" w:rsidP="008D478E">
            <w:pPr>
              <w:ind w:right="260"/>
              <w:jc w:val="right"/>
            </w:pPr>
            <w:r w:rsidRPr="004638AE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A624" w14:textId="77777777" w:rsidR="00B75756" w:rsidRPr="004638AE" w:rsidRDefault="00B75756" w:rsidP="008D478E">
            <w:pPr>
              <w:ind w:right="260"/>
              <w:jc w:val="right"/>
            </w:pPr>
            <w:r w:rsidRPr="004638AE"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5F5C" w14:textId="77777777" w:rsidR="00B75756" w:rsidRPr="004638AE" w:rsidRDefault="00B75756" w:rsidP="008D478E">
            <w:pPr>
              <w:ind w:right="260"/>
              <w:jc w:val="right"/>
            </w:pPr>
            <w:r w:rsidRPr="004638AE">
              <w:t>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33AD" w14:textId="77777777" w:rsidR="00B75756" w:rsidRPr="004638AE" w:rsidRDefault="00B75756" w:rsidP="008D478E">
            <w:pPr>
              <w:ind w:right="260"/>
              <w:jc w:val="right"/>
            </w:pPr>
            <w:r w:rsidRPr="004638AE">
              <w:t>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32DE" w14:textId="77777777" w:rsidR="00B75756" w:rsidRPr="004638AE" w:rsidRDefault="00B75756" w:rsidP="008D478E">
            <w:pPr>
              <w:ind w:right="260"/>
              <w:jc w:val="right"/>
            </w:pPr>
            <w:r w:rsidRPr="004638AE">
              <w:t>22</w:t>
            </w:r>
          </w:p>
        </w:tc>
      </w:tr>
      <w:tr w:rsidR="00B75756" w:rsidRPr="004638AE" w14:paraId="35E2C47D" w14:textId="77777777" w:rsidTr="00C1076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6734" w14:textId="77777777" w:rsidR="00B75756" w:rsidRPr="004638AE" w:rsidRDefault="00C10769" w:rsidP="00C057C4">
            <w:pPr>
              <w:suppressAutoHyphens/>
              <w:rPr>
                <w:rFonts w:eastAsia="Times New Roman"/>
                <w:szCs w:val="22"/>
                <w:lang w:val="ru-RU" w:eastAsia="en-US" w:bidi="he-IL"/>
              </w:rPr>
            </w:pPr>
            <w:r w:rsidRPr="004638AE">
              <w:rPr>
                <w:szCs w:val="22"/>
                <w:lang w:val="ru-RU" w:eastAsia="en-US" w:bidi="he-IL"/>
              </w:rPr>
              <w:t>Биотехнология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1773" w14:textId="77777777" w:rsidR="00B75756" w:rsidRPr="004638AE" w:rsidRDefault="00B75756" w:rsidP="008D478E">
            <w:pPr>
              <w:ind w:right="260"/>
              <w:jc w:val="right"/>
            </w:pPr>
            <w:r w:rsidRPr="004638AE"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5D48" w14:textId="77777777" w:rsidR="00B75756" w:rsidRPr="004638AE" w:rsidRDefault="00B75756" w:rsidP="008D478E">
            <w:pPr>
              <w:ind w:right="260"/>
              <w:jc w:val="right"/>
            </w:pPr>
            <w:r w:rsidRPr="004638AE"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9071" w14:textId="77777777" w:rsidR="00B75756" w:rsidRPr="004638AE" w:rsidRDefault="00B75756" w:rsidP="008D478E">
            <w:pPr>
              <w:ind w:right="260"/>
              <w:jc w:val="right"/>
            </w:pPr>
            <w:r w:rsidRPr="004638AE"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E723" w14:textId="77777777" w:rsidR="00B75756" w:rsidRPr="004638AE" w:rsidRDefault="00B75756" w:rsidP="008D478E">
            <w:pPr>
              <w:ind w:right="260"/>
              <w:jc w:val="right"/>
            </w:pPr>
            <w:r w:rsidRPr="004638AE">
              <w:t>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0A5F" w14:textId="77777777" w:rsidR="00B75756" w:rsidRPr="004638AE" w:rsidRDefault="00B75756" w:rsidP="008D478E">
            <w:pPr>
              <w:ind w:right="260"/>
              <w:jc w:val="right"/>
            </w:pPr>
            <w:r w:rsidRPr="004638AE">
              <w:t>30</w:t>
            </w:r>
          </w:p>
        </w:tc>
      </w:tr>
      <w:tr w:rsidR="00B75756" w:rsidRPr="004638AE" w14:paraId="53588055" w14:textId="77777777" w:rsidTr="00C1076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D16A" w14:textId="77777777" w:rsidR="00B75756" w:rsidRPr="004638AE" w:rsidRDefault="00C10769" w:rsidP="00C057C4">
            <w:pPr>
              <w:suppressAutoHyphens/>
              <w:rPr>
                <w:rFonts w:eastAsia="Times New Roman"/>
                <w:i/>
                <w:iCs/>
                <w:szCs w:val="22"/>
                <w:lang w:eastAsia="en-US" w:bidi="he-IL"/>
              </w:rPr>
            </w:pPr>
            <w:proofErr w:type="spellStart"/>
            <w:r w:rsidRPr="004638AE">
              <w:rPr>
                <w:i/>
                <w:iCs/>
                <w:szCs w:val="22"/>
                <w:lang w:eastAsia="en-US" w:bidi="he-IL"/>
              </w:rPr>
              <w:t>Всего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BFD4" w14:textId="77777777" w:rsidR="00B75756" w:rsidRPr="004638AE" w:rsidRDefault="00B75756" w:rsidP="008D478E">
            <w:pPr>
              <w:ind w:right="260"/>
              <w:jc w:val="right"/>
            </w:pPr>
            <w:r w:rsidRPr="004638AE">
              <w:t>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E635" w14:textId="77777777" w:rsidR="00B75756" w:rsidRPr="004638AE" w:rsidRDefault="00B75756" w:rsidP="008D478E">
            <w:pPr>
              <w:ind w:right="260"/>
              <w:jc w:val="right"/>
            </w:pPr>
            <w:r w:rsidRPr="004638AE">
              <w:t>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4FF4" w14:textId="77777777" w:rsidR="00B75756" w:rsidRPr="004638AE" w:rsidRDefault="00B75756" w:rsidP="008D478E">
            <w:pPr>
              <w:ind w:right="260"/>
              <w:jc w:val="right"/>
            </w:pPr>
            <w:r w:rsidRPr="004638AE">
              <w:t>90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F2B" w14:textId="77777777" w:rsidR="00B75756" w:rsidRPr="004638AE" w:rsidRDefault="00B75756" w:rsidP="008D478E">
            <w:pPr>
              <w:ind w:right="260"/>
              <w:jc w:val="right"/>
            </w:pPr>
            <w:r w:rsidRPr="004638AE">
              <w:t>136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C20F" w14:textId="77777777" w:rsidR="00B75756" w:rsidRPr="004638AE" w:rsidRDefault="00B75756" w:rsidP="008D478E">
            <w:pPr>
              <w:ind w:right="260"/>
              <w:jc w:val="right"/>
            </w:pPr>
            <w:r w:rsidRPr="004638AE">
              <w:t>163</w:t>
            </w:r>
          </w:p>
        </w:tc>
      </w:tr>
    </w:tbl>
    <w:p w14:paraId="05401047" w14:textId="77777777" w:rsidR="00B75756" w:rsidRPr="004638AE" w:rsidRDefault="00B75756" w:rsidP="00B75756">
      <w:pPr>
        <w:rPr>
          <w:b/>
          <w:bCs/>
          <w:szCs w:val="22"/>
        </w:rPr>
      </w:pPr>
    </w:p>
    <w:p w14:paraId="05BD2DA4" w14:textId="77777777" w:rsidR="00C10769" w:rsidRPr="004638AE" w:rsidRDefault="00C10769" w:rsidP="00C10769">
      <w:pPr>
        <w:keepNext/>
        <w:keepLines/>
        <w:rPr>
          <w:b/>
          <w:bCs/>
          <w:szCs w:val="22"/>
          <w:lang w:val="ru-RU"/>
        </w:rPr>
      </w:pPr>
      <w:r w:rsidRPr="004638AE">
        <w:rPr>
          <w:b/>
          <w:bCs/>
          <w:lang w:val="ru-RU"/>
        </w:rPr>
        <w:t>Средний срок обработки национальной патентной заявки</w:t>
      </w:r>
    </w:p>
    <w:p w14:paraId="458CA8BF" w14:textId="77777777" w:rsidR="00B75756" w:rsidRPr="004638AE" w:rsidRDefault="00B75756" w:rsidP="00C10769">
      <w:pPr>
        <w:keepNext/>
        <w:keepLines/>
        <w:rPr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402"/>
        <w:gridCol w:w="3118"/>
      </w:tblGrid>
      <w:tr w:rsidR="00C10769" w:rsidRPr="004638AE" w14:paraId="562A32EE" w14:textId="77777777" w:rsidTr="00C057C4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7BC2" w14:textId="77777777" w:rsidR="00C10769" w:rsidRPr="004638AE" w:rsidRDefault="00C10769" w:rsidP="00C10769">
            <w:pPr>
              <w:rPr>
                <w:b/>
                <w:bCs/>
                <w:szCs w:val="22"/>
                <w:lang w:val="ru-RU"/>
              </w:rPr>
            </w:pPr>
            <w:r w:rsidRPr="004638AE">
              <w:rPr>
                <w:b/>
                <w:bCs/>
                <w:szCs w:val="22"/>
                <w:lang w:val="ru-RU"/>
              </w:rPr>
              <w:t>Показатель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892E" w14:textId="77777777" w:rsidR="00C10769" w:rsidRPr="004638AE" w:rsidRDefault="00C10769" w:rsidP="00C10769">
            <w:pPr>
              <w:rPr>
                <w:b/>
                <w:bCs/>
                <w:szCs w:val="22"/>
                <w:lang w:val="ru-RU"/>
              </w:rPr>
            </w:pPr>
            <w:r w:rsidRPr="004638AE">
              <w:rPr>
                <w:b/>
                <w:bCs/>
                <w:szCs w:val="22"/>
                <w:lang w:val="ru-RU"/>
              </w:rPr>
              <w:t>С какого момента отсчитывается срок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A366" w14:textId="77777777" w:rsidR="00C10769" w:rsidRPr="004638AE" w:rsidRDefault="00C10769" w:rsidP="00C10769">
            <w:pPr>
              <w:rPr>
                <w:b/>
                <w:bCs/>
                <w:szCs w:val="22"/>
                <w:lang w:val="ru-RU"/>
              </w:rPr>
            </w:pPr>
            <w:r w:rsidRPr="004638AE">
              <w:rPr>
                <w:b/>
                <w:bCs/>
                <w:szCs w:val="22"/>
                <w:lang w:val="ru-RU"/>
              </w:rPr>
              <w:t>Время (количество месяцев)</w:t>
            </w:r>
          </w:p>
        </w:tc>
      </w:tr>
      <w:tr w:rsidR="00097F4F" w:rsidRPr="004638AE" w14:paraId="337D5DC7" w14:textId="77777777" w:rsidTr="00C057C4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BB1D" w14:textId="77777777" w:rsidR="00097F4F" w:rsidRPr="004638AE" w:rsidRDefault="00097F4F" w:rsidP="00097F4F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  <w:lang w:val="ru-RU" w:eastAsia="en-US" w:bidi="he-IL"/>
              </w:rPr>
            </w:pPr>
            <w:r w:rsidRPr="004638AE">
              <w:rPr>
                <w:szCs w:val="22"/>
                <w:lang w:val="ru-RU"/>
              </w:rPr>
              <w:t>Начало поиска</w:t>
            </w:r>
            <w:r w:rsidRPr="004638AE">
              <w:rPr>
                <w:szCs w:val="22"/>
                <w:lang w:val="ru-RU" w:eastAsia="en-US" w:bidi="he-IL"/>
              </w:rPr>
              <w:t xml:space="preserve"> и экспертизы</w:t>
            </w:r>
            <w:r w:rsidRPr="004638AE">
              <w:rPr>
                <w:rStyle w:val="FootnoteReference"/>
                <w:szCs w:val="22"/>
                <w:lang w:eastAsia="en-US" w:bidi="he-IL"/>
              </w:rPr>
              <w:footnoteReference w:id="4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1B87" w14:textId="77777777" w:rsidR="00097F4F" w:rsidRPr="004638AE" w:rsidRDefault="00097F4F" w:rsidP="00097F4F">
            <w:pPr>
              <w:jc w:val="center"/>
              <w:rPr>
                <w:lang w:val="ru-RU"/>
              </w:rPr>
            </w:pPr>
            <w:r w:rsidRPr="004638AE">
              <w:rPr>
                <w:lang w:val="ru-RU"/>
              </w:rPr>
              <w:t>Дата подачи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FBA3" w14:textId="77777777" w:rsidR="00097F4F" w:rsidRPr="004638AE" w:rsidRDefault="00097F4F" w:rsidP="00097F4F">
            <w:pPr>
              <w:keepNext/>
              <w:jc w:val="center"/>
            </w:pPr>
            <w:r w:rsidRPr="004638AE">
              <w:t>24</w:t>
            </w:r>
          </w:p>
        </w:tc>
      </w:tr>
      <w:tr w:rsidR="00097F4F" w:rsidRPr="004638AE" w14:paraId="59739E71" w14:textId="77777777" w:rsidTr="00C057C4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72A8" w14:textId="77777777" w:rsidR="00097F4F" w:rsidRPr="004638AE" w:rsidRDefault="00097F4F" w:rsidP="00097F4F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 w:rsidRPr="004638AE">
              <w:rPr>
                <w:szCs w:val="22"/>
                <w:lang w:val="ru-RU" w:eastAsia="en-US" w:bidi="he-IL"/>
              </w:rPr>
              <w:t>Выдача патента</w:t>
            </w:r>
            <w:r w:rsidRPr="004638AE">
              <w:rPr>
                <w:rStyle w:val="FootnoteReference"/>
                <w:szCs w:val="22"/>
                <w:lang w:eastAsia="en-US" w:bidi="he-IL"/>
              </w:rPr>
              <w:footnoteReference w:id="5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8F4B" w14:textId="77777777" w:rsidR="00097F4F" w:rsidRPr="004638AE" w:rsidRDefault="00097F4F" w:rsidP="00097F4F">
            <w:pPr>
              <w:jc w:val="center"/>
              <w:rPr>
                <w:lang w:val="ru-RU"/>
              </w:rPr>
            </w:pPr>
            <w:r w:rsidRPr="004638AE">
              <w:rPr>
                <w:lang w:val="ru-RU"/>
              </w:rPr>
              <w:t>Дата подачи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F841" w14:textId="77777777" w:rsidR="00097F4F" w:rsidRPr="004638AE" w:rsidRDefault="00097F4F" w:rsidP="00097F4F">
            <w:pPr>
              <w:keepNext/>
              <w:jc w:val="center"/>
            </w:pPr>
            <w:r w:rsidRPr="004638AE">
              <w:t>48</w:t>
            </w:r>
          </w:p>
        </w:tc>
      </w:tr>
    </w:tbl>
    <w:p w14:paraId="4392442B" w14:textId="77777777" w:rsidR="00B75756" w:rsidRPr="004638AE" w:rsidRDefault="00B75756" w:rsidP="00A70B16">
      <w:pPr>
        <w:keepLines/>
        <w:jc w:val="both"/>
        <w:rPr>
          <w:szCs w:val="22"/>
        </w:rPr>
      </w:pPr>
    </w:p>
    <w:p w14:paraId="5D4E0DC5" w14:textId="77777777" w:rsidR="00B75756" w:rsidRPr="004638AE" w:rsidRDefault="00097F4F" w:rsidP="00A70B16">
      <w:pPr>
        <w:keepNext/>
        <w:keepLines/>
        <w:rPr>
          <w:b/>
          <w:bCs/>
          <w:szCs w:val="22"/>
          <w:lang w:val="ru-RU"/>
        </w:rPr>
      </w:pPr>
      <w:r w:rsidRPr="004638AE">
        <w:rPr>
          <w:b/>
          <w:bCs/>
          <w:szCs w:val="22"/>
          <w:lang w:val="ru-RU"/>
        </w:rPr>
        <w:t>Национальные заявки в работе</w:t>
      </w:r>
    </w:p>
    <w:p w14:paraId="16732AD7" w14:textId="77777777" w:rsidR="00097F4F" w:rsidRPr="004638AE" w:rsidRDefault="00097F4F" w:rsidP="00A70B16">
      <w:pPr>
        <w:keepNext/>
        <w:keepLines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3403"/>
      </w:tblGrid>
      <w:tr w:rsidR="00097F4F" w:rsidRPr="004638AE" w14:paraId="5A8B0783" w14:textId="77777777" w:rsidTr="00C057C4">
        <w:trPr>
          <w:cantSplit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3FA3" w14:textId="77777777" w:rsidR="00097F4F" w:rsidRPr="004638AE" w:rsidRDefault="00097F4F" w:rsidP="00097F4F">
            <w:pPr>
              <w:keepNext/>
              <w:keepLines/>
              <w:rPr>
                <w:b/>
                <w:bCs/>
                <w:szCs w:val="22"/>
                <w:lang w:val="ru-RU"/>
              </w:rPr>
            </w:pPr>
            <w:r w:rsidRPr="004638AE">
              <w:rPr>
                <w:b/>
                <w:bCs/>
                <w:szCs w:val="22"/>
                <w:lang w:val="ru-RU"/>
              </w:rPr>
              <w:t>Показатель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3FA3" w14:textId="77777777" w:rsidR="00097F4F" w:rsidRPr="004638AE" w:rsidRDefault="00097F4F" w:rsidP="00097F4F">
            <w:pPr>
              <w:keepNext/>
              <w:keepLines/>
              <w:rPr>
                <w:b/>
                <w:bCs/>
                <w:szCs w:val="22"/>
                <w:lang w:val="ru-RU"/>
              </w:rPr>
            </w:pPr>
            <w:r w:rsidRPr="004638AE">
              <w:rPr>
                <w:b/>
                <w:bCs/>
                <w:szCs w:val="22"/>
                <w:lang w:val="ru-RU"/>
              </w:rPr>
              <w:t>Количество заявок</w:t>
            </w:r>
          </w:p>
        </w:tc>
      </w:tr>
      <w:tr w:rsidR="00097F4F" w:rsidRPr="004638AE" w14:paraId="34DD9066" w14:textId="77777777" w:rsidTr="00C057C4">
        <w:trPr>
          <w:cantSplit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0861" w14:textId="77777777" w:rsidR="00097F4F" w:rsidRPr="004638AE" w:rsidRDefault="00097F4F" w:rsidP="00097F4F">
            <w:pPr>
              <w:keepNext/>
              <w:keepLines/>
              <w:rPr>
                <w:szCs w:val="22"/>
                <w:lang w:val="ru-RU"/>
              </w:rPr>
            </w:pPr>
            <w:r w:rsidRPr="004638AE">
              <w:rPr>
                <w:szCs w:val="22"/>
                <w:lang w:val="ru-RU"/>
              </w:rPr>
              <w:t>Общее число заявок в работе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3845" w14:textId="77777777" w:rsidR="00097F4F" w:rsidRPr="004638AE" w:rsidRDefault="00097F4F" w:rsidP="00097F4F">
            <w:pPr>
              <w:ind w:right="1309"/>
              <w:jc w:val="right"/>
            </w:pPr>
            <w:r w:rsidRPr="004638AE">
              <w:t>13 565</w:t>
            </w:r>
          </w:p>
        </w:tc>
      </w:tr>
      <w:tr w:rsidR="00B75756" w:rsidRPr="004638AE" w14:paraId="727D7C68" w14:textId="77777777" w:rsidTr="00C057C4">
        <w:trPr>
          <w:cantSplit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7106" w14:textId="77777777" w:rsidR="00B75756" w:rsidRPr="004638AE" w:rsidRDefault="00097F4F" w:rsidP="00C057C4">
            <w:pPr>
              <w:keepNext/>
              <w:keepLines/>
              <w:suppressAutoHyphens/>
              <w:rPr>
                <w:szCs w:val="22"/>
                <w:lang w:val="ru-RU" w:eastAsia="en-US" w:bidi="he-IL"/>
              </w:rPr>
            </w:pPr>
            <w:r w:rsidRPr="004638AE">
              <w:rPr>
                <w:szCs w:val="22"/>
                <w:lang w:val="ru-RU" w:eastAsia="en-US" w:bidi="he-IL"/>
              </w:rPr>
              <w:t xml:space="preserve">Заявки, ожидающие поиска и </w:t>
            </w:r>
            <w:r w:rsidRPr="004638AE">
              <w:rPr>
                <w:szCs w:val="22"/>
                <w:lang w:val="ru-RU"/>
              </w:rPr>
              <w:t>первой экспертизы (в случаях, когда уплачена соответствующая пошлина)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B019" w14:textId="77777777" w:rsidR="00B75756" w:rsidRPr="004638AE" w:rsidRDefault="00B75756" w:rsidP="00A70B16">
            <w:pPr>
              <w:ind w:right="1309"/>
              <w:jc w:val="right"/>
            </w:pPr>
            <w:r w:rsidRPr="004638AE">
              <w:t>1</w:t>
            </w:r>
            <w:r w:rsidR="00097F4F" w:rsidRPr="004638AE">
              <w:t xml:space="preserve"> </w:t>
            </w:r>
            <w:r w:rsidRPr="004638AE">
              <w:t>171</w:t>
            </w:r>
          </w:p>
        </w:tc>
      </w:tr>
    </w:tbl>
    <w:p w14:paraId="531A8D01" w14:textId="77777777" w:rsidR="00B75756" w:rsidRPr="004638AE" w:rsidRDefault="00B75756" w:rsidP="00B75756">
      <w:pPr>
        <w:rPr>
          <w:rFonts w:eastAsia="Times New Roman"/>
          <w:szCs w:val="24"/>
        </w:rPr>
      </w:pPr>
    </w:p>
    <w:p w14:paraId="2BC75663" w14:textId="77777777" w:rsidR="004E5B37" w:rsidRPr="004638AE" w:rsidRDefault="004E5B37" w:rsidP="004E5B37">
      <w:pPr>
        <w:rPr>
          <w:lang w:val="ru-RU"/>
        </w:rPr>
      </w:pPr>
      <w:r w:rsidRPr="004638AE">
        <w:rPr>
          <w:lang w:val="ru-RU"/>
        </w:rPr>
        <w:t xml:space="preserve">Важно отметить, что за последние годы общее число заявок в работе неуклонно сокращается, даже несмотря на то, что </w:t>
      </w:r>
      <w:r w:rsidRPr="004638AE">
        <w:t>INAPI</w:t>
      </w:r>
      <w:r w:rsidRPr="004638AE">
        <w:rPr>
          <w:lang w:val="ru-RU"/>
        </w:rPr>
        <w:t xml:space="preserve"> начал действовать в качестве Международного органа.  Это свидетельствует о существенном повышении эффективности и качества нашей работы.  На сегодняшний день количество заявок, по которым принято решение (удовлетворены или отклонены) превышает число поданных заявок, благодаря чему количество заявок в работе сократилось. </w:t>
      </w:r>
    </w:p>
    <w:p w14:paraId="6957D637" w14:textId="253E9DE5" w:rsidR="00097F4F" w:rsidRPr="004638AE" w:rsidRDefault="00097F4F" w:rsidP="00D0438A">
      <w:pPr>
        <w:pStyle w:val="SectionHeading"/>
        <w:tabs>
          <w:tab w:val="center" w:pos="4677"/>
        </w:tabs>
        <w:rPr>
          <w:lang w:val="ru-RU"/>
        </w:rPr>
      </w:pPr>
      <w:r w:rsidRPr="004638AE">
        <w:rPr>
          <w:lang w:val="ru-RU"/>
        </w:rPr>
        <w:t>7</w:t>
      </w:r>
      <w:r w:rsidRPr="004638AE">
        <w:t> </w:t>
      </w:r>
      <w:r w:rsidRPr="004638AE">
        <w:rPr>
          <w:lang w:val="ru-RU"/>
        </w:rPr>
        <w:t>– ТРЕБУЕМАЯ ПОДДЕРЖКА</w:t>
      </w:r>
      <w:r w:rsidR="00D0438A" w:rsidRPr="004638AE">
        <w:rPr>
          <w:lang w:val="ru-RU"/>
        </w:rPr>
        <w:tab/>
      </w:r>
    </w:p>
    <w:p w14:paraId="5FDC5784" w14:textId="2111AA6C" w:rsidR="004E5B37" w:rsidRPr="004638AE" w:rsidRDefault="004E5B37" w:rsidP="004E5B37">
      <w:pPr>
        <w:rPr>
          <w:lang w:val="ru-RU"/>
        </w:rPr>
      </w:pPr>
      <w:proofErr w:type="gramStart"/>
      <w:r w:rsidRPr="004638AE">
        <w:t>INAPI</w:t>
      </w:r>
      <w:r w:rsidRPr="004638AE">
        <w:rPr>
          <w:lang w:val="ru-RU"/>
        </w:rPr>
        <w:t xml:space="preserve"> является самодостаточным ведомством, которое, хотя и не нуждается в какой-то особой поддержке для эффективного функционирования в качестве МПО/ОМПЭ и оказания услуг высокого качества, постоянно стремится к совершенствованию навыков своих сотрудников, </w:t>
      </w:r>
      <w:r w:rsidR="00E15A34">
        <w:rPr>
          <w:lang w:val="ru-RU"/>
        </w:rPr>
        <w:t>выполняя</w:t>
      </w:r>
      <w:r w:rsidRPr="004638AE">
        <w:rPr>
          <w:lang w:val="ru-RU"/>
        </w:rPr>
        <w:t xml:space="preserve"> функции Международного органа.</w:t>
      </w:r>
      <w:proofErr w:type="gramEnd"/>
    </w:p>
    <w:p w14:paraId="511FB251" w14:textId="77777777" w:rsidR="00B75756" w:rsidRPr="004638AE" w:rsidRDefault="00B75756" w:rsidP="00A70B16">
      <w:pPr>
        <w:rPr>
          <w:lang w:val="ru-RU"/>
        </w:rPr>
      </w:pPr>
    </w:p>
    <w:p w14:paraId="3299B6BF" w14:textId="524AFFE2" w:rsidR="00FB297B" w:rsidRPr="004638AE" w:rsidRDefault="00FB297B" w:rsidP="00FB297B">
      <w:pPr>
        <w:rPr>
          <w:lang w:val="ru-RU"/>
        </w:rPr>
      </w:pPr>
      <w:r w:rsidRPr="004638AE">
        <w:rPr>
          <w:lang w:val="ru-RU"/>
        </w:rPr>
        <w:t xml:space="preserve">В этой связи на протяжении первых лет работы </w:t>
      </w:r>
      <w:r w:rsidRPr="004638AE">
        <w:t>INAPI</w:t>
      </w:r>
      <w:r w:rsidRPr="004638AE">
        <w:rPr>
          <w:lang w:val="ru-RU"/>
        </w:rPr>
        <w:t xml:space="preserve"> обращался за помощью и получал помощь о других ведомств, которые уже довольно долгое время работали в качестве Международного органа.  Это приносит существенную пользу нашему ведомству</w:t>
      </w:r>
      <w:r w:rsidR="00E15A34">
        <w:rPr>
          <w:lang w:val="ru-RU"/>
        </w:rPr>
        <w:t xml:space="preserve">, действующему в </w:t>
      </w:r>
      <w:r w:rsidRPr="004638AE">
        <w:rPr>
          <w:lang w:val="ru-RU"/>
        </w:rPr>
        <w:t xml:space="preserve">качестве Международного органа и, хотя оно непосредственно и не нуждается в помощи, отдает себе отчет в том, что сотрудничество с другими ведомствами может быть взаимовыгодным и способствовать повышению эффективности поиска и экспертизы, проводимых в рамках </w:t>
      </w:r>
      <w:r w:rsidRPr="004638AE">
        <w:t>PCT</w:t>
      </w:r>
      <w:r w:rsidRPr="004638AE">
        <w:rPr>
          <w:lang w:val="ru-RU"/>
        </w:rPr>
        <w:t>.</w:t>
      </w:r>
    </w:p>
    <w:p w14:paraId="0EA9B184" w14:textId="77777777" w:rsidR="00B75756" w:rsidRPr="004638AE" w:rsidRDefault="00B75756" w:rsidP="00A70B16">
      <w:pPr>
        <w:rPr>
          <w:lang w:val="ru-RU"/>
        </w:rPr>
      </w:pPr>
    </w:p>
    <w:p w14:paraId="6F657C40" w14:textId="77777777" w:rsidR="00FB297B" w:rsidRPr="004638AE" w:rsidRDefault="00FB297B" w:rsidP="00FB297B">
      <w:pPr>
        <w:rPr>
          <w:lang w:val="ru-RU"/>
        </w:rPr>
      </w:pPr>
      <w:r w:rsidRPr="004638AE">
        <w:rPr>
          <w:lang w:val="ru-RU"/>
        </w:rPr>
        <w:t>ВОИС оказала содействие в координации работы с Ведомством по патентам и товарным знакам США (ВПТЗ США), Канадским ведомством интеллектуальной собственности (</w:t>
      </w:r>
      <w:r w:rsidRPr="004638AE">
        <w:t>CIPO</w:t>
      </w:r>
      <w:r w:rsidRPr="004638AE">
        <w:rPr>
          <w:lang w:val="ru-RU"/>
        </w:rPr>
        <w:t>) в 2013 г. и с Ведомством ИС Австралии в 2014 г.</w:t>
      </w:r>
    </w:p>
    <w:p w14:paraId="24879971" w14:textId="77777777" w:rsidR="00B75756" w:rsidRPr="004638AE" w:rsidRDefault="00B75756" w:rsidP="00A70B16">
      <w:pPr>
        <w:rPr>
          <w:lang w:val="ru-RU"/>
        </w:rPr>
      </w:pPr>
    </w:p>
    <w:p w14:paraId="2FA5AD9B" w14:textId="622E7174" w:rsidR="009C016C" w:rsidRPr="004638AE" w:rsidRDefault="009C016C" w:rsidP="009C016C">
      <w:pPr>
        <w:rPr>
          <w:lang w:val="ru-RU"/>
        </w:rPr>
      </w:pPr>
      <w:r w:rsidRPr="004638AE">
        <w:rPr>
          <w:lang w:val="ru-RU"/>
        </w:rPr>
        <w:t xml:space="preserve">Наряду с этим в 2013 г. </w:t>
      </w:r>
      <w:proofErr w:type="gramStart"/>
      <w:r w:rsidRPr="004638AE">
        <w:t>INAPI</w:t>
      </w:r>
      <w:r w:rsidRPr="004638AE">
        <w:rPr>
          <w:lang w:val="ru-RU"/>
        </w:rPr>
        <w:t xml:space="preserve"> организовал учебные мероприятия совместно с Израильским патентным ведомством (</w:t>
      </w:r>
      <w:r w:rsidRPr="004638AE">
        <w:t>ILPO</w:t>
      </w:r>
      <w:r w:rsidRPr="004638AE">
        <w:rPr>
          <w:lang w:val="ru-RU"/>
        </w:rPr>
        <w:t xml:space="preserve">), </w:t>
      </w:r>
      <w:r w:rsidRPr="004638AE">
        <w:t>CIPO</w:t>
      </w:r>
      <w:r w:rsidRPr="004638AE">
        <w:rPr>
          <w:lang w:val="ru-RU"/>
        </w:rPr>
        <w:t xml:space="preserve"> и Ведомством ИС Австралии, причем эти мероприятия координировались всеми ведомствами, участвовавшими в этой инициативе и приложившими совместные усилия к разработке качественно новой программы.</w:t>
      </w:r>
      <w:proofErr w:type="gramEnd"/>
      <w:r w:rsidRPr="004638AE">
        <w:rPr>
          <w:lang w:val="ru-RU"/>
        </w:rPr>
        <w:t xml:space="preserve">  Кроме того, в 2015 г. мы взаимодействовали с Японским патентным ведомством (ЯПВ), постоянно организующим для сотрудников </w:t>
      </w:r>
      <w:r w:rsidRPr="004638AE">
        <w:t>INAPI</w:t>
      </w:r>
      <w:r w:rsidRPr="004638AE">
        <w:rPr>
          <w:lang w:val="ru-RU"/>
        </w:rPr>
        <w:t xml:space="preserve"> учебные мероприятия в Японии, в которых с огромным успехом приняли участие по меньшей мере 6 наших экспертов.  Помимо этого</w:t>
      </w:r>
      <w:r w:rsidR="00E15A34">
        <w:rPr>
          <w:lang w:val="ru-RU"/>
        </w:rPr>
        <w:t>,</w:t>
      </w:r>
      <w:r w:rsidRPr="004638AE">
        <w:rPr>
          <w:lang w:val="ru-RU"/>
        </w:rPr>
        <w:t xml:space="preserve"> </w:t>
      </w:r>
      <w:r w:rsidRPr="004638AE">
        <w:t>CIPO</w:t>
      </w:r>
      <w:r w:rsidRPr="004638AE">
        <w:rPr>
          <w:lang w:val="ru-RU"/>
        </w:rPr>
        <w:t xml:space="preserve"> предложило </w:t>
      </w:r>
      <w:r w:rsidRPr="004638AE">
        <w:t>INAPI</w:t>
      </w:r>
      <w:r w:rsidRPr="004638AE">
        <w:rPr>
          <w:lang w:val="ru-RU"/>
        </w:rPr>
        <w:t xml:space="preserve"> принять участие в учебные семинарах с целью обмена передовым опытом между ведомствами.</w:t>
      </w:r>
    </w:p>
    <w:p w14:paraId="4FA461F3" w14:textId="77777777" w:rsidR="00B75756" w:rsidRPr="004638AE" w:rsidRDefault="00B75756" w:rsidP="00A70B16">
      <w:pPr>
        <w:rPr>
          <w:lang w:val="ru-RU"/>
        </w:rPr>
      </w:pPr>
    </w:p>
    <w:p w14:paraId="4855F971" w14:textId="77777777" w:rsidR="00AF22F0" w:rsidRPr="004638AE" w:rsidRDefault="00AF22F0" w:rsidP="00AF22F0">
      <w:pPr>
        <w:rPr>
          <w:lang w:val="ru-RU"/>
        </w:rPr>
      </w:pPr>
      <w:r w:rsidRPr="004638AE">
        <w:rPr>
          <w:lang w:val="ru-RU"/>
        </w:rPr>
        <w:t xml:space="preserve">В 2014 г. Европейское патентное ведомство (ЕПВ) организовало для экспертов курс обучения работе с </w:t>
      </w:r>
      <w:proofErr w:type="spellStart"/>
      <w:r w:rsidRPr="004638AE">
        <w:t>EpoqueNet</w:t>
      </w:r>
      <w:proofErr w:type="spellEnd"/>
      <w:r w:rsidRPr="004638AE">
        <w:rPr>
          <w:lang w:val="ru-RU"/>
        </w:rPr>
        <w:t>.</w:t>
      </w:r>
    </w:p>
    <w:p w14:paraId="124E4FE9" w14:textId="77777777" w:rsidR="00B75756" w:rsidRPr="004638AE" w:rsidRDefault="00B75756" w:rsidP="00A70B16">
      <w:pPr>
        <w:rPr>
          <w:lang w:val="ru-RU"/>
        </w:rPr>
      </w:pPr>
    </w:p>
    <w:p w14:paraId="7D4E0883" w14:textId="5ED7B503" w:rsidR="00AF22F0" w:rsidRPr="004638AE" w:rsidRDefault="00AF22F0" w:rsidP="00AF22F0">
      <w:pPr>
        <w:rPr>
          <w:lang w:val="ru-RU"/>
        </w:rPr>
      </w:pPr>
      <w:r w:rsidRPr="004638AE">
        <w:rPr>
          <w:lang w:val="ru-RU"/>
        </w:rPr>
        <w:t xml:space="preserve">В ноябре 2016 г. ВОИС организовала совместное мероприятие с участием </w:t>
      </w:r>
      <w:r w:rsidRPr="004638AE">
        <w:t>INAPI</w:t>
      </w:r>
      <w:r w:rsidRPr="004638AE">
        <w:rPr>
          <w:lang w:val="ru-RU"/>
        </w:rPr>
        <w:t xml:space="preserve"> </w:t>
      </w:r>
      <w:r w:rsidR="00E15A34">
        <w:rPr>
          <w:lang w:val="ru-RU"/>
        </w:rPr>
        <w:t>и Патентного ведомства</w:t>
      </w:r>
      <w:r w:rsidRPr="004638AE">
        <w:rPr>
          <w:lang w:val="ru-RU"/>
        </w:rPr>
        <w:t xml:space="preserve"> Австрии (</w:t>
      </w:r>
      <w:r w:rsidRPr="004638AE">
        <w:t>APO</w:t>
      </w:r>
      <w:r w:rsidRPr="004638AE">
        <w:rPr>
          <w:lang w:val="ru-RU"/>
        </w:rPr>
        <w:t>) с целью обмена передовым опытом между ведомствами в соответствии с принципами постоянного совершенствования и внедрения стандартов качества работы МПО/ОМПЭ.</w:t>
      </w:r>
    </w:p>
    <w:p w14:paraId="3132FACF" w14:textId="77777777" w:rsidR="00097F4F" w:rsidRPr="004638AE" w:rsidRDefault="00097F4F" w:rsidP="00097F4F">
      <w:pPr>
        <w:pStyle w:val="SectionHeading"/>
        <w:rPr>
          <w:lang w:val="ru-RU"/>
        </w:rPr>
      </w:pPr>
      <w:r w:rsidRPr="004638AE">
        <w:rPr>
          <w:lang w:val="ru-RU"/>
        </w:rPr>
        <w:t>8 – прочее</w:t>
      </w:r>
    </w:p>
    <w:p w14:paraId="0BCCAA73" w14:textId="77777777" w:rsidR="00097F4F" w:rsidRPr="004638AE" w:rsidRDefault="00097F4F" w:rsidP="00097F4F">
      <w:pPr>
        <w:rPr>
          <w:lang w:val="ru-RU"/>
        </w:rPr>
      </w:pPr>
      <w:r w:rsidRPr="004638AE">
        <w:rPr>
          <w:lang w:val="ru-RU"/>
        </w:rPr>
        <w:t>Неприменимо</w:t>
      </w:r>
    </w:p>
    <w:p w14:paraId="45B3A9AF" w14:textId="77777777" w:rsidR="00B75756" w:rsidRPr="004638AE" w:rsidRDefault="00B75756" w:rsidP="00B75756">
      <w:pPr>
        <w:rPr>
          <w:szCs w:val="22"/>
          <w:lang w:val="ru-RU"/>
        </w:rPr>
      </w:pPr>
    </w:p>
    <w:p w14:paraId="1881895A" w14:textId="77777777" w:rsidR="00097F4F" w:rsidRPr="004638AE" w:rsidRDefault="00097F4F" w:rsidP="00097F4F">
      <w:pPr>
        <w:pStyle w:val="SectionHeading"/>
        <w:rPr>
          <w:lang w:val="ru-RU"/>
        </w:rPr>
      </w:pPr>
      <w:r w:rsidRPr="004638AE">
        <w:rPr>
          <w:lang w:val="ru-RU"/>
        </w:rPr>
        <w:t>9 – оценка другими органами</w:t>
      </w:r>
    </w:p>
    <w:p w14:paraId="3C7EEEF4" w14:textId="77777777" w:rsidR="00097F4F" w:rsidRPr="004638AE" w:rsidRDefault="00097F4F" w:rsidP="00097F4F">
      <w:pPr>
        <w:rPr>
          <w:lang w:val="ru-RU"/>
        </w:rPr>
      </w:pPr>
      <w:r w:rsidRPr="004638AE">
        <w:rPr>
          <w:lang w:val="ru-RU"/>
        </w:rPr>
        <w:t>Неприменимо</w:t>
      </w:r>
    </w:p>
    <w:p w14:paraId="6CA1D563" w14:textId="77777777" w:rsidR="00B75756" w:rsidRPr="004638AE" w:rsidRDefault="00B75756" w:rsidP="00B75756">
      <w:pPr>
        <w:rPr>
          <w:lang w:val="ru-RU"/>
        </w:rPr>
      </w:pPr>
    </w:p>
    <w:p w14:paraId="17843380" w14:textId="77777777" w:rsidR="00B75756" w:rsidRPr="004638AE" w:rsidRDefault="00B75756" w:rsidP="00B75756">
      <w:pPr>
        <w:rPr>
          <w:lang w:val="ru-RU"/>
        </w:rPr>
      </w:pPr>
    </w:p>
    <w:p w14:paraId="45B864C8" w14:textId="77777777" w:rsidR="00097F4F" w:rsidRPr="00AD2B88" w:rsidRDefault="00097F4F" w:rsidP="00097F4F">
      <w:pPr>
        <w:pStyle w:val="Endofdocument-Annex"/>
        <w:rPr>
          <w:lang w:val="ru-RU"/>
        </w:rPr>
      </w:pPr>
      <w:r w:rsidRPr="004638AE">
        <w:rPr>
          <w:lang w:val="ru-RU"/>
        </w:rPr>
        <w:t>[Конец приложения и документа]</w:t>
      </w:r>
    </w:p>
    <w:p w14:paraId="4DFF17BC" w14:textId="77777777" w:rsidR="00AA5F79" w:rsidRPr="00AD2B88" w:rsidRDefault="00AA5F79" w:rsidP="00097F4F">
      <w:pPr>
        <w:pStyle w:val="Endofdocument-Annex"/>
        <w:rPr>
          <w:lang w:val="ru-RU"/>
        </w:rPr>
      </w:pPr>
    </w:p>
    <w:sectPr w:rsidR="00AA5F79" w:rsidRPr="00AD2B88" w:rsidSect="008D478E">
      <w:headerReference w:type="default" r:id="rId14"/>
      <w:headerReference w:type="first" r:id="rId15"/>
      <w:endnotePr>
        <w:numFmt w:val="decimal"/>
      </w:endnotePr>
      <w:pgSz w:w="11907" w:h="16840" w:code="9"/>
      <w:pgMar w:top="567" w:right="1134" w:bottom="1077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024A9" w14:textId="77777777" w:rsidR="00CC08D4" w:rsidRDefault="00CC08D4">
      <w:r>
        <w:separator/>
      </w:r>
    </w:p>
  </w:endnote>
  <w:endnote w:type="continuationSeparator" w:id="0">
    <w:p w14:paraId="0F7AC59E" w14:textId="77777777" w:rsidR="00CC08D4" w:rsidRDefault="00CC08D4" w:rsidP="003B38C1">
      <w:r>
        <w:separator/>
      </w:r>
    </w:p>
    <w:p w14:paraId="73FBFD43" w14:textId="77777777" w:rsidR="00CC08D4" w:rsidRPr="003B38C1" w:rsidRDefault="00CC08D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826B548" w14:textId="77777777" w:rsidR="00CC08D4" w:rsidRPr="003B38C1" w:rsidRDefault="00CC08D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39AD5" w14:textId="77777777" w:rsidR="00CC08D4" w:rsidRDefault="00CC08D4">
      <w:r>
        <w:separator/>
      </w:r>
    </w:p>
  </w:footnote>
  <w:footnote w:type="continuationSeparator" w:id="0">
    <w:p w14:paraId="6C72453F" w14:textId="77777777" w:rsidR="00CC08D4" w:rsidRDefault="00CC08D4" w:rsidP="008B60B2">
      <w:r>
        <w:separator/>
      </w:r>
    </w:p>
    <w:p w14:paraId="76D763E4" w14:textId="77777777" w:rsidR="00CC08D4" w:rsidRPr="00ED77FB" w:rsidRDefault="00CC08D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964FA12" w14:textId="77777777" w:rsidR="00CC08D4" w:rsidRPr="00ED77FB" w:rsidRDefault="00CC08D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57E370B0" w14:textId="59D686B6" w:rsidR="00863D17" w:rsidRPr="00653338" w:rsidRDefault="00863D17" w:rsidP="004E5B37">
      <w:pPr>
        <w:pStyle w:val="FootnoteText"/>
        <w:rPr>
          <w:color w:val="0000FF"/>
          <w:lang w:val="ru-RU"/>
        </w:rPr>
      </w:pPr>
      <w:r w:rsidRPr="00A70B16">
        <w:rPr>
          <w:vertAlign w:val="superscript"/>
        </w:rPr>
        <w:footnoteRef/>
      </w:r>
      <w:r w:rsidRPr="00056809">
        <w:rPr>
          <w:lang w:val="ru-RU"/>
        </w:rPr>
        <w:t xml:space="preserve"> </w:t>
      </w:r>
      <w:r w:rsidRPr="00056809">
        <w:rPr>
          <w:lang w:val="ru-RU"/>
        </w:rPr>
        <w:tab/>
      </w:r>
      <w:r w:rsidR="00F06120">
        <w:rPr>
          <w:lang w:val="ru-RU"/>
        </w:rPr>
        <w:t>В</w:t>
      </w:r>
      <w:r w:rsidR="00F06120" w:rsidRPr="00056809">
        <w:rPr>
          <w:lang w:val="ru-RU"/>
        </w:rPr>
        <w:t xml:space="preserve"> </w:t>
      </w:r>
      <w:r w:rsidR="00F06120">
        <w:rPr>
          <w:lang w:val="ru-RU"/>
        </w:rPr>
        <w:t>некоторых</w:t>
      </w:r>
      <w:r w:rsidR="00F06120" w:rsidRPr="00056809">
        <w:rPr>
          <w:lang w:val="ru-RU"/>
        </w:rPr>
        <w:t xml:space="preserve"> </w:t>
      </w:r>
      <w:r w:rsidR="00F06120">
        <w:rPr>
          <w:lang w:val="ru-RU"/>
        </w:rPr>
        <w:t>таблицах</w:t>
      </w:r>
      <w:r w:rsidR="00F06120" w:rsidRPr="00056809">
        <w:rPr>
          <w:lang w:val="ru-RU"/>
        </w:rPr>
        <w:t xml:space="preserve"> </w:t>
      </w:r>
      <w:r w:rsidR="00F06120">
        <w:rPr>
          <w:lang w:val="ru-RU"/>
        </w:rPr>
        <w:t>данные</w:t>
      </w:r>
      <w:r w:rsidR="00F06120" w:rsidRPr="00056809">
        <w:rPr>
          <w:lang w:val="ru-RU"/>
        </w:rPr>
        <w:t xml:space="preserve"> </w:t>
      </w:r>
      <w:r w:rsidR="00F06120">
        <w:rPr>
          <w:lang w:val="ru-RU"/>
        </w:rPr>
        <w:t>за</w:t>
      </w:r>
      <w:r w:rsidR="00F06120" w:rsidRPr="00056809">
        <w:rPr>
          <w:lang w:val="ru-RU"/>
        </w:rPr>
        <w:t xml:space="preserve"> 2012 </w:t>
      </w:r>
      <w:r w:rsidR="00F06120">
        <w:rPr>
          <w:lang w:val="ru-RU"/>
        </w:rPr>
        <w:t>г</w:t>
      </w:r>
      <w:r w:rsidR="00F06120" w:rsidRPr="00056809">
        <w:rPr>
          <w:lang w:val="ru-RU"/>
        </w:rPr>
        <w:t xml:space="preserve">. не </w:t>
      </w:r>
      <w:r w:rsidR="00F06120">
        <w:rPr>
          <w:lang w:val="ru-RU"/>
        </w:rPr>
        <w:t>учитываются</w:t>
      </w:r>
      <w:r w:rsidR="00F06120" w:rsidRPr="00056809">
        <w:rPr>
          <w:lang w:val="ru-RU"/>
        </w:rPr>
        <w:t xml:space="preserve">, </w:t>
      </w:r>
      <w:r w:rsidR="00F06120">
        <w:rPr>
          <w:lang w:val="ru-RU"/>
        </w:rPr>
        <w:t>поскольку</w:t>
      </w:r>
      <w:r w:rsidR="00F06120" w:rsidRPr="00056809">
        <w:rPr>
          <w:lang w:val="ru-RU"/>
        </w:rPr>
        <w:t xml:space="preserve"> </w:t>
      </w:r>
      <w:r w:rsidR="00F06120">
        <w:rPr>
          <w:lang w:val="ru-RU"/>
        </w:rPr>
        <w:t>система</w:t>
      </w:r>
      <w:r w:rsidR="00F06120" w:rsidRPr="00056809">
        <w:rPr>
          <w:lang w:val="ru-RU"/>
        </w:rPr>
        <w:t xml:space="preserve"> </w:t>
      </w:r>
      <w:r w:rsidR="00F06120">
        <w:t>IPAS</w:t>
      </w:r>
      <w:r w:rsidR="00F06120" w:rsidRPr="00056809">
        <w:rPr>
          <w:lang w:val="ru-RU"/>
        </w:rPr>
        <w:t xml:space="preserve"> </w:t>
      </w:r>
      <w:r w:rsidR="00056809">
        <w:rPr>
          <w:lang w:val="ru-RU"/>
        </w:rPr>
        <w:t xml:space="preserve">стала полностью функциональной и готовой для получения данных только в 2013 году.  Поэтому было решено использовать более точную информацию, содержащуюся в уникальной базе данных, вместо того чтобы получать данные из нескольких различных систем, действовавших еще до внедрения этой системы ИТ в </w:t>
      </w:r>
      <w:r w:rsidR="00056809">
        <w:t>INAPI</w:t>
      </w:r>
      <w:r w:rsidRPr="00653338">
        <w:rPr>
          <w:lang w:val="ru-RU"/>
        </w:rPr>
        <w:t>.</w:t>
      </w:r>
    </w:p>
  </w:footnote>
  <w:footnote w:id="3">
    <w:p w14:paraId="4B66F5EA" w14:textId="369C55BA" w:rsidR="00863D17" w:rsidRPr="004E5B37" w:rsidRDefault="00863D17" w:rsidP="004E5B37">
      <w:pPr>
        <w:pStyle w:val="FootnoteText"/>
        <w:rPr>
          <w:lang w:val="ru-RU"/>
        </w:rPr>
      </w:pPr>
      <w:r w:rsidRPr="00A70B16">
        <w:rPr>
          <w:vertAlign w:val="superscript"/>
        </w:rPr>
        <w:footnoteRef/>
      </w:r>
      <w:r w:rsidRPr="004E5B37">
        <w:rPr>
          <w:lang w:val="ru-RU"/>
        </w:rPr>
        <w:t xml:space="preserve"> </w:t>
      </w:r>
      <w:r w:rsidRPr="004E5B37">
        <w:rPr>
          <w:lang w:val="ru-RU"/>
        </w:rPr>
        <w:tab/>
      </w:r>
      <w:r w:rsidR="004E5B37">
        <w:rPr>
          <w:lang w:val="ru-RU"/>
        </w:rPr>
        <w:t>Общее количество заявок не включает поданные заявки на промышленные образцы и чертежи, а также на схемы, поскольку такие заявки фактически относятся к ведению патентного отдела и, следовательно, рассматриваются им</w:t>
      </w:r>
      <w:r w:rsidRPr="004E5B37">
        <w:rPr>
          <w:lang w:val="ru-RU"/>
        </w:rPr>
        <w:t>.</w:t>
      </w:r>
    </w:p>
  </w:footnote>
  <w:footnote w:id="4">
    <w:p w14:paraId="47F4F404" w14:textId="4AF20219" w:rsidR="00863D17" w:rsidRPr="00AF22F0" w:rsidRDefault="00863D17" w:rsidP="00AF22F0">
      <w:pPr>
        <w:pStyle w:val="FootnoteText"/>
        <w:rPr>
          <w:lang w:val="ru-RU"/>
        </w:rPr>
      </w:pPr>
      <w:r w:rsidRPr="00A70B16">
        <w:rPr>
          <w:vertAlign w:val="superscript"/>
        </w:rPr>
        <w:footnoteRef/>
      </w:r>
      <w:r w:rsidRPr="00AF22F0">
        <w:rPr>
          <w:lang w:val="ru-RU"/>
        </w:rPr>
        <w:t xml:space="preserve"> </w:t>
      </w:r>
      <w:r w:rsidRPr="00AF22F0">
        <w:rPr>
          <w:lang w:val="ru-RU"/>
        </w:rPr>
        <w:tab/>
      </w:r>
      <w:r w:rsidR="00AF22F0">
        <w:rPr>
          <w:lang w:val="ru-RU"/>
        </w:rPr>
        <w:t xml:space="preserve">В настоящее время </w:t>
      </w:r>
      <w:r w:rsidR="00AF22F0">
        <w:t>INAPI</w:t>
      </w:r>
      <w:r w:rsidR="00AF22F0" w:rsidRPr="00815043">
        <w:rPr>
          <w:lang w:val="ru-RU"/>
        </w:rPr>
        <w:t xml:space="preserve"> </w:t>
      </w:r>
      <w:r w:rsidR="00AF22F0">
        <w:rPr>
          <w:lang w:val="ru-RU"/>
        </w:rPr>
        <w:t xml:space="preserve">занимается поиском и экспертизой не как двумя отдельными видами деятельности, а выполняет эти функции одновременно, и о результатах проделанной работы заявителю сообщается в одном отчете, содержащем информацию о результатах поиска и заключение относительно соответствия юридическим требованиям.  Средняя продолжительность времени измеряется, начиная с 2009 г., поскольку именно в этом году </w:t>
      </w:r>
      <w:r w:rsidR="00AF22F0">
        <w:t>INAPI</w:t>
      </w:r>
      <w:r w:rsidR="00AF22F0" w:rsidRPr="000A489E">
        <w:rPr>
          <w:lang w:val="ru-RU"/>
        </w:rPr>
        <w:t xml:space="preserve"> </w:t>
      </w:r>
      <w:r w:rsidR="00AF22F0">
        <w:rPr>
          <w:lang w:val="ru-RU"/>
        </w:rPr>
        <w:t>приступил к работе, и для того, чтобы эта работа стала более эффективной, была разработана новая процедура поиска и оценки</w:t>
      </w:r>
      <w:r w:rsidRPr="00AF22F0">
        <w:rPr>
          <w:lang w:val="ru-RU"/>
        </w:rPr>
        <w:t>.</w:t>
      </w:r>
    </w:p>
  </w:footnote>
  <w:footnote w:id="5">
    <w:p w14:paraId="1B420769" w14:textId="6DC8A9CE" w:rsidR="00863D17" w:rsidRPr="00AF22F0" w:rsidRDefault="00863D17" w:rsidP="00B75756">
      <w:pPr>
        <w:pStyle w:val="FootnoteText"/>
        <w:rPr>
          <w:color w:val="0000FF"/>
          <w:lang w:val="ru-RU"/>
        </w:rPr>
      </w:pPr>
      <w:r w:rsidRPr="00A70B16">
        <w:rPr>
          <w:vertAlign w:val="superscript"/>
        </w:rPr>
        <w:footnoteRef/>
      </w:r>
      <w:r w:rsidRPr="00AF22F0">
        <w:rPr>
          <w:lang w:val="ru-RU"/>
        </w:rPr>
        <w:t xml:space="preserve"> </w:t>
      </w:r>
      <w:r w:rsidRPr="00AF22F0">
        <w:rPr>
          <w:lang w:val="ru-RU"/>
        </w:rPr>
        <w:tab/>
      </w:r>
      <w:r w:rsidR="00AF22F0">
        <w:rPr>
          <w:lang w:val="ru-RU"/>
        </w:rPr>
        <w:t xml:space="preserve">Имеются в виду заявки, поданные в </w:t>
      </w:r>
      <w:r w:rsidR="00AF22F0">
        <w:t>INAPI</w:t>
      </w:r>
      <w:r w:rsidR="00AF22F0" w:rsidRPr="000A489E">
        <w:rPr>
          <w:lang w:val="ru-RU"/>
        </w:rPr>
        <w:t xml:space="preserve"> </w:t>
      </w:r>
      <w:r w:rsidR="00AF22F0">
        <w:rPr>
          <w:lang w:val="ru-RU"/>
        </w:rPr>
        <w:t xml:space="preserve">по процедуре </w:t>
      </w:r>
      <w:r w:rsidR="00AF22F0">
        <w:t>PCT</w:t>
      </w:r>
      <w:r w:rsidR="00AF22F0" w:rsidRPr="000A489E">
        <w:rPr>
          <w:lang w:val="ru-RU"/>
        </w:rPr>
        <w:t xml:space="preserve"> </w:t>
      </w:r>
      <w:r w:rsidR="00AF22F0">
        <w:rPr>
          <w:lang w:val="ru-RU"/>
        </w:rPr>
        <w:t>(национальная фаза)</w:t>
      </w:r>
      <w:r w:rsidRPr="00AF22F0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AE8B6" w14:textId="77777777" w:rsidR="00863D17" w:rsidRDefault="00863D17" w:rsidP="00477D6B">
    <w:pPr>
      <w:jc w:val="right"/>
    </w:pPr>
    <w:bookmarkStart w:id="5" w:name="Code2"/>
    <w:bookmarkEnd w:id="5"/>
    <w:r>
      <w:t>PCT/CTC/30/7</w:t>
    </w:r>
  </w:p>
  <w:p w14:paraId="550E7BA9" w14:textId="77777777" w:rsidR="00863D17" w:rsidRDefault="00863D17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27AAF1D1" w14:textId="77777777" w:rsidR="00863D17" w:rsidRDefault="00863D17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EE47F" w14:textId="77777777" w:rsidR="00863D17" w:rsidRPr="00AA5F79" w:rsidRDefault="00863D17" w:rsidP="00477D6B">
    <w:pPr>
      <w:jc w:val="right"/>
      <w:rPr>
        <w:lang w:val="fr-FR"/>
      </w:rPr>
    </w:pPr>
    <w:r w:rsidRPr="00AA5F79">
      <w:rPr>
        <w:lang w:val="fr-FR"/>
      </w:rPr>
      <w:t>PCT/CTC/30</w:t>
    </w:r>
    <w:r>
      <w:rPr>
        <w:lang w:val="fr-FR"/>
      </w:rPr>
      <w:t>/7</w:t>
    </w:r>
  </w:p>
  <w:p w14:paraId="23E0A32C" w14:textId="5CF3734F" w:rsidR="00863D17" w:rsidRPr="00AA5F79" w:rsidRDefault="00863D17" w:rsidP="00477D6B">
    <w:pPr>
      <w:jc w:val="right"/>
      <w:rPr>
        <w:lang w:val="fr-FR"/>
      </w:rPr>
    </w:pPr>
    <w:r>
      <w:rPr>
        <w:lang w:val="ru-RU"/>
      </w:rPr>
      <w:t xml:space="preserve">Приложение, стр. </w:t>
    </w:r>
    <w:r>
      <w:fldChar w:fldCharType="begin"/>
    </w:r>
    <w:r w:rsidRPr="00AA5F79">
      <w:rPr>
        <w:lang w:val="fr-FR"/>
      </w:rPr>
      <w:instrText xml:space="preserve"> PAGE  \* MERGEFORMAT </w:instrText>
    </w:r>
    <w:r>
      <w:fldChar w:fldCharType="separate"/>
    </w:r>
    <w:r w:rsidR="00A7117A">
      <w:rPr>
        <w:noProof/>
        <w:lang w:val="fr-FR"/>
      </w:rPr>
      <w:t>11</w:t>
    </w:r>
    <w:r>
      <w:fldChar w:fldCharType="end"/>
    </w:r>
  </w:p>
  <w:p w14:paraId="7BE089F3" w14:textId="77777777" w:rsidR="00863D17" w:rsidRPr="00AA5F79" w:rsidRDefault="00863D17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776BE" w14:textId="77777777" w:rsidR="00863D17" w:rsidRDefault="00863D17" w:rsidP="00AA5F79">
    <w:pPr>
      <w:pStyle w:val="Header"/>
      <w:jc w:val="right"/>
    </w:pPr>
    <w:r>
      <w:t>PCT/CTC/30/7</w:t>
    </w:r>
  </w:p>
  <w:p w14:paraId="00930C00" w14:textId="77777777" w:rsidR="00863D17" w:rsidRPr="00204B75" w:rsidRDefault="00863D17" w:rsidP="00AA5F79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14:paraId="24401F96" w14:textId="77777777" w:rsidR="00863D17" w:rsidRDefault="00863D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D1C28E6"/>
    <w:multiLevelType w:val="hybridMultilevel"/>
    <w:tmpl w:val="7B3C18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A4"/>
    <w:rsid w:val="000058CD"/>
    <w:rsid w:val="00011582"/>
    <w:rsid w:val="000149C8"/>
    <w:rsid w:val="00043CAA"/>
    <w:rsid w:val="00056809"/>
    <w:rsid w:val="00075432"/>
    <w:rsid w:val="000968ED"/>
    <w:rsid w:val="00097F4F"/>
    <w:rsid w:val="000A0CA3"/>
    <w:rsid w:val="000B04D5"/>
    <w:rsid w:val="000F5E56"/>
    <w:rsid w:val="00113679"/>
    <w:rsid w:val="001362EE"/>
    <w:rsid w:val="001832A6"/>
    <w:rsid w:val="00194299"/>
    <w:rsid w:val="001E3B34"/>
    <w:rsid w:val="001F69D2"/>
    <w:rsid w:val="0020302E"/>
    <w:rsid w:val="00204B75"/>
    <w:rsid w:val="0021217E"/>
    <w:rsid w:val="00236F15"/>
    <w:rsid w:val="002634C4"/>
    <w:rsid w:val="002711B2"/>
    <w:rsid w:val="00282D8E"/>
    <w:rsid w:val="00287D7F"/>
    <w:rsid w:val="002928D3"/>
    <w:rsid w:val="002F1F36"/>
    <w:rsid w:val="002F1FE6"/>
    <w:rsid w:val="002F4E68"/>
    <w:rsid w:val="00312F7F"/>
    <w:rsid w:val="0035027E"/>
    <w:rsid w:val="00361450"/>
    <w:rsid w:val="003673CF"/>
    <w:rsid w:val="003738B3"/>
    <w:rsid w:val="003845C1"/>
    <w:rsid w:val="003A6F89"/>
    <w:rsid w:val="003B38C1"/>
    <w:rsid w:val="00423E3E"/>
    <w:rsid w:val="00427AF4"/>
    <w:rsid w:val="004361B4"/>
    <w:rsid w:val="004638AE"/>
    <w:rsid w:val="004647DA"/>
    <w:rsid w:val="00474062"/>
    <w:rsid w:val="00477D6B"/>
    <w:rsid w:val="004914B6"/>
    <w:rsid w:val="004A410A"/>
    <w:rsid w:val="004E5B37"/>
    <w:rsid w:val="004F74E6"/>
    <w:rsid w:val="005019FF"/>
    <w:rsid w:val="005136C8"/>
    <w:rsid w:val="0053057A"/>
    <w:rsid w:val="00551012"/>
    <w:rsid w:val="00560A29"/>
    <w:rsid w:val="00570359"/>
    <w:rsid w:val="005C40A3"/>
    <w:rsid w:val="005C6649"/>
    <w:rsid w:val="005E3294"/>
    <w:rsid w:val="005F6CFC"/>
    <w:rsid w:val="00605827"/>
    <w:rsid w:val="00626153"/>
    <w:rsid w:val="00646050"/>
    <w:rsid w:val="00653338"/>
    <w:rsid w:val="006619C5"/>
    <w:rsid w:val="006713CA"/>
    <w:rsid w:val="00676C5C"/>
    <w:rsid w:val="006965CC"/>
    <w:rsid w:val="006A3637"/>
    <w:rsid w:val="007D1613"/>
    <w:rsid w:val="007E4C0E"/>
    <w:rsid w:val="0083261F"/>
    <w:rsid w:val="00837953"/>
    <w:rsid w:val="00863D17"/>
    <w:rsid w:val="00884A61"/>
    <w:rsid w:val="008A5B6A"/>
    <w:rsid w:val="008B2CC1"/>
    <w:rsid w:val="008B50A2"/>
    <w:rsid w:val="008B60B2"/>
    <w:rsid w:val="008D478E"/>
    <w:rsid w:val="0090731E"/>
    <w:rsid w:val="00916EE2"/>
    <w:rsid w:val="00960234"/>
    <w:rsid w:val="00966A22"/>
    <w:rsid w:val="0096722F"/>
    <w:rsid w:val="00980843"/>
    <w:rsid w:val="0098373B"/>
    <w:rsid w:val="009C016C"/>
    <w:rsid w:val="009E2791"/>
    <w:rsid w:val="009E3F6F"/>
    <w:rsid w:val="009F1EDA"/>
    <w:rsid w:val="009F499F"/>
    <w:rsid w:val="00A126B9"/>
    <w:rsid w:val="00A42DAF"/>
    <w:rsid w:val="00A45BD8"/>
    <w:rsid w:val="00A70B16"/>
    <w:rsid w:val="00A7117A"/>
    <w:rsid w:val="00A76FA6"/>
    <w:rsid w:val="00A80A18"/>
    <w:rsid w:val="00A869B7"/>
    <w:rsid w:val="00A93FC2"/>
    <w:rsid w:val="00AA5F79"/>
    <w:rsid w:val="00AC205C"/>
    <w:rsid w:val="00AD2B88"/>
    <w:rsid w:val="00AD3731"/>
    <w:rsid w:val="00AF0A6B"/>
    <w:rsid w:val="00AF22F0"/>
    <w:rsid w:val="00B05A69"/>
    <w:rsid w:val="00B251A2"/>
    <w:rsid w:val="00B75756"/>
    <w:rsid w:val="00B87017"/>
    <w:rsid w:val="00B9734B"/>
    <w:rsid w:val="00BA30E2"/>
    <w:rsid w:val="00BC38A3"/>
    <w:rsid w:val="00BD078D"/>
    <w:rsid w:val="00C057C4"/>
    <w:rsid w:val="00C10769"/>
    <w:rsid w:val="00C11BFE"/>
    <w:rsid w:val="00C2526F"/>
    <w:rsid w:val="00C37C03"/>
    <w:rsid w:val="00C5068F"/>
    <w:rsid w:val="00C5630C"/>
    <w:rsid w:val="00C650A4"/>
    <w:rsid w:val="00CC08D4"/>
    <w:rsid w:val="00CD04F1"/>
    <w:rsid w:val="00D0438A"/>
    <w:rsid w:val="00D352B9"/>
    <w:rsid w:val="00D45252"/>
    <w:rsid w:val="00D71B4D"/>
    <w:rsid w:val="00D93D55"/>
    <w:rsid w:val="00DA0BDB"/>
    <w:rsid w:val="00DE17F8"/>
    <w:rsid w:val="00DE7E45"/>
    <w:rsid w:val="00E15015"/>
    <w:rsid w:val="00E15A34"/>
    <w:rsid w:val="00E251BB"/>
    <w:rsid w:val="00E335FE"/>
    <w:rsid w:val="00E82D0C"/>
    <w:rsid w:val="00EC4448"/>
    <w:rsid w:val="00EC4E49"/>
    <w:rsid w:val="00ED77FB"/>
    <w:rsid w:val="00EE0482"/>
    <w:rsid w:val="00EE45FA"/>
    <w:rsid w:val="00F06120"/>
    <w:rsid w:val="00F12F44"/>
    <w:rsid w:val="00F20FAF"/>
    <w:rsid w:val="00F3105C"/>
    <w:rsid w:val="00F44368"/>
    <w:rsid w:val="00F66152"/>
    <w:rsid w:val="00FA4CE0"/>
    <w:rsid w:val="00FB297B"/>
    <w:rsid w:val="00FD06A7"/>
    <w:rsid w:val="00FD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DF13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67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EE0482"/>
  </w:style>
  <w:style w:type="character" w:styleId="FootnoteReference">
    <w:name w:val="footnote reference"/>
    <w:basedOn w:val="DefaultParagraphFont"/>
    <w:uiPriority w:val="99"/>
    <w:rsid w:val="00B75756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5756"/>
    <w:rPr>
      <w:rFonts w:ascii="Arial" w:eastAsia="SimSun" w:hAnsi="Arial" w:cs="Arial"/>
      <w:sz w:val="18"/>
      <w:lang w:eastAsia="zh-CN"/>
    </w:rPr>
  </w:style>
  <w:style w:type="character" w:customStyle="1" w:styleId="SectionHeadingChar">
    <w:name w:val="Section Heading Char"/>
    <w:link w:val="SectionHeading"/>
    <w:locked/>
    <w:rsid w:val="008D478E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paragraph" w:customStyle="1" w:styleId="SectionHeading">
    <w:name w:val="Section Heading"/>
    <w:basedOn w:val="Heading1"/>
    <w:link w:val="SectionHeadingChar"/>
    <w:qFormat/>
    <w:rsid w:val="008D478E"/>
    <w:pPr>
      <w:pBdr>
        <w:top w:val="single" w:sz="4" w:space="1" w:color="auto"/>
        <w:bottom w:val="single" w:sz="4" w:space="1" w:color="auto"/>
      </w:pBdr>
      <w:spacing w:before="360" w:after="240"/>
    </w:pPr>
    <w:rPr>
      <w:rFonts w:eastAsia="Times New Roman"/>
    </w:rPr>
  </w:style>
  <w:style w:type="paragraph" w:customStyle="1" w:styleId="Default">
    <w:name w:val="Default"/>
    <w:rsid w:val="00B757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paragraph" w:styleId="ListParagraph">
    <w:name w:val="List Paragraph"/>
    <w:basedOn w:val="Normal"/>
    <w:uiPriority w:val="67"/>
    <w:qFormat/>
    <w:rsid w:val="00B7575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75756"/>
  </w:style>
  <w:style w:type="character" w:styleId="CommentReference">
    <w:name w:val="annotation reference"/>
    <w:basedOn w:val="DefaultParagraphFont"/>
    <w:uiPriority w:val="99"/>
    <w:semiHidden/>
    <w:unhideWhenUsed/>
    <w:rsid w:val="00BC38A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C38A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8A3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C38A3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67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EE0482"/>
  </w:style>
  <w:style w:type="character" w:styleId="FootnoteReference">
    <w:name w:val="footnote reference"/>
    <w:basedOn w:val="DefaultParagraphFont"/>
    <w:uiPriority w:val="99"/>
    <w:rsid w:val="00B75756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5756"/>
    <w:rPr>
      <w:rFonts w:ascii="Arial" w:eastAsia="SimSun" w:hAnsi="Arial" w:cs="Arial"/>
      <w:sz w:val="18"/>
      <w:lang w:eastAsia="zh-CN"/>
    </w:rPr>
  </w:style>
  <w:style w:type="character" w:customStyle="1" w:styleId="SectionHeadingChar">
    <w:name w:val="Section Heading Char"/>
    <w:link w:val="SectionHeading"/>
    <w:locked/>
    <w:rsid w:val="008D478E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paragraph" w:customStyle="1" w:styleId="SectionHeading">
    <w:name w:val="Section Heading"/>
    <w:basedOn w:val="Heading1"/>
    <w:link w:val="SectionHeadingChar"/>
    <w:qFormat/>
    <w:rsid w:val="008D478E"/>
    <w:pPr>
      <w:pBdr>
        <w:top w:val="single" w:sz="4" w:space="1" w:color="auto"/>
        <w:bottom w:val="single" w:sz="4" w:space="1" w:color="auto"/>
      </w:pBdr>
      <w:spacing w:before="360" w:after="240"/>
    </w:pPr>
    <w:rPr>
      <w:rFonts w:eastAsia="Times New Roman"/>
    </w:rPr>
  </w:style>
  <w:style w:type="paragraph" w:customStyle="1" w:styleId="Default">
    <w:name w:val="Default"/>
    <w:rsid w:val="00B757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paragraph" w:styleId="ListParagraph">
    <w:name w:val="List Paragraph"/>
    <w:basedOn w:val="Normal"/>
    <w:uiPriority w:val="67"/>
    <w:qFormat/>
    <w:rsid w:val="00B7575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75756"/>
  </w:style>
  <w:style w:type="character" w:styleId="CommentReference">
    <w:name w:val="annotation reference"/>
    <w:basedOn w:val="DefaultParagraphFont"/>
    <w:uiPriority w:val="99"/>
    <w:semiHidden/>
    <w:unhideWhenUsed/>
    <w:rsid w:val="00BC38A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C38A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8A3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C38A3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api.cl/portal/publicaciones/608/articles-9870_recurso_1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22A8D-E224-4D87-BC3D-69ADD8E9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3670</Words>
  <Characters>25427</Characters>
  <Application>Microsoft Office Word</Application>
  <DocSecurity>0</DocSecurity>
  <Lines>211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PCT/CTC/30/7</vt:lpstr>
      <vt:lpstr>1 – ОБЩИЕ СВЕДЕНИЯ</vt:lpstr>
      <vt:lpstr>2 – основные критерии:  минимум требований к МПО/ОМПЭ</vt:lpstr>
      <vt:lpstr>2.1 – ВОЗМОЖНОСТИ ДЛЯ ПРОВЕДЕНИЯ ПОИСКА И ЭКСПЕРТИЗЫ</vt:lpstr>
      <vt:lpstr>2.2 – СИСТЕМА управления качествоМ</vt:lpstr>
      <vt:lpstr>3 – предполагаемый объем ОПЕРАЦИЙ</vt:lpstr>
      <vt:lpstr>4 – ОБОСНОВАНИЕ ЗАЯВления</vt:lpstr>
      <vt:lpstr>5 – государство(а)-ЗАЯВИТЕЛЬ(и)</vt:lpstr>
      <vt:lpstr>6 – характерИСТИКА ПАТЕНТНЫХ ЗАЯВОК</vt:lpstr>
      <vt:lpstr>7 – ТРЕБУЕМАЯ ПОДДЕРЖКА	</vt:lpstr>
      <vt:lpstr>8 – прочее</vt:lpstr>
      <vt:lpstr>9 – оценка другими органами</vt:lpstr>
    </vt:vector>
  </TitlesOfParts>
  <Company>WIPO</Company>
  <LinksUpToDate>false</LinksUpToDate>
  <CharactersWithSpaces>29039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PCT/CTC/30/7</dc:title>
  <dc:subject>Extension of Appointment of the National Institute of Industrial Property of Chile as an International Searching and Preliminary Examining Authority Under the PCT</dc:subject>
  <dc:creator>MARLOW Thomas</dc:creator>
  <cp:lastModifiedBy>MARLOW Thomas</cp:lastModifiedBy>
  <cp:revision>3</cp:revision>
  <cp:lastPrinted>2017-02-28T14:25:00Z</cp:lastPrinted>
  <dcterms:created xsi:type="dcterms:W3CDTF">2017-04-04T16:02:00Z</dcterms:created>
  <dcterms:modified xsi:type="dcterms:W3CDTF">2017-04-04T16:04:00Z</dcterms:modified>
</cp:coreProperties>
</file>