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627F1" w:rsidRPr="0047034D" w:rsidTr="00244145">
        <w:tc>
          <w:tcPr>
            <w:tcW w:w="4513" w:type="dxa"/>
            <w:tcBorders>
              <w:bottom w:val="single" w:sz="4" w:space="0" w:color="auto"/>
            </w:tcBorders>
            <w:tcMar>
              <w:bottom w:w="170" w:type="dxa"/>
            </w:tcMar>
          </w:tcPr>
          <w:p w:rsidR="00244145" w:rsidRPr="0047034D" w:rsidRDefault="00244145" w:rsidP="00244145">
            <w:pPr>
              <w:rPr>
                <w:lang w:val="ru-RU"/>
              </w:rPr>
            </w:pPr>
            <w:bookmarkStart w:id="0" w:name="_GoBack"/>
            <w:bookmarkEnd w:id="0"/>
          </w:p>
        </w:tc>
        <w:tc>
          <w:tcPr>
            <w:tcW w:w="4337" w:type="dxa"/>
            <w:tcBorders>
              <w:bottom w:val="single" w:sz="4" w:space="0" w:color="auto"/>
            </w:tcBorders>
            <w:tcMar>
              <w:left w:w="0" w:type="dxa"/>
              <w:right w:w="0" w:type="dxa"/>
            </w:tcMar>
          </w:tcPr>
          <w:p w:rsidR="00244145" w:rsidRPr="0047034D" w:rsidRDefault="0047034D" w:rsidP="00244145">
            <w:pPr>
              <w:rPr>
                <w:lang w:val="ru-RU"/>
              </w:rPr>
            </w:pPr>
            <w:r w:rsidRPr="0047034D">
              <w:rPr>
                <w:noProof/>
                <w:color w:val="000000" w:themeColor="text1"/>
                <w:lang w:eastAsia="en-US"/>
              </w:rPr>
              <w:drawing>
                <wp:inline distT="0" distB="0" distL="0" distR="0" wp14:anchorId="046839A8" wp14:editId="2D788313">
                  <wp:extent cx="1809750" cy="1343025"/>
                  <wp:effectExtent l="0" t="0" r="0" b="9525"/>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244145" w:rsidRPr="0047034D" w:rsidRDefault="00244145" w:rsidP="00244145">
            <w:pPr>
              <w:jc w:val="right"/>
              <w:rPr>
                <w:lang w:val="ru-RU"/>
              </w:rPr>
            </w:pPr>
            <w:r w:rsidRPr="0047034D">
              <w:rPr>
                <w:b/>
                <w:bCs/>
                <w:sz w:val="40"/>
                <w:szCs w:val="40"/>
                <w:lang w:val="ru-RU"/>
              </w:rPr>
              <w:t>R</w:t>
            </w:r>
          </w:p>
        </w:tc>
      </w:tr>
      <w:tr w:rsidR="002627F1" w:rsidRPr="0047034D" w:rsidTr="00244145">
        <w:trPr>
          <w:trHeight w:hRule="exact" w:val="357"/>
        </w:trPr>
        <w:tc>
          <w:tcPr>
            <w:tcW w:w="9356" w:type="dxa"/>
            <w:gridSpan w:val="3"/>
            <w:tcBorders>
              <w:top w:val="single" w:sz="4" w:space="0" w:color="auto"/>
            </w:tcBorders>
            <w:tcMar>
              <w:top w:w="170" w:type="dxa"/>
              <w:left w:w="0" w:type="dxa"/>
              <w:right w:w="0" w:type="dxa"/>
            </w:tcMar>
            <w:vAlign w:val="bottom"/>
          </w:tcPr>
          <w:p w:rsidR="00244145" w:rsidRPr="0047034D" w:rsidRDefault="00244145" w:rsidP="00244145">
            <w:pPr>
              <w:jc w:val="right"/>
              <w:rPr>
                <w:rFonts w:ascii="Arial Black" w:hAnsi="Arial Black"/>
                <w:caps/>
                <w:sz w:val="15"/>
                <w:lang w:val="ru-RU"/>
              </w:rPr>
            </w:pPr>
            <w:r w:rsidRPr="0047034D">
              <w:rPr>
                <w:rFonts w:ascii="Arial Black" w:hAnsi="Arial Black"/>
                <w:caps/>
                <w:sz w:val="15"/>
                <w:lang w:val="ru-RU"/>
              </w:rPr>
              <w:t>PCT/CTC/30/4</w:t>
            </w:r>
          </w:p>
        </w:tc>
      </w:tr>
      <w:tr w:rsidR="002627F1" w:rsidRPr="0047034D" w:rsidTr="00244145">
        <w:trPr>
          <w:trHeight w:hRule="exact" w:val="170"/>
        </w:trPr>
        <w:tc>
          <w:tcPr>
            <w:tcW w:w="9356" w:type="dxa"/>
            <w:gridSpan w:val="3"/>
            <w:noWrap/>
            <w:tcMar>
              <w:left w:w="0" w:type="dxa"/>
              <w:right w:w="0" w:type="dxa"/>
            </w:tcMar>
            <w:vAlign w:val="bottom"/>
          </w:tcPr>
          <w:p w:rsidR="00244145" w:rsidRPr="0047034D" w:rsidRDefault="00244145" w:rsidP="00244145">
            <w:pPr>
              <w:jc w:val="right"/>
              <w:rPr>
                <w:rFonts w:ascii="Arial Black" w:hAnsi="Arial Black"/>
                <w:caps/>
                <w:sz w:val="15"/>
                <w:lang w:val="ru-RU"/>
              </w:rPr>
            </w:pPr>
            <w:r w:rsidRPr="0047034D">
              <w:rPr>
                <w:rFonts w:ascii="Arial Black" w:hAnsi="Arial Black"/>
                <w:caps/>
                <w:sz w:val="15"/>
                <w:lang w:val="ru-RU"/>
              </w:rPr>
              <w:t xml:space="preserve">ОРИГИНАЛ: </w:t>
            </w:r>
            <w:bookmarkStart w:id="1" w:name="Original"/>
            <w:bookmarkEnd w:id="1"/>
            <w:r w:rsidRPr="0047034D">
              <w:rPr>
                <w:rFonts w:ascii="Arial Black" w:hAnsi="Arial Black"/>
                <w:caps/>
                <w:sz w:val="15"/>
                <w:lang w:val="ru-RU"/>
              </w:rPr>
              <w:t>английский</w:t>
            </w:r>
          </w:p>
        </w:tc>
      </w:tr>
      <w:tr w:rsidR="002627F1" w:rsidRPr="0047034D" w:rsidTr="00244145">
        <w:trPr>
          <w:trHeight w:hRule="exact" w:val="198"/>
        </w:trPr>
        <w:tc>
          <w:tcPr>
            <w:tcW w:w="9356" w:type="dxa"/>
            <w:gridSpan w:val="3"/>
            <w:tcMar>
              <w:left w:w="0" w:type="dxa"/>
              <w:right w:w="0" w:type="dxa"/>
            </w:tcMar>
            <w:vAlign w:val="bottom"/>
          </w:tcPr>
          <w:p w:rsidR="00244145" w:rsidRPr="0047034D" w:rsidRDefault="00244145" w:rsidP="00244145">
            <w:pPr>
              <w:jc w:val="right"/>
              <w:rPr>
                <w:rFonts w:ascii="Arial Black" w:hAnsi="Arial Black"/>
                <w:caps/>
                <w:sz w:val="15"/>
                <w:lang w:val="ru-RU"/>
              </w:rPr>
            </w:pPr>
            <w:r w:rsidRPr="0047034D">
              <w:rPr>
                <w:rFonts w:ascii="Arial Black" w:hAnsi="Arial Black"/>
                <w:caps/>
                <w:sz w:val="15"/>
                <w:lang w:val="ru-RU"/>
              </w:rPr>
              <w:t xml:space="preserve">ДАТА: </w:t>
            </w:r>
            <w:bookmarkStart w:id="2" w:name="Date"/>
            <w:bookmarkEnd w:id="2"/>
            <w:r w:rsidRPr="0047034D">
              <w:rPr>
                <w:rFonts w:ascii="Arial Black" w:hAnsi="Arial Black"/>
                <w:caps/>
                <w:sz w:val="15"/>
                <w:lang w:val="ru-RU"/>
              </w:rPr>
              <w:t>16 марта 2017 г.</w:t>
            </w:r>
          </w:p>
        </w:tc>
      </w:tr>
    </w:tbl>
    <w:p w:rsidR="00244145" w:rsidRPr="0047034D" w:rsidRDefault="00244145" w:rsidP="00244145">
      <w:pPr>
        <w:rPr>
          <w:lang w:val="ru-RU"/>
        </w:rPr>
      </w:pPr>
    </w:p>
    <w:p w:rsidR="00244145" w:rsidRPr="0047034D" w:rsidRDefault="00244145" w:rsidP="00244145">
      <w:pPr>
        <w:rPr>
          <w:lang w:val="ru-RU"/>
        </w:rPr>
      </w:pPr>
    </w:p>
    <w:p w:rsidR="00244145" w:rsidRPr="0047034D" w:rsidRDefault="00244145" w:rsidP="00244145">
      <w:pPr>
        <w:rPr>
          <w:lang w:val="ru-RU"/>
        </w:rPr>
      </w:pPr>
    </w:p>
    <w:p w:rsidR="00244145" w:rsidRPr="0047034D" w:rsidRDefault="00244145" w:rsidP="00244145">
      <w:pPr>
        <w:rPr>
          <w:lang w:val="ru-RU"/>
        </w:rPr>
      </w:pPr>
    </w:p>
    <w:p w:rsidR="00244145" w:rsidRPr="0047034D" w:rsidRDefault="00244145" w:rsidP="00244145">
      <w:pPr>
        <w:rPr>
          <w:lang w:val="ru-RU"/>
        </w:rPr>
      </w:pPr>
    </w:p>
    <w:p w:rsidR="00244145" w:rsidRPr="0047034D" w:rsidRDefault="00244145" w:rsidP="00244145">
      <w:pPr>
        <w:rPr>
          <w:b/>
          <w:sz w:val="28"/>
          <w:szCs w:val="28"/>
          <w:lang w:val="ru-RU"/>
        </w:rPr>
      </w:pPr>
      <w:r w:rsidRPr="0047034D">
        <w:rPr>
          <w:b/>
          <w:bCs/>
          <w:sz w:val="28"/>
          <w:szCs w:val="28"/>
          <w:lang w:val="ru-RU"/>
        </w:rPr>
        <w:t>Договор о патентной кооперации (PCT)</w:t>
      </w:r>
    </w:p>
    <w:p w:rsidR="00244145" w:rsidRPr="0047034D" w:rsidRDefault="00244145" w:rsidP="00244145">
      <w:pPr>
        <w:rPr>
          <w:b/>
          <w:sz w:val="28"/>
          <w:szCs w:val="28"/>
          <w:lang w:val="ru-RU"/>
        </w:rPr>
      </w:pPr>
      <w:r w:rsidRPr="0047034D">
        <w:rPr>
          <w:b/>
          <w:bCs/>
          <w:sz w:val="28"/>
          <w:szCs w:val="28"/>
          <w:lang w:val="ru-RU"/>
        </w:rPr>
        <w:t>Комитет по техническому сотрудничеству</w:t>
      </w:r>
    </w:p>
    <w:p w:rsidR="00244145" w:rsidRPr="0047034D" w:rsidRDefault="00244145" w:rsidP="00244145">
      <w:pPr>
        <w:rPr>
          <w:lang w:val="ru-RU"/>
        </w:rPr>
      </w:pPr>
    </w:p>
    <w:p w:rsidR="00244145" w:rsidRPr="0047034D" w:rsidRDefault="00244145" w:rsidP="00244145">
      <w:pPr>
        <w:rPr>
          <w:lang w:val="ru-RU"/>
        </w:rPr>
      </w:pPr>
    </w:p>
    <w:p w:rsidR="00244145" w:rsidRPr="0047034D" w:rsidRDefault="00244145" w:rsidP="00244145">
      <w:pPr>
        <w:rPr>
          <w:b/>
          <w:sz w:val="24"/>
          <w:szCs w:val="24"/>
          <w:lang w:val="ru-RU"/>
        </w:rPr>
      </w:pPr>
      <w:r w:rsidRPr="0047034D">
        <w:rPr>
          <w:b/>
          <w:bCs/>
          <w:sz w:val="24"/>
          <w:szCs w:val="24"/>
          <w:lang w:val="ru-RU"/>
        </w:rPr>
        <w:t>Тридцатая сессия</w:t>
      </w:r>
    </w:p>
    <w:p w:rsidR="00244145" w:rsidRPr="0047034D" w:rsidRDefault="00244145" w:rsidP="00244145">
      <w:pPr>
        <w:rPr>
          <w:b/>
          <w:sz w:val="24"/>
          <w:szCs w:val="24"/>
          <w:lang w:val="ru-RU"/>
        </w:rPr>
      </w:pPr>
      <w:r w:rsidRPr="0047034D">
        <w:rPr>
          <w:b/>
          <w:bCs/>
          <w:sz w:val="24"/>
          <w:szCs w:val="24"/>
          <w:lang w:val="ru-RU"/>
        </w:rPr>
        <w:t>Женева, 8–12 мая 2017 г.</w:t>
      </w:r>
    </w:p>
    <w:p w:rsidR="00244145" w:rsidRPr="0047034D" w:rsidRDefault="00244145" w:rsidP="00244145">
      <w:pPr>
        <w:rPr>
          <w:lang w:val="ru-RU"/>
        </w:rPr>
      </w:pPr>
    </w:p>
    <w:p w:rsidR="00244145" w:rsidRPr="0047034D" w:rsidRDefault="00244145" w:rsidP="00244145">
      <w:pPr>
        <w:rPr>
          <w:lang w:val="ru-RU"/>
        </w:rPr>
      </w:pPr>
    </w:p>
    <w:p w:rsidR="00244145" w:rsidRPr="0047034D" w:rsidRDefault="00244145" w:rsidP="00244145">
      <w:pPr>
        <w:rPr>
          <w:lang w:val="ru-RU"/>
        </w:rPr>
      </w:pPr>
    </w:p>
    <w:p w:rsidR="00244145" w:rsidRPr="0047034D" w:rsidRDefault="00244145" w:rsidP="00244145">
      <w:pPr>
        <w:rPr>
          <w:caps/>
          <w:sz w:val="24"/>
          <w:lang w:val="ru-RU"/>
        </w:rPr>
      </w:pPr>
      <w:bookmarkStart w:id="3" w:name="TitleOfDoc"/>
      <w:bookmarkEnd w:id="3"/>
      <w:r w:rsidRPr="0047034D">
        <w:rPr>
          <w:caps/>
          <w:sz w:val="24"/>
          <w:lang w:val="ru-RU"/>
        </w:rPr>
        <w:t>Продление назначения Австралийского патентного ведомства в качестве Международного поискового органа и Органа международной предварительной экспертизы в рамках PCT</w:t>
      </w:r>
    </w:p>
    <w:p w:rsidR="00244145" w:rsidRPr="0047034D" w:rsidRDefault="00244145" w:rsidP="00244145">
      <w:pPr>
        <w:rPr>
          <w:lang w:val="ru-RU"/>
        </w:rPr>
      </w:pPr>
    </w:p>
    <w:p w:rsidR="00244145" w:rsidRPr="0047034D" w:rsidRDefault="00244145" w:rsidP="00244145">
      <w:pPr>
        <w:rPr>
          <w:i/>
          <w:lang w:val="ru-RU"/>
        </w:rPr>
      </w:pPr>
      <w:bookmarkStart w:id="4" w:name="Prepared"/>
      <w:bookmarkEnd w:id="4"/>
      <w:r w:rsidRPr="0047034D">
        <w:rPr>
          <w:i/>
          <w:iCs/>
          <w:lang w:val="ru-RU"/>
        </w:rPr>
        <w:t>Документ подготовлен Международным бюро</w:t>
      </w:r>
    </w:p>
    <w:p w:rsidR="00244145" w:rsidRPr="0047034D" w:rsidRDefault="00244145">
      <w:pPr>
        <w:rPr>
          <w:lang w:val="ru-RU"/>
        </w:rPr>
      </w:pPr>
    </w:p>
    <w:p w:rsidR="00244145" w:rsidRPr="0047034D" w:rsidRDefault="00244145">
      <w:pPr>
        <w:rPr>
          <w:lang w:val="ru-RU"/>
        </w:rPr>
      </w:pPr>
    </w:p>
    <w:p w:rsidR="00244145" w:rsidRPr="0047034D" w:rsidRDefault="00244145">
      <w:pPr>
        <w:rPr>
          <w:lang w:val="ru-RU"/>
        </w:rPr>
      </w:pPr>
    </w:p>
    <w:p w:rsidR="00244145" w:rsidRPr="0047034D" w:rsidRDefault="00244145" w:rsidP="00244145">
      <w:pPr>
        <w:rPr>
          <w:lang w:val="ru-RU"/>
        </w:rPr>
      </w:pPr>
    </w:p>
    <w:p w:rsidR="00244145" w:rsidRPr="0047034D" w:rsidRDefault="00244145" w:rsidP="00244145">
      <w:pPr>
        <w:pStyle w:val="ONUME"/>
        <w:rPr>
          <w:lang w:val="ru-RU"/>
        </w:rPr>
      </w:pPr>
      <w:bookmarkStart w:id="5" w:name="_Ref447032909"/>
      <w:r w:rsidRPr="0047034D">
        <w:rPr>
          <w:lang w:val="ru-RU"/>
        </w:rPr>
        <w:t>Все действующие международные органы были назначены Ассамблеей PCT на срок, заканчивающийся 31 декабря 2017 г.  Как следствие, в 2017 г. Ассамблея должна будет принять решение о продлении назначения каждого из действующих международных органов, который пожелает получить продление срока своего назначения, и для этого предварительно запросить мнение Комитета (см. статьи PCT 16(3)(e) и 32(3)).</w:t>
      </w:r>
      <w:bookmarkEnd w:id="5"/>
      <w:r w:rsidRPr="0047034D">
        <w:rPr>
          <w:lang w:val="ru-RU"/>
        </w:rPr>
        <w:t xml:space="preserve">  Информация о данной процедуре и роли Комитета приводится в документе PCT/CTC/30/INF/1.</w:t>
      </w:r>
    </w:p>
    <w:p w:rsidR="00244145" w:rsidRPr="0047034D" w:rsidRDefault="00244145" w:rsidP="00244145">
      <w:pPr>
        <w:pStyle w:val="ONUME"/>
        <w:rPr>
          <w:lang w:val="ru-RU"/>
        </w:rPr>
      </w:pPr>
      <w:r w:rsidRPr="0047034D">
        <w:rPr>
          <w:lang w:val="ru-RU"/>
        </w:rPr>
        <w:t>7 марта 2017 г. Австралийское патентное ведомство подало заявление о продлении своего назначения в качестве Международного поискового органа и Органа международной предварительной экспертизы в рамках PCT.  Это заявление приведено в приложении к настоящему документу.</w:t>
      </w:r>
    </w:p>
    <w:p w:rsidR="00244145" w:rsidRPr="0047034D" w:rsidRDefault="00244145" w:rsidP="00244145">
      <w:pPr>
        <w:pStyle w:val="ONUME"/>
        <w:tabs>
          <w:tab w:val="left" w:pos="6096"/>
        </w:tabs>
        <w:ind w:left="5533"/>
        <w:rPr>
          <w:i/>
          <w:lang w:val="ru-RU"/>
        </w:rPr>
      </w:pPr>
      <w:r w:rsidRPr="0047034D">
        <w:rPr>
          <w:i/>
          <w:iCs/>
          <w:lang w:val="ru-RU"/>
        </w:rPr>
        <w:t>Комитету предлагается высказать свое мнение по данному вопросу.</w:t>
      </w:r>
    </w:p>
    <w:p w:rsidR="00244145" w:rsidRPr="0047034D" w:rsidRDefault="00244145" w:rsidP="00244145">
      <w:pPr>
        <w:pStyle w:val="ONUME"/>
        <w:numPr>
          <w:ilvl w:val="0"/>
          <w:numId w:val="0"/>
        </w:numPr>
        <w:rPr>
          <w:lang w:val="ru-RU"/>
        </w:rPr>
      </w:pPr>
    </w:p>
    <w:p w:rsidR="00244145" w:rsidRPr="0047034D" w:rsidRDefault="00244145" w:rsidP="00244145">
      <w:pPr>
        <w:pStyle w:val="ONUME"/>
        <w:numPr>
          <w:ilvl w:val="0"/>
          <w:numId w:val="0"/>
        </w:numPr>
        <w:ind w:left="5533"/>
        <w:rPr>
          <w:lang w:val="ru-RU"/>
        </w:rPr>
        <w:sectPr w:rsidR="00244145" w:rsidRPr="0047034D" w:rsidSect="00244145">
          <w:headerReference w:type="default" r:id="rId10"/>
          <w:pgSz w:w="11907" w:h="16840" w:code="9"/>
          <w:pgMar w:top="567" w:right="1134" w:bottom="1418" w:left="1418" w:header="510" w:footer="1021" w:gutter="0"/>
          <w:cols w:space="720"/>
          <w:titlePg/>
          <w:docGrid w:linePitch="299"/>
        </w:sectPr>
      </w:pPr>
      <w:r w:rsidRPr="0047034D">
        <w:rPr>
          <w:lang w:val="ru-RU"/>
        </w:rPr>
        <w:t>[Приложение следует]</w:t>
      </w:r>
    </w:p>
    <w:p w:rsidR="00244145" w:rsidRPr="0047034D" w:rsidRDefault="00244145" w:rsidP="00244145">
      <w:pPr>
        <w:pStyle w:val="ONUME"/>
        <w:numPr>
          <w:ilvl w:val="0"/>
          <w:numId w:val="0"/>
        </w:numPr>
        <w:jc w:val="center"/>
        <w:rPr>
          <w:caps/>
          <w:lang w:val="ru-RU"/>
        </w:rPr>
      </w:pPr>
      <w:r w:rsidRPr="0047034D">
        <w:rPr>
          <w:caps/>
          <w:lang w:val="ru-RU"/>
        </w:rPr>
        <w:lastRenderedPageBreak/>
        <w:t>Заявление Австралийского патентного ведомства о продлении его назначения в качестве Международного поискового органа и Органа международной предварительной экспертизы в рамках PCT</w:t>
      </w:r>
    </w:p>
    <w:p w:rsidR="00244145" w:rsidRPr="0047034D" w:rsidRDefault="00244145" w:rsidP="00244145">
      <w:pPr>
        <w:pStyle w:val="ONUME"/>
        <w:numPr>
          <w:ilvl w:val="0"/>
          <w:numId w:val="0"/>
        </w:numPr>
        <w:rPr>
          <w:lang w:val="ru-RU"/>
        </w:rPr>
      </w:pPr>
    </w:p>
    <w:p w:rsidR="00244145" w:rsidRPr="0047034D" w:rsidRDefault="00244145" w:rsidP="00244145">
      <w:pPr>
        <w:rPr>
          <w:szCs w:val="22"/>
          <w:lang w:val="ru-RU"/>
        </w:rPr>
      </w:pPr>
    </w:p>
    <w:p w:rsidR="00244145" w:rsidRPr="0047034D" w:rsidRDefault="00244145" w:rsidP="00244145">
      <w:pPr>
        <w:pStyle w:val="SectionHeading"/>
        <w:jc w:val="both"/>
        <w:rPr>
          <w:lang w:val="ru-RU"/>
        </w:rPr>
      </w:pPr>
      <w:r w:rsidRPr="0047034D">
        <w:rPr>
          <w:lang w:val="ru-RU"/>
        </w:rPr>
        <w:t>1 – Общие сведения</w:t>
      </w:r>
    </w:p>
    <w:p w:rsidR="00244145" w:rsidRPr="0047034D" w:rsidRDefault="00244145" w:rsidP="00244145">
      <w:pPr>
        <w:pStyle w:val="ListParagraph"/>
        <w:numPr>
          <w:ilvl w:val="0"/>
          <w:numId w:val="7"/>
        </w:numPr>
        <w:ind w:left="360"/>
        <w:rPr>
          <w:b/>
          <w:szCs w:val="22"/>
          <w:lang w:val="ru-RU"/>
        </w:rPr>
      </w:pPr>
      <w:r w:rsidRPr="0047034D">
        <w:rPr>
          <w:b/>
          <w:bCs/>
          <w:szCs w:val="22"/>
          <w:lang w:val="ru-RU"/>
        </w:rPr>
        <w:t xml:space="preserve">Наименование национального ведомства: </w:t>
      </w:r>
    </w:p>
    <w:p w:rsidR="00244145" w:rsidRPr="0047034D" w:rsidRDefault="00244145" w:rsidP="00244145">
      <w:pPr>
        <w:pStyle w:val="ListParagraph"/>
        <w:ind w:left="360"/>
        <w:rPr>
          <w:szCs w:val="22"/>
          <w:lang w:val="ru-RU"/>
        </w:rPr>
      </w:pPr>
      <w:r w:rsidRPr="0047034D">
        <w:rPr>
          <w:szCs w:val="22"/>
          <w:lang w:val="ru-RU"/>
        </w:rPr>
        <w:t xml:space="preserve">Австралийское патентное ведомство (входит в структуру государственного агентства </w:t>
      </w:r>
      <w:r w:rsidRPr="0047034D">
        <w:rPr>
          <w:szCs w:val="22"/>
          <w:lang w:val="en-GB"/>
        </w:rPr>
        <w:t>IP Australia</w:t>
      </w:r>
      <w:r w:rsidRPr="0047034D">
        <w:rPr>
          <w:szCs w:val="22"/>
          <w:lang w:val="ru-RU"/>
        </w:rPr>
        <w:t>).</w:t>
      </w:r>
    </w:p>
    <w:p w:rsidR="00244145" w:rsidRPr="0047034D" w:rsidRDefault="00244145" w:rsidP="00244145">
      <w:pPr>
        <w:pStyle w:val="ListParagraph"/>
        <w:ind w:left="360"/>
        <w:rPr>
          <w:b/>
          <w:szCs w:val="22"/>
          <w:lang w:val="ru-RU"/>
        </w:rPr>
      </w:pPr>
    </w:p>
    <w:p w:rsidR="00244145" w:rsidRPr="0047034D" w:rsidRDefault="00244145" w:rsidP="00244145">
      <w:pPr>
        <w:pStyle w:val="ListParagraph"/>
        <w:numPr>
          <w:ilvl w:val="0"/>
          <w:numId w:val="7"/>
        </w:numPr>
        <w:ind w:left="360"/>
        <w:rPr>
          <w:b/>
          <w:bCs/>
          <w:szCs w:val="22"/>
          <w:lang w:val="ru-RU"/>
        </w:rPr>
      </w:pPr>
      <w:r w:rsidRPr="0047034D">
        <w:rPr>
          <w:b/>
          <w:bCs/>
          <w:szCs w:val="22"/>
          <w:lang w:val="ru-RU"/>
        </w:rPr>
        <w:t xml:space="preserve">Контактная информация составителей настоящего отчета: </w:t>
      </w:r>
    </w:p>
    <w:p w:rsidR="00244145" w:rsidRPr="0047034D" w:rsidRDefault="00244145" w:rsidP="00244145">
      <w:pPr>
        <w:pStyle w:val="ListParagraph"/>
        <w:ind w:left="360"/>
        <w:rPr>
          <w:lang w:val="ru-RU"/>
        </w:rPr>
      </w:pPr>
    </w:p>
    <w:p w:rsidR="00244145" w:rsidRPr="0047034D" w:rsidRDefault="00244145" w:rsidP="00244145">
      <w:pPr>
        <w:pStyle w:val="ListParagraph"/>
        <w:ind w:left="360"/>
        <w:rPr>
          <w:lang w:val="ru-RU"/>
        </w:rPr>
      </w:pPr>
      <w:r w:rsidRPr="0047034D">
        <w:rPr>
          <w:lang w:val="ru-RU"/>
        </w:rPr>
        <w:t>Мартин Девлин, специалист по выработке политики Отдела международной политики и сотрудничества</w:t>
      </w:r>
    </w:p>
    <w:p w:rsidR="00244145" w:rsidRPr="0047034D" w:rsidRDefault="00244145" w:rsidP="00244145">
      <w:pPr>
        <w:pStyle w:val="ListParagraph"/>
        <w:ind w:left="360"/>
        <w:rPr>
          <w:lang w:val="ru-RU"/>
        </w:rPr>
      </w:pPr>
      <w:r w:rsidRPr="0047034D">
        <w:rPr>
          <w:lang w:val="ru-RU"/>
        </w:rPr>
        <w:t xml:space="preserve">Группа политики и управления, </w:t>
      </w:r>
      <w:r w:rsidRPr="0047034D">
        <w:rPr>
          <w:lang w:val="en-GB"/>
        </w:rPr>
        <w:t>IP Australia</w:t>
      </w:r>
    </w:p>
    <w:p w:rsidR="00244145" w:rsidRPr="0047034D" w:rsidRDefault="002A2FCA" w:rsidP="00244145">
      <w:pPr>
        <w:pStyle w:val="ListParagraph"/>
        <w:ind w:left="360"/>
        <w:rPr>
          <w:lang w:val="ru-RU"/>
        </w:rPr>
      </w:pPr>
      <w:hyperlink r:id="rId11" w:history="1">
        <w:r w:rsidR="00244145" w:rsidRPr="0047034D">
          <w:rPr>
            <w:rStyle w:val="Hyperlink"/>
            <w:lang w:val="ru-RU"/>
          </w:rPr>
          <w:t>martin.devlin@ipaustralia.gov.au</w:t>
        </w:r>
      </w:hyperlink>
      <w:r w:rsidR="00244145" w:rsidRPr="0047034D">
        <w:rPr>
          <w:lang w:val="ru-RU"/>
        </w:rPr>
        <w:t>, +613 99359697</w:t>
      </w:r>
    </w:p>
    <w:p w:rsidR="00244145" w:rsidRPr="0047034D" w:rsidRDefault="00244145" w:rsidP="00244145">
      <w:pPr>
        <w:pStyle w:val="ListParagraph"/>
        <w:ind w:left="360"/>
        <w:rPr>
          <w:b/>
          <w:bCs/>
          <w:szCs w:val="22"/>
          <w:lang w:val="ru-RU"/>
        </w:rPr>
      </w:pPr>
    </w:p>
    <w:p w:rsidR="00244145" w:rsidRPr="0047034D" w:rsidRDefault="00244145" w:rsidP="00244145">
      <w:pPr>
        <w:pStyle w:val="ListParagraph"/>
        <w:numPr>
          <w:ilvl w:val="0"/>
          <w:numId w:val="7"/>
        </w:numPr>
        <w:ind w:left="360"/>
        <w:rPr>
          <w:b/>
          <w:bCs/>
          <w:szCs w:val="22"/>
          <w:lang w:val="ru-RU"/>
        </w:rPr>
      </w:pPr>
      <w:r w:rsidRPr="0047034D">
        <w:rPr>
          <w:b/>
          <w:bCs/>
          <w:szCs w:val="22"/>
          <w:lang w:val="ru-RU"/>
        </w:rPr>
        <w:t>Дата получения заявления Генеральным директором:</w:t>
      </w:r>
      <w:r w:rsidRPr="0047034D">
        <w:rPr>
          <w:szCs w:val="22"/>
          <w:lang w:val="ru-RU"/>
        </w:rPr>
        <w:t xml:space="preserve">  7 марта 2017 г.</w:t>
      </w:r>
    </w:p>
    <w:p w:rsidR="00244145" w:rsidRPr="0047034D" w:rsidRDefault="00244145" w:rsidP="00244145">
      <w:pPr>
        <w:pStyle w:val="ListParagraph"/>
        <w:ind w:left="360"/>
        <w:rPr>
          <w:b/>
          <w:bCs/>
          <w:szCs w:val="22"/>
          <w:lang w:val="ru-RU"/>
        </w:rPr>
      </w:pPr>
    </w:p>
    <w:p w:rsidR="00244145" w:rsidRPr="0047034D" w:rsidRDefault="00244145" w:rsidP="00244145">
      <w:pPr>
        <w:pStyle w:val="ListParagraph"/>
        <w:numPr>
          <w:ilvl w:val="0"/>
          <w:numId w:val="7"/>
        </w:numPr>
        <w:ind w:left="360"/>
        <w:rPr>
          <w:b/>
          <w:bCs/>
          <w:szCs w:val="22"/>
          <w:lang w:val="ru-RU"/>
        </w:rPr>
      </w:pPr>
      <w:r w:rsidRPr="0047034D">
        <w:rPr>
          <w:b/>
          <w:bCs/>
          <w:szCs w:val="22"/>
          <w:lang w:val="ru-RU"/>
        </w:rPr>
        <w:t>Сессия Ассамблеи, на которой будет рассмотрен вопрос о повторном назначении:</w:t>
      </w:r>
      <w:r w:rsidRPr="0047034D">
        <w:rPr>
          <w:bCs/>
          <w:szCs w:val="22"/>
          <w:lang w:val="ru-RU"/>
        </w:rPr>
        <w:t xml:space="preserve">  Сорок девятая (21-я очередная) сессия Ассамблеи Союза РСТ (2017 г.).</w:t>
      </w:r>
    </w:p>
    <w:p w:rsidR="00244145" w:rsidRPr="0047034D" w:rsidRDefault="00244145" w:rsidP="00244145">
      <w:pPr>
        <w:pStyle w:val="ListParagraph"/>
        <w:ind w:left="360"/>
        <w:rPr>
          <w:b/>
          <w:bCs/>
          <w:szCs w:val="22"/>
          <w:lang w:val="ru-RU"/>
        </w:rPr>
      </w:pPr>
    </w:p>
    <w:p w:rsidR="00244145" w:rsidRPr="0047034D" w:rsidRDefault="00244145" w:rsidP="00244145">
      <w:pPr>
        <w:pStyle w:val="ListParagraph"/>
        <w:numPr>
          <w:ilvl w:val="0"/>
          <w:numId w:val="7"/>
        </w:numPr>
        <w:ind w:left="360"/>
        <w:rPr>
          <w:b/>
          <w:bCs/>
          <w:szCs w:val="22"/>
          <w:lang w:val="ru-RU"/>
        </w:rPr>
      </w:pPr>
      <w:r w:rsidRPr="0047034D">
        <w:rPr>
          <w:b/>
          <w:bCs/>
          <w:szCs w:val="22"/>
          <w:lang w:val="ru-RU"/>
        </w:rPr>
        <w:t>Ожидаемая дата повторного назначения в качестве МПО/ОМПЭ:</w:t>
      </w:r>
      <w:r w:rsidRPr="0047034D">
        <w:rPr>
          <w:bCs/>
          <w:szCs w:val="22"/>
          <w:lang w:val="ru-RU"/>
        </w:rPr>
        <w:t xml:space="preserve">  1 января 2018 г.</w:t>
      </w:r>
      <w:r w:rsidRPr="0047034D">
        <w:rPr>
          <w:rStyle w:val="FootnoteReference"/>
          <w:szCs w:val="22"/>
          <w:lang w:val="ru-RU"/>
        </w:rPr>
        <w:footnoteReference w:id="1"/>
      </w:r>
    </w:p>
    <w:p w:rsidR="00244145" w:rsidRPr="0047034D" w:rsidRDefault="00244145" w:rsidP="00244145">
      <w:pPr>
        <w:pStyle w:val="ListParagraph"/>
        <w:ind w:left="360"/>
        <w:rPr>
          <w:b/>
          <w:bCs/>
          <w:szCs w:val="22"/>
          <w:lang w:val="ru-RU"/>
        </w:rPr>
      </w:pPr>
    </w:p>
    <w:p w:rsidR="00244145" w:rsidRPr="0047034D" w:rsidRDefault="00244145" w:rsidP="00244145">
      <w:pPr>
        <w:pStyle w:val="ListParagraph"/>
        <w:numPr>
          <w:ilvl w:val="0"/>
          <w:numId w:val="7"/>
        </w:numPr>
        <w:ind w:left="360"/>
        <w:rPr>
          <w:b/>
          <w:bCs/>
          <w:szCs w:val="22"/>
          <w:lang w:val="ru-RU"/>
        </w:rPr>
      </w:pPr>
      <w:r w:rsidRPr="0047034D">
        <w:rPr>
          <w:b/>
          <w:bCs/>
          <w:szCs w:val="22"/>
          <w:lang w:val="ru-RU"/>
        </w:rPr>
        <w:t>Действующие МПО/ОМПЭ, помогающие в оценке соответствия критериям:</w:t>
      </w:r>
      <w:r w:rsidRPr="0047034D">
        <w:rPr>
          <w:bCs/>
          <w:szCs w:val="22"/>
          <w:lang w:val="ru-RU"/>
        </w:rPr>
        <w:t xml:space="preserve">  </w:t>
      </w:r>
    </w:p>
    <w:p w:rsidR="00244145" w:rsidRPr="0047034D" w:rsidRDefault="00244145" w:rsidP="00244145">
      <w:pPr>
        <w:pStyle w:val="ListParagraph"/>
        <w:ind w:left="360"/>
        <w:rPr>
          <w:b/>
          <w:bCs/>
          <w:szCs w:val="22"/>
          <w:lang w:val="ru-RU"/>
        </w:rPr>
      </w:pPr>
    </w:p>
    <w:p w:rsidR="00244145" w:rsidRPr="0047034D" w:rsidRDefault="00244145" w:rsidP="00244145">
      <w:pPr>
        <w:pStyle w:val="ListParagraph"/>
        <w:ind w:left="360"/>
        <w:rPr>
          <w:bCs/>
          <w:szCs w:val="22"/>
          <w:lang w:val="ru-RU"/>
        </w:rPr>
      </w:pPr>
      <w:r w:rsidRPr="0047034D">
        <w:rPr>
          <w:bCs/>
          <w:szCs w:val="22"/>
          <w:lang w:val="ru-RU"/>
        </w:rPr>
        <w:t xml:space="preserve">Австралийское патентное ведомство (APO) просило помощи Канадского ведомства интеллектуальной собственности (CIPO) в оценке его заявки на </w:t>
      </w:r>
      <w:r w:rsidR="00BD02EF">
        <w:rPr>
          <w:bCs/>
          <w:szCs w:val="22"/>
          <w:lang w:val="ru-RU"/>
        </w:rPr>
        <w:t xml:space="preserve">повторное </w:t>
      </w:r>
      <w:r w:rsidRPr="0047034D">
        <w:rPr>
          <w:bCs/>
          <w:szCs w:val="22"/>
          <w:lang w:val="ru-RU"/>
        </w:rPr>
        <w:t xml:space="preserve">назначение в качестве Международного органа (МПО/ОМПЭ) и </w:t>
      </w:r>
      <w:r w:rsidR="00BD02EF">
        <w:rPr>
          <w:bCs/>
          <w:szCs w:val="22"/>
          <w:lang w:val="ru-RU"/>
        </w:rPr>
        <w:t xml:space="preserve">проверке </w:t>
      </w:r>
      <w:r w:rsidRPr="0047034D">
        <w:rPr>
          <w:bCs/>
          <w:szCs w:val="22"/>
          <w:lang w:val="ru-RU"/>
        </w:rPr>
        <w:t>его соответствия требованиям для переназначения.  APO направляло в Международное бюро проект своего заявления для комментариев и учло полученные замечания при доработке настоящего заявления.  Дополнительная информация об оценке другими органами изложена в разделе 8 заявления.</w:t>
      </w:r>
    </w:p>
    <w:p w:rsidR="00244145" w:rsidRPr="0047034D" w:rsidRDefault="00244145" w:rsidP="00244145">
      <w:pPr>
        <w:rPr>
          <w:bCs/>
          <w:szCs w:val="22"/>
          <w:lang w:val="ru-RU"/>
        </w:rPr>
      </w:pPr>
    </w:p>
    <w:p w:rsidR="00244145" w:rsidRPr="0047034D" w:rsidRDefault="00244145" w:rsidP="00244145">
      <w:pPr>
        <w:pStyle w:val="SectionHeading"/>
        <w:rPr>
          <w:lang w:val="ru-RU"/>
        </w:rPr>
      </w:pPr>
      <w:r w:rsidRPr="0047034D">
        <w:rPr>
          <w:lang w:val="ru-RU"/>
        </w:rPr>
        <w:lastRenderedPageBreak/>
        <w:t>2 – Основные критерии:  минимум требований для назначения</w:t>
      </w:r>
    </w:p>
    <w:p w:rsidR="00244145" w:rsidRPr="0047034D" w:rsidRDefault="00244145" w:rsidP="00244145">
      <w:pPr>
        <w:keepNext/>
        <w:rPr>
          <w:sz w:val="16"/>
          <w:szCs w:val="16"/>
          <w:lang w:val="ru-RU"/>
        </w:rPr>
      </w:pPr>
    </w:p>
    <w:p w:rsidR="00244145" w:rsidRPr="0047034D" w:rsidRDefault="00244145" w:rsidP="00244145">
      <w:pPr>
        <w:pStyle w:val="SectionHeading"/>
        <w:spacing w:before="0"/>
        <w:rPr>
          <w:lang w:val="ru-RU"/>
        </w:rPr>
      </w:pPr>
      <w:r w:rsidRPr="0047034D">
        <w:rPr>
          <w:lang w:val="ru-RU"/>
        </w:rPr>
        <w:t>2.1 – ВОЗМОЖНОСТИ ДЛЯ ПРОВЕДЕНИЯ ПОИСКА И ЭКСПЕРТИЗЫ</w:t>
      </w:r>
    </w:p>
    <w:p w:rsidR="00244145" w:rsidRPr="0047034D" w:rsidRDefault="00244145" w:rsidP="00244145">
      <w:pPr>
        <w:keepNext/>
        <w:keepLines/>
        <w:rPr>
          <w:b/>
          <w:i/>
          <w:lang w:val="ru-RU"/>
        </w:rPr>
      </w:pPr>
      <w:r w:rsidRPr="0047034D">
        <w:rPr>
          <w:b/>
          <w:bCs/>
          <w:i/>
          <w:iCs/>
          <w:lang w:val="ru-RU"/>
        </w:rPr>
        <w:t>Правила 36.1(i) и 63.1(i):  Национальное ведомство или межправительственная организация должны иметь по крайней мере 100 сотрудников, занятых полную рабочую неделю и обладающих достаточной технической квалификацией для проведения поиска и экспертизы.</w:t>
      </w:r>
    </w:p>
    <w:p w:rsidR="00244145" w:rsidRPr="0047034D" w:rsidRDefault="00244145" w:rsidP="00244145">
      <w:pPr>
        <w:keepNext/>
        <w:keepLines/>
        <w:rPr>
          <w:b/>
          <w:bCs/>
          <w:szCs w:val="22"/>
          <w:lang w:val="ru-RU"/>
        </w:rPr>
      </w:pPr>
    </w:p>
    <w:p w:rsidR="00244145" w:rsidRPr="0047034D" w:rsidRDefault="00244145" w:rsidP="00244145">
      <w:pPr>
        <w:keepNext/>
        <w:keepLines/>
        <w:rPr>
          <w:b/>
          <w:bCs/>
          <w:szCs w:val="22"/>
          <w:lang w:val="ru-RU"/>
        </w:rPr>
      </w:pPr>
      <w:r w:rsidRPr="0047034D">
        <w:rPr>
          <w:b/>
          <w:bCs/>
          <w:szCs w:val="22"/>
          <w:lang w:val="ru-RU"/>
        </w:rPr>
        <w:t>Количество сотрудников, обладающих квалификацией для проведения поиска и экспертизы:</w:t>
      </w:r>
      <w:r w:rsidRPr="0047034D">
        <w:rPr>
          <w:bCs/>
          <w:szCs w:val="22"/>
          <w:lang w:val="ru-RU"/>
        </w:rPr>
        <w:t xml:space="preserve">  </w:t>
      </w:r>
    </w:p>
    <w:p w:rsidR="00244145" w:rsidRPr="0047034D" w:rsidRDefault="00244145" w:rsidP="00244145">
      <w:pPr>
        <w:rPr>
          <w:i/>
          <w:lang w:val="ru-RU"/>
        </w:rPr>
      </w:pPr>
      <w:r w:rsidRPr="0047034D">
        <w:rPr>
          <w:i/>
          <w:iCs/>
          <w:lang w:val="ru-RU"/>
        </w:rPr>
        <w:t xml:space="preserve">Источник:  Отдел внутренней отчетности </w:t>
      </w:r>
      <w:r w:rsidRPr="0047034D">
        <w:rPr>
          <w:i/>
          <w:iCs/>
          <w:lang w:val="en-GB"/>
        </w:rPr>
        <w:t>IP Australia</w:t>
      </w:r>
      <w:r w:rsidRPr="0047034D">
        <w:rPr>
          <w:i/>
          <w:iCs/>
          <w:lang w:val="ru-RU"/>
        </w:rPr>
        <w:t>.</w:t>
      </w:r>
    </w:p>
    <w:p w:rsidR="00244145" w:rsidRPr="0047034D" w:rsidRDefault="00244145" w:rsidP="00244145">
      <w:pPr>
        <w:keepNext/>
        <w:keepLines/>
        <w:rPr>
          <w:szCs w:val="22"/>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289"/>
        <w:gridCol w:w="2977"/>
      </w:tblGrid>
      <w:tr w:rsidR="002627F1" w:rsidRPr="0047034D" w:rsidTr="00BD02EF">
        <w:trPr>
          <w:cantSplit/>
        </w:trPr>
        <w:tc>
          <w:tcPr>
            <w:tcW w:w="3085" w:type="dxa"/>
            <w:shd w:val="clear" w:color="auto" w:fill="auto"/>
          </w:tcPr>
          <w:p w:rsidR="00244145" w:rsidRPr="0047034D" w:rsidRDefault="00244145" w:rsidP="00244145">
            <w:pPr>
              <w:rPr>
                <w:b/>
                <w:bCs/>
                <w:lang w:val="ru-RU"/>
              </w:rPr>
            </w:pPr>
            <w:r w:rsidRPr="0047034D">
              <w:rPr>
                <w:b/>
                <w:bCs/>
                <w:lang w:val="ru-RU"/>
              </w:rPr>
              <w:t>Область техники</w:t>
            </w:r>
          </w:p>
        </w:tc>
        <w:tc>
          <w:tcPr>
            <w:tcW w:w="3289" w:type="dxa"/>
            <w:shd w:val="clear" w:color="auto" w:fill="auto"/>
          </w:tcPr>
          <w:p w:rsidR="00244145" w:rsidRPr="0047034D" w:rsidRDefault="00244145" w:rsidP="00BD02EF">
            <w:pPr>
              <w:rPr>
                <w:b/>
                <w:bCs/>
                <w:lang w:val="ru-RU"/>
              </w:rPr>
            </w:pPr>
            <w:r w:rsidRPr="0047034D">
              <w:rPr>
                <w:b/>
                <w:bCs/>
                <w:lang w:val="ru-RU"/>
              </w:rPr>
              <w:t>Количество сотрудников (в</w:t>
            </w:r>
            <w:r w:rsidR="00BD02EF">
              <w:rPr>
                <w:b/>
                <w:bCs/>
                <w:lang w:val="ru-RU"/>
              </w:rPr>
              <w:t> </w:t>
            </w:r>
            <w:r w:rsidRPr="0047034D">
              <w:rPr>
                <w:b/>
                <w:bCs/>
                <w:lang w:val="ru-RU"/>
              </w:rPr>
              <w:t>пересчете на полную занятость)</w:t>
            </w:r>
          </w:p>
        </w:tc>
        <w:tc>
          <w:tcPr>
            <w:tcW w:w="2977" w:type="dxa"/>
          </w:tcPr>
          <w:p w:rsidR="00244145" w:rsidRPr="0047034D" w:rsidRDefault="00244145" w:rsidP="00244145">
            <w:pPr>
              <w:rPr>
                <w:b/>
                <w:bCs/>
                <w:lang w:val="ru-RU"/>
              </w:rPr>
            </w:pPr>
            <w:r w:rsidRPr="0047034D">
              <w:rPr>
                <w:b/>
                <w:bCs/>
                <w:lang w:val="ru-RU"/>
              </w:rPr>
              <w:t>Средний опыт работы в должности эксперта (лет)</w:t>
            </w:r>
          </w:p>
        </w:tc>
      </w:tr>
      <w:tr w:rsidR="002627F1" w:rsidRPr="0047034D" w:rsidTr="00BD02EF">
        <w:trPr>
          <w:cantSplit/>
        </w:trPr>
        <w:tc>
          <w:tcPr>
            <w:tcW w:w="3085" w:type="dxa"/>
            <w:shd w:val="clear" w:color="auto" w:fill="auto"/>
          </w:tcPr>
          <w:p w:rsidR="00244145" w:rsidRPr="0047034D" w:rsidRDefault="00244145" w:rsidP="00244145">
            <w:pPr>
              <w:rPr>
                <w:lang w:val="ru-RU"/>
              </w:rPr>
            </w:pPr>
            <w:r w:rsidRPr="0047034D">
              <w:rPr>
                <w:lang w:val="ru-RU"/>
              </w:rPr>
              <w:t>Машиностроение</w:t>
            </w:r>
          </w:p>
        </w:tc>
        <w:tc>
          <w:tcPr>
            <w:tcW w:w="3289" w:type="dxa"/>
            <w:shd w:val="clear" w:color="auto" w:fill="auto"/>
          </w:tcPr>
          <w:p w:rsidR="00244145" w:rsidRPr="0047034D" w:rsidRDefault="00244145" w:rsidP="00244145">
            <w:pPr>
              <w:ind w:right="884"/>
              <w:jc w:val="right"/>
              <w:rPr>
                <w:lang w:val="ru-RU"/>
              </w:rPr>
            </w:pPr>
            <w:r w:rsidRPr="0047034D">
              <w:rPr>
                <w:lang w:val="ru-RU"/>
              </w:rPr>
              <w:t>125,98</w:t>
            </w:r>
          </w:p>
        </w:tc>
        <w:tc>
          <w:tcPr>
            <w:tcW w:w="2977" w:type="dxa"/>
          </w:tcPr>
          <w:p w:rsidR="00244145" w:rsidRPr="0047034D" w:rsidRDefault="00244145" w:rsidP="00244145">
            <w:pPr>
              <w:ind w:right="884"/>
              <w:jc w:val="right"/>
              <w:rPr>
                <w:lang w:val="ru-RU"/>
              </w:rPr>
            </w:pPr>
            <w:r w:rsidRPr="0047034D">
              <w:rPr>
                <w:lang w:val="ru-RU"/>
              </w:rPr>
              <w:t>8,93</w:t>
            </w:r>
          </w:p>
        </w:tc>
      </w:tr>
      <w:tr w:rsidR="002627F1" w:rsidRPr="0047034D" w:rsidTr="00BD02EF">
        <w:trPr>
          <w:cantSplit/>
        </w:trPr>
        <w:tc>
          <w:tcPr>
            <w:tcW w:w="3085" w:type="dxa"/>
            <w:shd w:val="clear" w:color="auto" w:fill="auto"/>
          </w:tcPr>
          <w:p w:rsidR="00244145" w:rsidRPr="0047034D" w:rsidRDefault="00244145" w:rsidP="00244145">
            <w:pPr>
              <w:rPr>
                <w:lang w:val="ru-RU"/>
              </w:rPr>
            </w:pPr>
            <w:r w:rsidRPr="0047034D">
              <w:rPr>
                <w:lang w:val="ru-RU"/>
              </w:rPr>
              <w:t>Электричество/электроника</w:t>
            </w:r>
          </w:p>
        </w:tc>
        <w:tc>
          <w:tcPr>
            <w:tcW w:w="3289" w:type="dxa"/>
            <w:shd w:val="clear" w:color="auto" w:fill="auto"/>
          </w:tcPr>
          <w:p w:rsidR="00244145" w:rsidRPr="0047034D" w:rsidRDefault="00244145" w:rsidP="00244145">
            <w:pPr>
              <w:ind w:right="884"/>
              <w:jc w:val="right"/>
              <w:rPr>
                <w:lang w:val="ru-RU"/>
              </w:rPr>
            </w:pPr>
            <w:r w:rsidRPr="0047034D">
              <w:rPr>
                <w:lang w:val="ru-RU"/>
              </w:rPr>
              <w:t>87,94</w:t>
            </w:r>
          </w:p>
        </w:tc>
        <w:tc>
          <w:tcPr>
            <w:tcW w:w="2977" w:type="dxa"/>
          </w:tcPr>
          <w:p w:rsidR="00244145" w:rsidRPr="0047034D" w:rsidRDefault="00244145" w:rsidP="00244145">
            <w:pPr>
              <w:ind w:right="884"/>
              <w:jc w:val="right"/>
              <w:rPr>
                <w:lang w:val="ru-RU"/>
              </w:rPr>
            </w:pPr>
            <w:r w:rsidRPr="0047034D">
              <w:rPr>
                <w:lang w:val="ru-RU"/>
              </w:rPr>
              <w:t>8,92</w:t>
            </w:r>
          </w:p>
        </w:tc>
      </w:tr>
      <w:tr w:rsidR="002627F1" w:rsidRPr="0047034D" w:rsidTr="00BD02EF">
        <w:trPr>
          <w:cantSplit/>
        </w:trPr>
        <w:tc>
          <w:tcPr>
            <w:tcW w:w="3085" w:type="dxa"/>
            <w:shd w:val="clear" w:color="auto" w:fill="auto"/>
          </w:tcPr>
          <w:p w:rsidR="00244145" w:rsidRPr="0047034D" w:rsidRDefault="00244145" w:rsidP="00244145">
            <w:pPr>
              <w:rPr>
                <w:lang w:val="ru-RU"/>
              </w:rPr>
            </w:pPr>
            <w:r w:rsidRPr="0047034D">
              <w:rPr>
                <w:lang w:val="ru-RU"/>
              </w:rPr>
              <w:t>Химия</w:t>
            </w:r>
          </w:p>
        </w:tc>
        <w:tc>
          <w:tcPr>
            <w:tcW w:w="3289" w:type="dxa"/>
            <w:shd w:val="clear" w:color="auto" w:fill="auto"/>
          </w:tcPr>
          <w:p w:rsidR="00244145" w:rsidRPr="0047034D" w:rsidRDefault="00244145" w:rsidP="00244145">
            <w:pPr>
              <w:ind w:right="884"/>
              <w:jc w:val="right"/>
              <w:rPr>
                <w:lang w:val="ru-RU"/>
              </w:rPr>
            </w:pPr>
            <w:r w:rsidRPr="0047034D">
              <w:rPr>
                <w:lang w:val="ru-RU"/>
              </w:rPr>
              <w:t>93,86</w:t>
            </w:r>
          </w:p>
        </w:tc>
        <w:tc>
          <w:tcPr>
            <w:tcW w:w="2977" w:type="dxa"/>
          </w:tcPr>
          <w:p w:rsidR="00244145" w:rsidRPr="0047034D" w:rsidRDefault="00244145" w:rsidP="00244145">
            <w:pPr>
              <w:ind w:right="884"/>
              <w:jc w:val="right"/>
              <w:rPr>
                <w:lang w:val="ru-RU"/>
              </w:rPr>
            </w:pPr>
            <w:r w:rsidRPr="0047034D">
              <w:rPr>
                <w:lang w:val="ru-RU"/>
              </w:rPr>
              <w:t>9,06</w:t>
            </w:r>
          </w:p>
        </w:tc>
      </w:tr>
      <w:tr w:rsidR="002627F1" w:rsidRPr="0047034D" w:rsidTr="00BD02EF">
        <w:trPr>
          <w:cantSplit/>
        </w:trPr>
        <w:tc>
          <w:tcPr>
            <w:tcW w:w="3085" w:type="dxa"/>
            <w:shd w:val="clear" w:color="auto" w:fill="auto"/>
          </w:tcPr>
          <w:p w:rsidR="00244145" w:rsidRPr="0047034D" w:rsidRDefault="00244145" w:rsidP="00244145">
            <w:pPr>
              <w:rPr>
                <w:i/>
                <w:iCs/>
                <w:lang w:val="ru-RU"/>
              </w:rPr>
            </w:pPr>
            <w:r w:rsidRPr="0047034D">
              <w:rPr>
                <w:i/>
                <w:iCs/>
                <w:lang w:val="ru-RU"/>
              </w:rPr>
              <w:t>Всего</w:t>
            </w:r>
          </w:p>
        </w:tc>
        <w:tc>
          <w:tcPr>
            <w:tcW w:w="3289" w:type="dxa"/>
            <w:shd w:val="clear" w:color="auto" w:fill="auto"/>
          </w:tcPr>
          <w:p w:rsidR="00244145" w:rsidRPr="0047034D" w:rsidRDefault="00244145" w:rsidP="00244145">
            <w:pPr>
              <w:ind w:right="884"/>
              <w:jc w:val="right"/>
              <w:rPr>
                <w:i/>
                <w:iCs/>
                <w:lang w:val="ru-RU"/>
              </w:rPr>
            </w:pPr>
            <w:r w:rsidRPr="0047034D">
              <w:rPr>
                <w:i/>
                <w:iCs/>
                <w:lang w:val="ru-RU"/>
              </w:rPr>
              <w:t>307,78</w:t>
            </w:r>
          </w:p>
        </w:tc>
        <w:tc>
          <w:tcPr>
            <w:tcW w:w="2977" w:type="dxa"/>
          </w:tcPr>
          <w:p w:rsidR="00244145" w:rsidRPr="0047034D" w:rsidRDefault="00244145" w:rsidP="00244145">
            <w:pPr>
              <w:ind w:right="884"/>
              <w:jc w:val="right"/>
              <w:rPr>
                <w:i/>
                <w:iCs/>
                <w:lang w:val="ru-RU"/>
              </w:rPr>
            </w:pPr>
            <w:r w:rsidRPr="0047034D">
              <w:rPr>
                <w:i/>
                <w:iCs/>
                <w:lang w:val="ru-RU"/>
              </w:rPr>
              <w:t>9,03</w:t>
            </w:r>
          </w:p>
        </w:tc>
      </w:tr>
      <w:tr w:rsidR="002627F1" w:rsidRPr="0047034D" w:rsidTr="00BD02EF">
        <w:trPr>
          <w:cantSplit/>
        </w:trPr>
        <w:tc>
          <w:tcPr>
            <w:tcW w:w="3085" w:type="dxa"/>
            <w:shd w:val="clear" w:color="auto" w:fill="auto"/>
          </w:tcPr>
          <w:p w:rsidR="00244145" w:rsidRPr="0047034D" w:rsidRDefault="00244145" w:rsidP="00244145">
            <w:pPr>
              <w:rPr>
                <w:i/>
                <w:iCs/>
                <w:lang w:val="ru-RU"/>
              </w:rPr>
            </w:pPr>
          </w:p>
          <w:p w:rsidR="00244145" w:rsidRPr="0047034D" w:rsidRDefault="00244145" w:rsidP="00244145">
            <w:pPr>
              <w:rPr>
                <w:i/>
                <w:iCs/>
                <w:lang w:val="ru-RU"/>
              </w:rPr>
            </w:pPr>
          </w:p>
          <w:p w:rsidR="00244145" w:rsidRPr="0047034D" w:rsidRDefault="00244145" w:rsidP="00244145">
            <w:pPr>
              <w:rPr>
                <w:i/>
                <w:iCs/>
                <w:lang w:val="ru-RU"/>
              </w:rPr>
            </w:pPr>
          </w:p>
        </w:tc>
        <w:tc>
          <w:tcPr>
            <w:tcW w:w="3289" w:type="dxa"/>
            <w:shd w:val="clear" w:color="auto" w:fill="auto"/>
          </w:tcPr>
          <w:p w:rsidR="00244145" w:rsidRPr="0047034D" w:rsidRDefault="00244145" w:rsidP="00244145">
            <w:pPr>
              <w:rPr>
                <w:iCs/>
                <w:lang w:val="ru-RU"/>
              </w:rPr>
            </w:pPr>
            <w:r w:rsidRPr="0047034D">
              <w:rPr>
                <w:iCs/>
                <w:lang w:val="ru-RU"/>
              </w:rPr>
              <w:t>Без учета лиц, проходящих обучение</w:t>
            </w:r>
          </w:p>
        </w:tc>
        <w:tc>
          <w:tcPr>
            <w:tcW w:w="2977" w:type="dxa"/>
          </w:tcPr>
          <w:p w:rsidR="00244145" w:rsidRPr="0047034D" w:rsidRDefault="00244145" w:rsidP="00244145">
            <w:pPr>
              <w:rPr>
                <w:iCs/>
                <w:lang w:val="ru-RU"/>
              </w:rPr>
            </w:pPr>
            <w:r w:rsidRPr="0047034D">
              <w:rPr>
                <w:iCs/>
                <w:lang w:val="ru-RU"/>
              </w:rPr>
              <w:t>Количество лет после приема на работу (включая время обучения)</w:t>
            </w:r>
          </w:p>
        </w:tc>
      </w:tr>
    </w:tbl>
    <w:p w:rsidR="00244145" w:rsidRPr="0047034D" w:rsidRDefault="00244145" w:rsidP="00244145">
      <w:pPr>
        <w:rPr>
          <w:szCs w:val="22"/>
          <w:lang w:val="ru-RU"/>
        </w:rPr>
      </w:pPr>
    </w:p>
    <w:p w:rsidR="00244145" w:rsidRPr="0047034D" w:rsidRDefault="00244145" w:rsidP="00244145">
      <w:pPr>
        <w:rPr>
          <w:lang w:val="ru-RU"/>
        </w:rPr>
      </w:pPr>
      <w:r w:rsidRPr="0047034D">
        <w:rPr>
          <w:b/>
          <w:bCs/>
          <w:lang w:val="ru-RU"/>
        </w:rPr>
        <w:t xml:space="preserve">Программы подготовки:  </w:t>
      </w:r>
      <w:r w:rsidRPr="0047034D">
        <w:rPr>
          <w:lang w:val="ru-RU"/>
        </w:rPr>
        <w:t xml:space="preserve">Для подготовки и повышения квалификации патентных экспертов в APO применяется система обучения согласно уровню подготовки (Программа подготовки экспертов по правам ИС, IPREP).  В рамках этой системы мы внедрили новую программу обучения патентных экспертов — «Обучение экспертизе патентов по гибкому графику» (STEP).  Новые онлайновые смешанные учебные модули позволяют учащимся проходить курс не в отдельной группе, а на своем рабочем месте, где назначенный для каждого отдела инструктор наблюдает за учащимися с самого первого дня и отвечает за составление плана подготовки и оценки.  Учащимся и инструкторам помогают Организатор учебного сообщества, который руководит прохождением онлайн-курса будущими экспертами, и Инструктор-координатор, который руководит работой инструкторов, поддерживает их и выступает арбитром при выставлении оценок.  Весь процесс подготовки проходит в онлайновом режиме </w:t>
      </w:r>
      <w:r w:rsidR="00646C23">
        <w:rPr>
          <w:lang w:val="ru-RU"/>
        </w:rPr>
        <w:t>путем самостоятельного</w:t>
      </w:r>
      <w:r w:rsidRPr="0047034D">
        <w:rPr>
          <w:lang w:val="ru-RU"/>
        </w:rPr>
        <w:t xml:space="preserve"> изучения материалов, участия в онлайн-сообществе и посещения виртуальных лекций.  Учащийся может начинать курс в любое время и с любого места и не вынужден ждать, пока сформируется группа.  Будущие эксперты проходят курс каждый со своей скоростью, никакого жесткого графика нет.  По необходимости они могут возвращаться и повторять пройденное.  Как правило, новые патентные эксперты получают полномочия по самостоятельной экспертизе и одобрению патентных заявок (</w:t>
      </w:r>
      <w:r w:rsidRPr="0047034D">
        <w:rPr>
          <w:lang w:val="en-GB"/>
        </w:rPr>
        <w:t>Acceptance Delegation</w:t>
      </w:r>
      <w:r w:rsidRPr="0047034D">
        <w:rPr>
          <w:lang w:val="ru-RU"/>
        </w:rPr>
        <w:t>) в течение двух лет обучения.  В зависимости от навыков, знаний и прилежания учащегося он может достичь этой квалификации и за более короткий срок.</w:t>
      </w:r>
    </w:p>
    <w:p w:rsidR="00244145" w:rsidRPr="0047034D" w:rsidRDefault="00244145" w:rsidP="00244145">
      <w:pPr>
        <w:rPr>
          <w:lang w:val="ru-RU"/>
        </w:rPr>
      </w:pPr>
    </w:p>
    <w:p w:rsidR="00244145" w:rsidRPr="0047034D" w:rsidRDefault="00244145" w:rsidP="00244145">
      <w:pPr>
        <w:rPr>
          <w:lang w:val="ru-RU"/>
        </w:rPr>
      </w:pPr>
      <w:r w:rsidRPr="0047034D">
        <w:rPr>
          <w:lang w:val="ru-RU"/>
        </w:rPr>
        <w:t xml:space="preserve">В APO действует программа повышения технической квалификации экспертов (TELP), помогающая им поддерживать свою осведомленность о последних технологических достижениях.  Программа распространяется на все технологические области и включает проведение технических тренингов в ведомстве профильными специалистами, участие в конференциях и посещение различных предприятий, </w:t>
      </w:r>
      <w:r w:rsidR="00646C23">
        <w:rPr>
          <w:lang w:val="ru-RU"/>
        </w:rPr>
        <w:t>занятых</w:t>
      </w:r>
      <w:r w:rsidRPr="0047034D">
        <w:rPr>
          <w:lang w:val="ru-RU"/>
        </w:rPr>
        <w:t xml:space="preserve"> в соответствующих отраслях.  У нас также существует программа повышения квалификации для опытных экспертов, желающих стать экспертами-арбитрами и участвовать в устных слушаниях.</w:t>
      </w:r>
    </w:p>
    <w:p w:rsidR="00244145" w:rsidRPr="0047034D" w:rsidRDefault="00244145" w:rsidP="00244145">
      <w:pPr>
        <w:rPr>
          <w:lang w:val="ru-RU"/>
        </w:rPr>
      </w:pPr>
    </w:p>
    <w:p w:rsidR="00244145" w:rsidRPr="0047034D" w:rsidRDefault="00244145" w:rsidP="00244145">
      <w:pPr>
        <w:rPr>
          <w:lang w:val="ru-RU"/>
        </w:rPr>
      </w:pPr>
      <w:r w:rsidRPr="0047034D">
        <w:rPr>
          <w:lang w:val="ru-RU"/>
        </w:rPr>
        <w:t>В</w:t>
      </w:r>
      <w:r w:rsidR="0047034D">
        <w:rPr>
          <w:lang w:val="ru-RU"/>
        </w:rPr>
        <w:t xml:space="preserve"> агентстве</w:t>
      </w:r>
      <w:r w:rsidRPr="0047034D">
        <w:rPr>
          <w:lang w:val="ru-RU"/>
        </w:rPr>
        <w:t xml:space="preserve"> </w:t>
      </w:r>
      <w:r w:rsidRPr="0047034D">
        <w:rPr>
          <w:lang w:val="en-GB"/>
        </w:rPr>
        <w:t>IP Australia</w:t>
      </w:r>
      <w:r w:rsidRPr="0047034D">
        <w:rPr>
          <w:lang w:val="ru-RU"/>
        </w:rPr>
        <w:t xml:space="preserve"> создан Центр технических компетенций в области прав ИС (IPTEC), служащий общей точкой доступа ко всем услугам профессиональной подготовки и повышения квалификации по правам ИС.  IPTEC обеспечивает все аспекты специального обучения, включая техническое обучение в патентной сфере  С июля 2011 г. для патентных экспертов предлагается несколько курсов обучения процедурам поиска (основные этапы, ключевые слова и классификационные знаки) и передовым алгоритмам поиска (в том числе для обработки заявок в области нанотехнологий).  Также были разработаны и с июля 2013 г. проводятся дополнительные курсы: «Продвинутый уровень», «База данных EPOQUE», «Мастер-класс по поиску», «Онлайн-модуль по повторной экспертизе», «Реформа системы ИС» и «Поиск в непатентной литературе».</w:t>
      </w:r>
    </w:p>
    <w:p w:rsidR="00244145" w:rsidRPr="0047034D" w:rsidRDefault="00244145" w:rsidP="00244145">
      <w:pPr>
        <w:rPr>
          <w:lang w:val="ru-RU"/>
        </w:rPr>
      </w:pPr>
    </w:p>
    <w:p w:rsidR="00244145" w:rsidRPr="0047034D" w:rsidRDefault="00244145" w:rsidP="00244145">
      <w:pPr>
        <w:rPr>
          <w:szCs w:val="22"/>
          <w:lang w:val="ru-RU"/>
        </w:rPr>
      </w:pPr>
    </w:p>
    <w:p w:rsidR="00244145" w:rsidRPr="0047034D" w:rsidRDefault="00244145" w:rsidP="00244145">
      <w:pPr>
        <w:keepNext/>
        <w:keepLines/>
        <w:rPr>
          <w:b/>
          <w:i/>
          <w:lang w:val="ru-RU"/>
        </w:rPr>
      </w:pPr>
      <w:r w:rsidRPr="0047034D">
        <w:rPr>
          <w:b/>
          <w:bCs/>
          <w:i/>
          <w:iCs/>
          <w:lang w:val="ru-RU"/>
        </w:rPr>
        <w:t>Правила 36.1(ii) и 63.1(ii):  Это ведомство или организация должны иметь в своем распоряжении или иметь доступ, по крайней мере, к минимуму документации, упомянутому в правиле 34, соответствующим образом подобранному для целей поиска, на бумаге, в микроформах или на электронных носителях.</w:t>
      </w:r>
    </w:p>
    <w:p w:rsidR="00244145" w:rsidRPr="0047034D" w:rsidRDefault="00244145" w:rsidP="00244145">
      <w:pPr>
        <w:keepNext/>
        <w:rPr>
          <w:szCs w:val="22"/>
          <w:lang w:val="ru-RU"/>
        </w:rPr>
      </w:pPr>
    </w:p>
    <w:p w:rsidR="00244145" w:rsidRPr="0047034D" w:rsidRDefault="00244145" w:rsidP="00244145">
      <w:pPr>
        <w:keepNext/>
        <w:rPr>
          <w:b/>
          <w:bCs/>
          <w:szCs w:val="22"/>
          <w:lang w:val="ru-RU"/>
        </w:rPr>
      </w:pPr>
      <w:r w:rsidRPr="0047034D">
        <w:rPr>
          <w:b/>
          <w:bCs/>
          <w:szCs w:val="22"/>
          <w:lang w:val="ru-RU"/>
        </w:rPr>
        <w:t>Доступ к минимуму документации для целей поиска:</w:t>
      </w:r>
      <w:r w:rsidRPr="0047034D">
        <w:rPr>
          <w:bCs/>
          <w:szCs w:val="22"/>
          <w:lang w:val="ru-RU"/>
        </w:rPr>
        <w:t xml:space="preserve">  ( X ) Полный доступ</w:t>
      </w:r>
      <w:r w:rsidR="004514D5">
        <w:rPr>
          <w:bCs/>
          <w:szCs w:val="22"/>
          <w:lang w:val="ru-RU"/>
        </w:rPr>
        <w:t>.</w:t>
      </w:r>
    </w:p>
    <w:p w:rsidR="00244145" w:rsidRPr="0047034D" w:rsidRDefault="00244145" w:rsidP="00244145">
      <w:pPr>
        <w:keepNext/>
        <w:tabs>
          <w:tab w:val="left" w:pos="3195"/>
        </w:tabs>
        <w:rPr>
          <w:szCs w:val="22"/>
          <w:lang w:val="ru-RU"/>
        </w:rPr>
      </w:pPr>
      <w:r w:rsidRPr="0047034D">
        <w:rPr>
          <w:szCs w:val="22"/>
          <w:lang w:val="ru-RU"/>
        </w:rPr>
        <w:tab/>
      </w:r>
    </w:p>
    <w:p w:rsidR="00244145" w:rsidRPr="0047034D" w:rsidRDefault="00244145" w:rsidP="00244145">
      <w:pPr>
        <w:rPr>
          <w:rFonts w:eastAsiaTheme="minorHAnsi" w:cs="Times New Roman"/>
          <w:iCs/>
          <w:lang w:val="ru-RU" w:eastAsia="en-US"/>
        </w:rPr>
      </w:pPr>
      <w:r w:rsidRPr="0047034D">
        <w:rPr>
          <w:b/>
          <w:bCs/>
          <w:szCs w:val="22"/>
          <w:lang w:val="ru-RU"/>
        </w:rPr>
        <w:t>Поисковые системы:</w:t>
      </w:r>
      <w:r w:rsidRPr="0047034D">
        <w:rPr>
          <w:bCs/>
          <w:szCs w:val="22"/>
          <w:lang w:val="ru-RU"/>
        </w:rPr>
        <w:t xml:space="preserve">  </w:t>
      </w:r>
    </w:p>
    <w:p w:rsidR="00244145" w:rsidRPr="0047034D" w:rsidRDefault="00244145" w:rsidP="00244145">
      <w:pPr>
        <w:rPr>
          <w:rFonts w:eastAsiaTheme="minorHAnsi" w:cs="Times New Roman"/>
          <w:iCs/>
          <w:lang w:val="ru-RU" w:eastAsia="en-US"/>
        </w:rPr>
      </w:pPr>
      <w:r w:rsidRPr="0047034D">
        <w:rPr>
          <w:rFonts w:eastAsiaTheme="minorHAnsi" w:cs="Times New Roman"/>
          <w:iCs/>
          <w:lang w:val="ru-RU" w:eastAsia="en-US"/>
        </w:rPr>
        <w:t xml:space="preserve">Для обработки, хранения, чтения и экспертизы национальных патентных заявок наши эксперты пользуются электронной системой управления документацией (системой управления патентной документацией PAMS).  </w:t>
      </w:r>
      <w:r w:rsidRPr="0047034D">
        <w:rPr>
          <w:rFonts w:eastAsiaTheme="minorHAnsi" w:cs="Times New Roman"/>
          <w:iCs/>
          <w:lang w:val="en-GB" w:eastAsia="en-US"/>
        </w:rPr>
        <w:t>IP Australia</w:t>
      </w:r>
      <w:r w:rsidRPr="0047034D">
        <w:rPr>
          <w:rFonts w:eastAsiaTheme="minorHAnsi" w:cs="Times New Roman"/>
          <w:iCs/>
          <w:lang w:val="ru-RU" w:eastAsia="en-US"/>
        </w:rPr>
        <w:t xml:space="preserve"> также использует электронную систему для международного поиска и экспертизы (INTESS).  Экспертам предоставляется специализированное компьютерное рабочее место, включающее широкий ассортимент ресурсов для экспертизы, таких как доступ к средствам патентного поиска (EPOQUE) и поисковым службам (STN), охват которых превышает требуемый минимум документации; руководства в электронном виде (например, Руководство по практике и процедурам патентной экспертизы и Руководство по системе управления качеством); материалы по патентному праву; </w:t>
      </w:r>
      <w:r w:rsidR="004514D5">
        <w:rPr>
          <w:rFonts w:eastAsiaTheme="minorHAnsi" w:cs="Times New Roman"/>
          <w:iCs/>
          <w:lang w:val="ru-RU" w:eastAsia="en-US"/>
        </w:rPr>
        <w:t xml:space="preserve"> </w:t>
      </w:r>
      <w:r w:rsidRPr="0047034D">
        <w:rPr>
          <w:rFonts w:eastAsiaTheme="minorHAnsi" w:cs="Times New Roman"/>
          <w:iCs/>
          <w:lang w:val="ru-RU" w:eastAsia="en-US"/>
        </w:rPr>
        <w:t xml:space="preserve">и материалы ВОИС и PCT .  Мы внедрили ряд передовых методов PCT и включили их в свое Руководство по практике и процедурам и в </w:t>
      </w:r>
      <w:r w:rsidRPr="0047034D">
        <w:rPr>
          <w:bCs/>
          <w:szCs w:val="22"/>
          <w:lang w:val="ru-RU"/>
        </w:rPr>
        <w:t>Программу подготовки экспертов по правам ИС</w:t>
      </w:r>
      <w:r w:rsidRPr="0047034D">
        <w:rPr>
          <w:rFonts w:eastAsiaTheme="minorHAnsi" w:cs="Times New Roman"/>
          <w:iCs/>
          <w:lang w:val="ru-RU" w:eastAsia="en-US"/>
        </w:rPr>
        <w:t xml:space="preserve"> (IRPEP).  Эти методы подвергаются регулярному пересмотру.  К дополнительным инструментам относятся беспрепятственный доступ с </w:t>
      </w:r>
      <w:r w:rsidR="004514D5">
        <w:rPr>
          <w:rFonts w:eastAsiaTheme="minorHAnsi" w:cs="Times New Roman"/>
          <w:iCs/>
          <w:lang w:val="ru-RU" w:eastAsia="en-US"/>
        </w:rPr>
        <w:t>р</w:t>
      </w:r>
      <w:r w:rsidRPr="0047034D">
        <w:rPr>
          <w:rFonts w:eastAsiaTheme="minorHAnsi" w:cs="Times New Roman"/>
          <w:iCs/>
          <w:lang w:val="ru-RU" w:eastAsia="en-US"/>
        </w:rPr>
        <w:t xml:space="preserve">абочего места патентного эксперта к внутренним и внешним базам данных, техническим пособиям, журналам и правовой информации.  Эти ресурсы включают IEEE, MEDLINE, </w:t>
      </w:r>
      <w:r w:rsidRPr="0047034D">
        <w:rPr>
          <w:rFonts w:eastAsiaTheme="minorHAnsi" w:cs="Times New Roman"/>
          <w:iCs/>
          <w:lang w:val="en-GB" w:eastAsia="en-US"/>
        </w:rPr>
        <w:t>Nature, PubMed, Questel-Orbit, WIPO CASE</w:t>
      </w:r>
      <w:r w:rsidRPr="0047034D">
        <w:rPr>
          <w:rFonts w:eastAsiaTheme="minorHAnsi" w:cs="Times New Roman"/>
          <w:iCs/>
          <w:lang w:val="ru-RU" w:eastAsia="en-US"/>
        </w:rPr>
        <w:t>.</w:t>
      </w:r>
    </w:p>
    <w:p w:rsidR="00244145" w:rsidRPr="0047034D" w:rsidRDefault="00244145" w:rsidP="00244145">
      <w:pPr>
        <w:rPr>
          <w:rFonts w:eastAsiaTheme="minorHAnsi" w:cs="Times New Roman"/>
          <w:lang w:val="ru-RU" w:eastAsia="en-US"/>
        </w:rPr>
      </w:pPr>
    </w:p>
    <w:p w:rsidR="00244145" w:rsidRPr="0047034D" w:rsidRDefault="00244145" w:rsidP="00244145">
      <w:pPr>
        <w:rPr>
          <w:rFonts w:eastAsiaTheme="minorHAnsi" w:cs="Times New Roman"/>
          <w:iCs/>
          <w:lang w:val="ru-RU" w:eastAsia="en-US"/>
        </w:rPr>
      </w:pPr>
      <w:r w:rsidRPr="0047034D">
        <w:rPr>
          <w:rFonts w:eastAsiaTheme="minorHAnsi" w:cs="Times New Roman"/>
          <w:iCs/>
          <w:lang w:val="ru-RU" w:eastAsia="en-US"/>
        </w:rPr>
        <w:t xml:space="preserve">Технический отдел обеспечения поиска APO (STT) обеспечивает экспертов оптимальными методиками и доступом к качественным инструментам поиска.  </w:t>
      </w:r>
      <w:r w:rsidR="004514D5">
        <w:rPr>
          <w:rFonts w:eastAsiaTheme="minorHAnsi" w:cs="Times New Roman"/>
          <w:iCs/>
          <w:lang w:val="ru-RU" w:eastAsia="en-US"/>
        </w:rPr>
        <w:br/>
      </w:r>
      <w:r w:rsidRPr="0047034D">
        <w:rPr>
          <w:rFonts w:eastAsiaTheme="minorHAnsi" w:cs="Times New Roman"/>
          <w:iCs/>
          <w:lang w:val="ru-RU" w:eastAsia="en-US"/>
        </w:rPr>
        <w:t>STT выполняет две основные функции:</w:t>
      </w:r>
    </w:p>
    <w:p w:rsidR="00244145" w:rsidRPr="0047034D" w:rsidRDefault="00244145" w:rsidP="00244145">
      <w:pPr>
        <w:pStyle w:val="ListParagraph"/>
        <w:numPr>
          <w:ilvl w:val="0"/>
          <w:numId w:val="11"/>
        </w:numPr>
        <w:ind w:left="1134" w:hanging="567"/>
        <w:rPr>
          <w:rFonts w:eastAsiaTheme="minorHAnsi" w:cs="Times New Roman"/>
          <w:iCs/>
          <w:lang w:val="ru-RU" w:eastAsia="en-US"/>
        </w:rPr>
      </w:pPr>
      <w:r w:rsidRPr="0047034D">
        <w:rPr>
          <w:rFonts w:eastAsiaTheme="minorHAnsi" w:cs="Times New Roman"/>
          <w:iCs/>
          <w:lang w:val="ru-RU" w:eastAsia="en-US"/>
        </w:rPr>
        <w:t>поддержка и обучение на рабочем месте и распространение оптимальных методов поиска; и</w:t>
      </w:r>
    </w:p>
    <w:p w:rsidR="00244145" w:rsidRPr="0047034D" w:rsidRDefault="00244145" w:rsidP="00244145">
      <w:pPr>
        <w:pStyle w:val="ListParagraph"/>
        <w:numPr>
          <w:ilvl w:val="0"/>
          <w:numId w:val="11"/>
        </w:numPr>
        <w:ind w:left="1134" w:hanging="567"/>
        <w:rPr>
          <w:rFonts w:eastAsiaTheme="minorHAnsi" w:cs="Times New Roman"/>
          <w:iCs/>
          <w:lang w:val="ru-RU" w:eastAsia="en-US"/>
        </w:rPr>
      </w:pPr>
      <w:r w:rsidRPr="0047034D">
        <w:rPr>
          <w:rFonts w:eastAsiaTheme="minorHAnsi" w:cs="Times New Roman"/>
          <w:iCs/>
          <w:lang w:val="ru-RU" w:eastAsia="en-US"/>
        </w:rPr>
        <w:t>оценка качества инструментов поиска и баз данных для патентной экспертизы.</w:t>
      </w:r>
    </w:p>
    <w:p w:rsidR="00244145" w:rsidRPr="0047034D" w:rsidRDefault="00244145" w:rsidP="00244145">
      <w:pPr>
        <w:ind w:left="1134" w:hanging="567"/>
        <w:rPr>
          <w:rFonts w:eastAsiaTheme="minorHAnsi" w:cs="Times New Roman"/>
          <w:iCs/>
          <w:lang w:val="ru-RU" w:eastAsia="en-US"/>
        </w:rPr>
      </w:pPr>
    </w:p>
    <w:p w:rsidR="00244145" w:rsidRPr="0047034D" w:rsidRDefault="00244145" w:rsidP="00244145">
      <w:pPr>
        <w:ind w:left="1134" w:hanging="567"/>
        <w:rPr>
          <w:rFonts w:eastAsiaTheme="minorHAnsi" w:cs="Times New Roman"/>
          <w:iCs/>
          <w:lang w:val="ru-RU" w:eastAsia="en-US"/>
        </w:rPr>
      </w:pPr>
      <w:r w:rsidRPr="0047034D">
        <w:rPr>
          <w:rFonts w:eastAsiaTheme="minorHAnsi" w:cs="Times New Roman"/>
          <w:iCs/>
          <w:lang w:val="ru-RU" w:eastAsia="en-US"/>
        </w:rPr>
        <w:t>Кроме того, деятельность отдела включает:</w:t>
      </w:r>
    </w:p>
    <w:p w:rsidR="00244145" w:rsidRPr="0047034D" w:rsidRDefault="00244145" w:rsidP="00244145">
      <w:pPr>
        <w:pStyle w:val="ListParagraph"/>
        <w:numPr>
          <w:ilvl w:val="0"/>
          <w:numId w:val="12"/>
        </w:numPr>
        <w:ind w:left="1134" w:hanging="567"/>
        <w:rPr>
          <w:rFonts w:eastAsiaTheme="minorHAnsi" w:cs="Times New Roman"/>
          <w:iCs/>
          <w:lang w:val="ru-RU" w:eastAsia="en-US"/>
        </w:rPr>
      </w:pPr>
      <w:r w:rsidRPr="0047034D">
        <w:rPr>
          <w:rFonts w:eastAsiaTheme="minorHAnsi" w:cs="Times New Roman"/>
          <w:iCs/>
          <w:lang w:val="ru-RU" w:eastAsia="en-US"/>
        </w:rPr>
        <w:t>классификацию, в том числе по Международной (МПК) и Совместной патентной классификации (СПК);</w:t>
      </w:r>
    </w:p>
    <w:p w:rsidR="00244145" w:rsidRPr="0047034D" w:rsidRDefault="00244145" w:rsidP="00244145">
      <w:pPr>
        <w:pStyle w:val="ListParagraph"/>
        <w:numPr>
          <w:ilvl w:val="0"/>
          <w:numId w:val="12"/>
        </w:numPr>
        <w:ind w:left="1134" w:hanging="567"/>
        <w:rPr>
          <w:rFonts w:eastAsiaTheme="minorHAnsi" w:cs="Times New Roman"/>
          <w:iCs/>
          <w:lang w:val="ru-RU" w:eastAsia="en-US"/>
        </w:rPr>
      </w:pPr>
      <w:r w:rsidRPr="0047034D">
        <w:rPr>
          <w:rFonts w:eastAsiaTheme="minorHAnsi" w:cs="Times New Roman"/>
          <w:iCs/>
          <w:lang w:val="ru-RU" w:eastAsia="en-US"/>
        </w:rPr>
        <w:t>поддержание компетенций в использовании EPOQUE, STN и других средств поиска;</w:t>
      </w:r>
    </w:p>
    <w:p w:rsidR="00244145" w:rsidRPr="0047034D" w:rsidRDefault="00244145" w:rsidP="00244145">
      <w:pPr>
        <w:pStyle w:val="ListParagraph"/>
        <w:numPr>
          <w:ilvl w:val="0"/>
          <w:numId w:val="12"/>
        </w:numPr>
        <w:ind w:left="1134" w:hanging="567"/>
        <w:rPr>
          <w:rFonts w:eastAsiaTheme="minorHAnsi" w:cs="Times New Roman"/>
          <w:iCs/>
          <w:lang w:val="ru-RU" w:eastAsia="en-US"/>
        </w:rPr>
      </w:pPr>
      <w:r w:rsidRPr="0047034D">
        <w:rPr>
          <w:rFonts w:eastAsiaTheme="minorHAnsi" w:cs="Times New Roman"/>
          <w:iCs/>
          <w:lang w:val="ru-RU" w:eastAsia="en-US"/>
        </w:rPr>
        <w:t>предоставление отделу учебных проектов профильных технических специалистов;</w:t>
      </w:r>
    </w:p>
    <w:p w:rsidR="00244145" w:rsidRPr="0047034D" w:rsidRDefault="00244145" w:rsidP="00244145">
      <w:pPr>
        <w:pStyle w:val="ListParagraph"/>
        <w:numPr>
          <w:ilvl w:val="0"/>
          <w:numId w:val="12"/>
        </w:numPr>
        <w:ind w:left="1134" w:hanging="567"/>
        <w:rPr>
          <w:rFonts w:eastAsiaTheme="minorHAnsi" w:cs="Times New Roman"/>
          <w:iCs/>
          <w:lang w:val="ru-RU" w:eastAsia="en-US"/>
        </w:rPr>
      </w:pPr>
      <w:r w:rsidRPr="0047034D">
        <w:rPr>
          <w:rFonts w:eastAsiaTheme="minorHAnsi" w:cs="Times New Roman"/>
          <w:iCs/>
          <w:lang w:val="ru-RU" w:eastAsia="en-US"/>
        </w:rPr>
        <w:t>обновление Руководства по практике и процедурам патентной эк</w:t>
      </w:r>
      <w:r w:rsidR="004514D5">
        <w:rPr>
          <w:rFonts w:eastAsiaTheme="minorHAnsi" w:cs="Times New Roman"/>
          <w:iCs/>
          <w:lang w:val="ru-RU" w:eastAsia="en-US"/>
        </w:rPr>
        <w:t>спертизы в части методик поиска;</w:t>
      </w:r>
      <w:r w:rsidRPr="0047034D">
        <w:rPr>
          <w:rFonts w:eastAsiaTheme="minorHAnsi" w:cs="Times New Roman"/>
          <w:iCs/>
          <w:lang w:val="ru-RU" w:eastAsia="en-US"/>
        </w:rPr>
        <w:t xml:space="preserve"> и</w:t>
      </w:r>
    </w:p>
    <w:p w:rsidR="00244145" w:rsidRPr="0047034D" w:rsidRDefault="00244145" w:rsidP="00244145">
      <w:pPr>
        <w:pStyle w:val="ListParagraph"/>
        <w:numPr>
          <w:ilvl w:val="0"/>
          <w:numId w:val="12"/>
        </w:numPr>
        <w:ind w:left="1134" w:hanging="567"/>
        <w:rPr>
          <w:rFonts w:eastAsiaTheme="minorHAnsi" w:cs="Times New Roman"/>
          <w:iCs/>
          <w:lang w:val="ru-RU" w:eastAsia="en-US"/>
        </w:rPr>
      </w:pPr>
      <w:r w:rsidRPr="0047034D">
        <w:rPr>
          <w:rFonts w:eastAsiaTheme="minorHAnsi" w:cs="Times New Roman"/>
          <w:iCs/>
          <w:lang w:val="ru-RU" w:eastAsia="en-US"/>
        </w:rPr>
        <w:t>управление договорами на использование экспертами ведомства коммерческих инструментов поиска.</w:t>
      </w:r>
    </w:p>
    <w:p w:rsidR="00244145" w:rsidRPr="0047034D" w:rsidRDefault="00244145" w:rsidP="00244145">
      <w:pPr>
        <w:rPr>
          <w:rFonts w:eastAsiaTheme="minorHAnsi" w:cs="Times New Roman"/>
          <w:iCs/>
          <w:lang w:val="ru-RU" w:eastAsia="en-US"/>
        </w:rPr>
      </w:pPr>
    </w:p>
    <w:p w:rsidR="00244145" w:rsidRPr="0047034D" w:rsidRDefault="00244145" w:rsidP="00244145">
      <w:pPr>
        <w:rPr>
          <w:szCs w:val="22"/>
          <w:lang w:val="ru-RU"/>
        </w:rPr>
      </w:pPr>
    </w:p>
    <w:p w:rsidR="00244145" w:rsidRPr="0047034D" w:rsidRDefault="00244145" w:rsidP="00244145">
      <w:pPr>
        <w:rPr>
          <w:b/>
          <w:i/>
          <w:lang w:val="ru-RU"/>
        </w:rPr>
      </w:pPr>
      <w:r w:rsidRPr="0047034D">
        <w:rPr>
          <w:b/>
          <w:bCs/>
          <w:i/>
          <w:iCs/>
          <w:lang w:val="ru-RU"/>
        </w:rPr>
        <w:t>Правила 36.1(iii) и 63.1(iii):  Это ведомство или организация должны иметь штат, который способен проводить поиск и экспертизу в необходимых областях техники и который обладает достаточными языковыми знаниями для понимания, по крайней мере, тех языков, на которых написан или на которые переведен минимум документации, упомянутый в правиле 34.</w:t>
      </w:r>
    </w:p>
    <w:p w:rsidR="00244145" w:rsidRPr="0047034D" w:rsidRDefault="00244145" w:rsidP="00244145">
      <w:pPr>
        <w:rPr>
          <w:szCs w:val="22"/>
          <w:lang w:val="ru-RU"/>
        </w:rPr>
      </w:pPr>
    </w:p>
    <w:p w:rsidR="00244145" w:rsidRPr="0047034D" w:rsidRDefault="00244145" w:rsidP="00244145">
      <w:pPr>
        <w:rPr>
          <w:b/>
          <w:bCs/>
          <w:szCs w:val="22"/>
          <w:lang w:val="ru-RU"/>
        </w:rPr>
      </w:pPr>
      <w:r w:rsidRPr="0047034D">
        <w:rPr>
          <w:b/>
          <w:bCs/>
          <w:szCs w:val="22"/>
          <w:lang w:val="ru-RU"/>
        </w:rPr>
        <w:t>Язык(и), на котором (-ых) могут подаваться и обрабатываться национальные заявки:</w:t>
      </w:r>
      <w:r w:rsidRPr="0047034D">
        <w:rPr>
          <w:bCs/>
          <w:szCs w:val="22"/>
          <w:lang w:val="ru-RU"/>
        </w:rPr>
        <w:t xml:space="preserve">  </w:t>
      </w:r>
      <w:r w:rsidR="004514D5">
        <w:rPr>
          <w:bCs/>
          <w:szCs w:val="22"/>
          <w:lang w:val="ru-RU"/>
        </w:rPr>
        <w:t>А</w:t>
      </w:r>
      <w:r w:rsidRPr="0047034D">
        <w:rPr>
          <w:bCs/>
          <w:szCs w:val="22"/>
          <w:lang w:val="ru-RU"/>
        </w:rPr>
        <w:t>нглийский</w:t>
      </w:r>
      <w:r w:rsidR="004514D5">
        <w:rPr>
          <w:bCs/>
          <w:szCs w:val="22"/>
          <w:lang w:val="ru-RU"/>
        </w:rPr>
        <w:t>.</w:t>
      </w:r>
    </w:p>
    <w:p w:rsidR="00244145" w:rsidRPr="0047034D" w:rsidRDefault="00244145" w:rsidP="00244145">
      <w:pPr>
        <w:rPr>
          <w:szCs w:val="22"/>
          <w:lang w:val="ru-RU"/>
        </w:rPr>
      </w:pPr>
    </w:p>
    <w:p w:rsidR="00244145" w:rsidRPr="0047034D" w:rsidRDefault="00244145" w:rsidP="00244145">
      <w:pPr>
        <w:rPr>
          <w:rFonts w:eastAsiaTheme="minorHAnsi" w:cs="Times New Roman"/>
          <w:lang w:val="ru-RU" w:eastAsia="en-US"/>
        </w:rPr>
      </w:pPr>
      <w:r w:rsidRPr="0047034D">
        <w:rPr>
          <w:b/>
          <w:bCs/>
          <w:szCs w:val="22"/>
          <w:lang w:val="ru-RU"/>
        </w:rPr>
        <w:t xml:space="preserve">Другие языки, которыми владеет большое число экспертов:  </w:t>
      </w:r>
      <w:r w:rsidRPr="0047034D">
        <w:rPr>
          <w:rFonts w:eastAsiaTheme="minorHAnsi" w:cs="Times New Roman"/>
          <w:lang w:val="ru-RU" w:eastAsia="en-US"/>
        </w:rPr>
        <w:t>Помимо английского, APO стремится обеспечивать знание экспертным персоналом других языков.  В настоящее время в ведомстве работают эксперты во всех основных областях техники, владеющие французским, немецким, китайским, русским, испанским и корейским языками.</w:t>
      </w:r>
    </w:p>
    <w:p w:rsidR="00244145" w:rsidRPr="0047034D" w:rsidRDefault="00244145" w:rsidP="00244145">
      <w:pPr>
        <w:rPr>
          <w:szCs w:val="22"/>
          <w:lang w:val="ru-RU"/>
        </w:rPr>
      </w:pPr>
    </w:p>
    <w:p w:rsidR="00244145" w:rsidRPr="0047034D" w:rsidRDefault="00244145" w:rsidP="00244145">
      <w:pPr>
        <w:rPr>
          <w:szCs w:val="22"/>
          <w:lang w:val="ru-RU"/>
        </w:rPr>
      </w:pPr>
      <w:r w:rsidRPr="0047034D">
        <w:rPr>
          <w:b/>
          <w:bCs/>
          <w:szCs w:val="22"/>
          <w:lang w:val="ru-RU"/>
        </w:rPr>
        <w:t>Сервисы, способствующие проведению поиска или пониманию известного уровня техники на других языках:</w:t>
      </w:r>
      <w:r w:rsidRPr="0047034D">
        <w:rPr>
          <w:szCs w:val="22"/>
          <w:lang w:val="ru-RU"/>
        </w:rPr>
        <w:t xml:space="preserve">  </w:t>
      </w:r>
    </w:p>
    <w:p w:rsidR="00244145" w:rsidRPr="0047034D" w:rsidRDefault="00244145" w:rsidP="00244145">
      <w:pPr>
        <w:rPr>
          <w:rFonts w:eastAsiaTheme="minorHAnsi" w:cs="Times New Roman"/>
          <w:lang w:val="ru-RU" w:eastAsia="en-US"/>
        </w:rPr>
      </w:pPr>
      <w:r w:rsidRPr="0047034D">
        <w:rPr>
          <w:rFonts w:eastAsiaTheme="minorHAnsi" w:cs="Times New Roman"/>
          <w:lang w:val="ru-RU" w:eastAsia="en-US"/>
        </w:rPr>
        <w:t xml:space="preserve">Для помощи в поиске и понимании известного уровня техники на других языках эксперты имеют доступ, среди прочего, к следующим ресурсам: </w:t>
      </w:r>
    </w:p>
    <w:p w:rsidR="00244145" w:rsidRPr="0047034D" w:rsidRDefault="00244145" w:rsidP="00244145">
      <w:pPr>
        <w:pStyle w:val="ListParagraph"/>
        <w:numPr>
          <w:ilvl w:val="0"/>
          <w:numId w:val="8"/>
        </w:numPr>
        <w:ind w:left="1134" w:hanging="567"/>
        <w:rPr>
          <w:rFonts w:eastAsiaTheme="minorHAnsi" w:cs="Times New Roman"/>
          <w:lang w:val="en-GB" w:eastAsia="en-US"/>
        </w:rPr>
      </w:pPr>
      <w:r w:rsidRPr="0047034D">
        <w:rPr>
          <w:rFonts w:eastAsiaTheme="minorHAnsi" w:cs="Times New Roman"/>
          <w:lang w:val="en-GB" w:eastAsia="en-US"/>
        </w:rPr>
        <w:t>WIPO Translate</w:t>
      </w:r>
      <w:r w:rsidR="004514D5">
        <w:rPr>
          <w:rFonts w:eastAsiaTheme="minorHAnsi" w:cs="Times New Roman"/>
          <w:lang w:val="ru-RU" w:eastAsia="en-US"/>
        </w:rPr>
        <w:t>;</w:t>
      </w:r>
    </w:p>
    <w:p w:rsidR="00244145" w:rsidRPr="0047034D" w:rsidRDefault="00244145" w:rsidP="00244145">
      <w:pPr>
        <w:pStyle w:val="ListParagraph"/>
        <w:numPr>
          <w:ilvl w:val="0"/>
          <w:numId w:val="8"/>
        </w:numPr>
        <w:ind w:left="1134" w:hanging="567"/>
        <w:rPr>
          <w:rFonts w:eastAsiaTheme="minorHAnsi" w:cs="Times New Roman"/>
          <w:lang w:val="en-GB" w:eastAsia="en-US"/>
        </w:rPr>
      </w:pPr>
      <w:r w:rsidRPr="0047034D">
        <w:rPr>
          <w:rFonts w:eastAsiaTheme="minorHAnsi" w:cs="Times New Roman"/>
          <w:lang w:val="en-GB" w:eastAsia="en-US"/>
        </w:rPr>
        <w:t>WIPO Pearl</w:t>
      </w:r>
      <w:r w:rsidR="004514D5">
        <w:rPr>
          <w:rFonts w:eastAsiaTheme="minorHAnsi" w:cs="Times New Roman"/>
          <w:lang w:val="ru-RU" w:eastAsia="en-US"/>
        </w:rPr>
        <w:t>;</w:t>
      </w:r>
    </w:p>
    <w:p w:rsidR="00244145" w:rsidRPr="0047034D" w:rsidRDefault="00244145" w:rsidP="00244145">
      <w:pPr>
        <w:pStyle w:val="ListParagraph"/>
        <w:numPr>
          <w:ilvl w:val="0"/>
          <w:numId w:val="8"/>
        </w:numPr>
        <w:ind w:left="1134" w:hanging="567"/>
        <w:rPr>
          <w:rFonts w:eastAsiaTheme="minorHAnsi" w:cs="Times New Roman"/>
          <w:lang w:val="en-GB" w:eastAsia="en-US"/>
        </w:rPr>
      </w:pPr>
      <w:r w:rsidRPr="0047034D">
        <w:rPr>
          <w:rFonts w:eastAsiaTheme="minorHAnsi" w:cs="Times New Roman"/>
          <w:lang w:val="en-GB" w:eastAsia="en-US"/>
        </w:rPr>
        <w:t>Google Translate</w:t>
      </w:r>
      <w:r w:rsidR="004514D5">
        <w:rPr>
          <w:rFonts w:eastAsiaTheme="minorHAnsi" w:cs="Times New Roman"/>
          <w:lang w:val="ru-RU" w:eastAsia="en-US"/>
        </w:rPr>
        <w:t>;</w:t>
      </w:r>
    </w:p>
    <w:p w:rsidR="00244145" w:rsidRPr="0047034D" w:rsidRDefault="00244145" w:rsidP="00244145">
      <w:pPr>
        <w:pStyle w:val="ListParagraph"/>
        <w:numPr>
          <w:ilvl w:val="0"/>
          <w:numId w:val="8"/>
        </w:numPr>
        <w:ind w:left="1134" w:hanging="567"/>
        <w:rPr>
          <w:rFonts w:eastAsiaTheme="minorHAnsi" w:cs="Times New Roman"/>
          <w:lang w:val="ru-RU" w:eastAsia="en-US"/>
        </w:rPr>
      </w:pPr>
      <w:r w:rsidRPr="0047034D">
        <w:rPr>
          <w:rFonts w:eastAsiaTheme="minorHAnsi" w:cs="Times New Roman"/>
          <w:lang w:val="en-GB" w:eastAsia="en-US"/>
        </w:rPr>
        <w:t>Esp@cenet – Patent Translate</w:t>
      </w:r>
      <w:r w:rsidRPr="0047034D">
        <w:rPr>
          <w:rFonts w:eastAsiaTheme="minorHAnsi" w:cs="Times New Roman"/>
          <w:lang w:val="ru-RU" w:eastAsia="en-US"/>
        </w:rPr>
        <w:t xml:space="preserve"> (сервис на основе </w:t>
      </w:r>
      <w:r w:rsidRPr="0047034D">
        <w:rPr>
          <w:rFonts w:eastAsiaTheme="minorHAnsi" w:cs="Times New Roman"/>
          <w:lang w:val="en-GB" w:eastAsia="en-US"/>
        </w:rPr>
        <w:t>Google Translate</w:t>
      </w:r>
      <w:r w:rsidRPr="0047034D">
        <w:rPr>
          <w:rFonts w:eastAsiaTheme="minorHAnsi" w:cs="Times New Roman"/>
          <w:lang w:val="ru-RU" w:eastAsia="en-US"/>
        </w:rPr>
        <w:t>)</w:t>
      </w:r>
      <w:r w:rsidR="004514D5">
        <w:rPr>
          <w:rFonts w:eastAsiaTheme="minorHAnsi" w:cs="Times New Roman"/>
          <w:lang w:val="ru-RU" w:eastAsia="en-US"/>
        </w:rPr>
        <w:t>.</w:t>
      </w:r>
    </w:p>
    <w:p w:rsidR="00244145" w:rsidRPr="0047034D" w:rsidRDefault="00244145" w:rsidP="00244145">
      <w:pPr>
        <w:rPr>
          <w:rFonts w:eastAsiaTheme="minorHAnsi" w:cs="Times New Roman"/>
          <w:lang w:val="ru-RU" w:eastAsia="en-US"/>
        </w:rPr>
      </w:pPr>
    </w:p>
    <w:p w:rsidR="00244145" w:rsidRPr="0047034D" w:rsidRDefault="00244145" w:rsidP="00244145">
      <w:pPr>
        <w:pStyle w:val="SectionHeading"/>
        <w:rPr>
          <w:lang w:val="ru-RU"/>
        </w:rPr>
      </w:pPr>
      <w:r w:rsidRPr="0047034D">
        <w:rPr>
          <w:lang w:val="ru-RU"/>
        </w:rPr>
        <w:t>2.2</w:t>
      </w:r>
      <w:r w:rsidRPr="0047034D">
        <w:rPr>
          <w:rFonts w:ascii="arial bold" w:hAnsi="arial bold"/>
          <w:iCs/>
          <w:caps w:val="0"/>
          <w:lang w:val="ru-RU"/>
        </w:rPr>
        <w:t xml:space="preserve"> </w:t>
      </w:r>
      <w:r w:rsidRPr="0047034D">
        <w:rPr>
          <w:lang w:val="ru-RU"/>
        </w:rPr>
        <w:t>– Система управления качеством</w:t>
      </w:r>
    </w:p>
    <w:p w:rsidR="00244145" w:rsidRPr="0047034D" w:rsidRDefault="00244145" w:rsidP="00244145">
      <w:pPr>
        <w:rPr>
          <w:b/>
          <w:i/>
          <w:lang w:val="ru-RU"/>
        </w:rPr>
      </w:pPr>
      <w:r w:rsidRPr="0047034D">
        <w:rPr>
          <w:b/>
          <w:bCs/>
          <w:i/>
          <w:iCs/>
          <w:lang w:val="ru-RU"/>
        </w:rPr>
        <w:t>Правила 36.1(iv) и 63.1(iv):  Это ведомство или организация должны иметь систему управления качеством и механизмы внутреннего контроля в соответствии с общими правилами международного поиска.</w:t>
      </w:r>
    </w:p>
    <w:p w:rsidR="00244145" w:rsidRPr="0047034D" w:rsidRDefault="00244145" w:rsidP="00244145">
      <w:pPr>
        <w:rPr>
          <w:b/>
          <w:bCs/>
          <w:szCs w:val="22"/>
          <w:lang w:val="ru-RU"/>
        </w:rPr>
      </w:pPr>
    </w:p>
    <w:p w:rsidR="00244145" w:rsidRPr="0047034D" w:rsidRDefault="00244145" w:rsidP="00244145">
      <w:pPr>
        <w:rPr>
          <w:rFonts w:eastAsiaTheme="minorHAnsi" w:cs="Times New Roman"/>
          <w:lang w:val="ru-RU" w:eastAsia="en-US"/>
        </w:rPr>
      </w:pPr>
      <w:r w:rsidRPr="0047034D">
        <w:rPr>
          <w:rFonts w:eastAsiaTheme="minorHAnsi" w:cs="Times New Roman"/>
          <w:lang w:val="ru-RU" w:eastAsia="en-US"/>
        </w:rPr>
        <w:t xml:space="preserve">APO по-прежнему выполняет или перевыполняет все требования, содержащиеся в главе 21 Руководства PCT.  Мы стремимся постоянно совершенствовать свою профильную деятельность и соответствующую систему управления качеством (СУК).  Наш отчет о СУК подготовлен в полном соответствии с главой 21 Руководства PCT по проведению международного поиска и международной предварительной экспертизы, и все ежегодные отчеты APO о проверке качества, выпущенные с 2006 года, доступны на веб-сайте ВОИС по адресу:  </w:t>
      </w:r>
      <w:hyperlink r:id="rId12" w:history="1">
        <w:r w:rsidRPr="0047034D">
          <w:rPr>
            <w:rStyle w:val="Hyperlink"/>
            <w:lang w:val="ru-RU"/>
          </w:rPr>
          <w:t>http://www.wipo.int/pct/en/quality/authorities.html</w:t>
        </w:r>
      </w:hyperlink>
      <w:r w:rsidRPr="0047034D">
        <w:rPr>
          <w:rFonts w:eastAsiaTheme="minorHAnsi" w:cs="Times New Roman"/>
          <w:lang w:val="ru-RU" w:eastAsia="en-US"/>
        </w:rPr>
        <w:t>.  Наша СУК сертифицирована по стандарту ISO 9001 с 2006 года.</w:t>
      </w:r>
    </w:p>
    <w:p w:rsidR="00244145" w:rsidRPr="0047034D" w:rsidRDefault="00244145" w:rsidP="00244145">
      <w:pPr>
        <w:rPr>
          <w:rFonts w:eastAsiaTheme="minorHAnsi" w:cs="Times New Roman"/>
          <w:lang w:val="ru-RU" w:eastAsia="en-US"/>
        </w:rPr>
      </w:pPr>
    </w:p>
    <w:p w:rsidR="00244145" w:rsidRPr="0047034D" w:rsidRDefault="00244145" w:rsidP="00244145">
      <w:pPr>
        <w:rPr>
          <w:b/>
          <w:bCs/>
          <w:szCs w:val="22"/>
          <w:lang w:val="ru-RU"/>
        </w:rPr>
      </w:pPr>
      <w:r w:rsidRPr="0047034D">
        <w:rPr>
          <w:b/>
          <w:bCs/>
          <w:szCs w:val="22"/>
          <w:lang w:val="ru-RU"/>
        </w:rPr>
        <w:t xml:space="preserve">Гарантированные сроки обслуживания клиентов:  </w:t>
      </w:r>
      <w:r w:rsidRPr="0047034D">
        <w:rPr>
          <w:rFonts w:eastAsiaTheme="minorHAnsi" w:cs="Times New Roman"/>
          <w:bCs/>
          <w:lang w:val="ru-RU" w:eastAsia="en-US"/>
        </w:rPr>
        <w:t>Отчеты о качестве обслуживания клиентов публикуются ежеквартально на сайте ведомства</w:t>
      </w:r>
      <w:r w:rsidRPr="0047034D">
        <w:rPr>
          <w:rFonts w:eastAsiaTheme="minorHAnsi" w:cs="Times New Roman"/>
          <w:bCs/>
          <w:vertAlign w:val="superscript"/>
          <w:lang w:val="ru-RU" w:eastAsia="en-US"/>
        </w:rPr>
        <w:footnoteReference w:id="2"/>
      </w:r>
      <w:r w:rsidRPr="0047034D">
        <w:rPr>
          <w:rFonts w:eastAsiaTheme="minorHAnsi" w:cs="Times New Roman"/>
          <w:bCs/>
          <w:lang w:val="ru-RU" w:eastAsia="en-US"/>
        </w:rPr>
        <w:t>, и в них указываются, например, средние сроки выдачи отчетов о международном поиске за последний квартал по отношению к принятому стандарту.</w:t>
      </w:r>
    </w:p>
    <w:p w:rsidR="00244145" w:rsidRPr="0047034D" w:rsidRDefault="00244145" w:rsidP="00244145">
      <w:pPr>
        <w:keepNext/>
        <w:shd w:val="clear" w:color="auto" w:fill="FFFFFF"/>
        <w:spacing w:before="300" w:after="225"/>
        <w:textAlignment w:val="top"/>
        <w:outlineLvl w:val="1"/>
        <w:rPr>
          <w:rFonts w:eastAsiaTheme="minorHAnsi"/>
          <w:bCs/>
          <w:i/>
          <w:iCs/>
          <w:caps/>
          <w:spacing w:val="-8"/>
          <w:szCs w:val="22"/>
          <w:lang w:val="ru-RU" w:eastAsia="en-US"/>
        </w:rPr>
      </w:pPr>
      <w:r w:rsidRPr="0047034D">
        <w:rPr>
          <w:rFonts w:eastAsiaTheme="minorHAnsi"/>
          <w:bCs/>
          <w:i/>
          <w:iCs/>
          <w:caps/>
          <w:spacing w:val="-8"/>
          <w:szCs w:val="22"/>
          <w:lang w:val="ru-RU" w:eastAsia="en-US"/>
        </w:rPr>
        <w:t>Стандарт регистрации и экспертизы патентов</w:t>
      </w:r>
    </w:p>
    <w:p w:rsidR="00244145" w:rsidRPr="0047034D" w:rsidRDefault="00244145" w:rsidP="00244145">
      <w:pPr>
        <w:numPr>
          <w:ilvl w:val="0"/>
          <w:numId w:val="9"/>
        </w:numPr>
        <w:shd w:val="clear" w:color="auto" w:fill="FFFFFF"/>
        <w:tabs>
          <w:tab w:val="clear" w:pos="360"/>
          <w:tab w:val="num" w:pos="567"/>
        </w:tabs>
        <w:spacing w:before="100" w:beforeAutospacing="1" w:after="100" w:afterAutospacing="1"/>
        <w:ind w:left="567" w:hanging="567"/>
        <w:rPr>
          <w:rFonts w:eastAsiaTheme="minorHAnsi"/>
          <w:szCs w:val="22"/>
          <w:lang w:val="ru-RU" w:eastAsia="en-US"/>
        </w:rPr>
      </w:pPr>
      <w:r w:rsidRPr="0047034D">
        <w:rPr>
          <w:rFonts w:eastAsiaTheme="minorHAnsi"/>
          <w:szCs w:val="22"/>
          <w:lang w:val="ru-RU" w:eastAsia="en-US"/>
        </w:rPr>
        <w:t xml:space="preserve">Отчеты о международном поиске выпускаются в течение </w:t>
      </w:r>
      <w:r w:rsidRPr="0047034D">
        <w:rPr>
          <w:rFonts w:eastAsiaTheme="minorHAnsi"/>
          <w:b/>
          <w:bCs/>
          <w:szCs w:val="22"/>
          <w:lang w:val="ru-RU" w:eastAsia="en-US"/>
        </w:rPr>
        <w:t>10 недель</w:t>
      </w:r>
      <w:r w:rsidRPr="0047034D">
        <w:rPr>
          <w:rFonts w:eastAsiaTheme="minorHAnsi"/>
          <w:szCs w:val="22"/>
          <w:lang w:val="ru-RU" w:eastAsia="en-US"/>
        </w:rPr>
        <w:t xml:space="preserve"> после получения копии международной заявки, предназначенной для проведения поиска, кроме случаев, когда заявка подается в отношении нескольких изобретений сразу.</w:t>
      </w:r>
    </w:p>
    <w:p w:rsidR="00244145" w:rsidRPr="0047034D" w:rsidRDefault="00244145" w:rsidP="00244145">
      <w:pPr>
        <w:numPr>
          <w:ilvl w:val="0"/>
          <w:numId w:val="9"/>
        </w:numPr>
        <w:shd w:val="clear" w:color="auto" w:fill="FFFFFF"/>
        <w:tabs>
          <w:tab w:val="clear" w:pos="360"/>
          <w:tab w:val="num" w:pos="567"/>
        </w:tabs>
        <w:spacing w:before="100" w:beforeAutospacing="1" w:after="100" w:afterAutospacing="1"/>
        <w:ind w:left="567" w:hanging="567"/>
        <w:rPr>
          <w:rFonts w:eastAsiaTheme="minorHAnsi"/>
          <w:szCs w:val="22"/>
          <w:lang w:val="ru-RU" w:eastAsia="en-US"/>
        </w:rPr>
      </w:pPr>
      <w:r w:rsidRPr="0047034D">
        <w:rPr>
          <w:rFonts w:eastAsiaTheme="minorHAnsi"/>
          <w:szCs w:val="22"/>
          <w:lang w:val="ru-RU" w:eastAsia="en-US"/>
        </w:rPr>
        <w:t xml:space="preserve">Отчеты о патентном поиске международного типа выпускаются в течение </w:t>
      </w:r>
      <w:r w:rsidRPr="0047034D">
        <w:rPr>
          <w:rFonts w:eastAsiaTheme="minorHAnsi"/>
          <w:b/>
          <w:bCs/>
          <w:szCs w:val="22"/>
          <w:lang w:val="ru-RU" w:eastAsia="en-US"/>
        </w:rPr>
        <w:t>6 недель</w:t>
      </w:r>
      <w:r w:rsidRPr="0047034D">
        <w:rPr>
          <w:rFonts w:eastAsiaTheme="minorHAnsi"/>
          <w:szCs w:val="22"/>
          <w:lang w:val="ru-RU" w:eastAsia="en-US"/>
        </w:rPr>
        <w:t xml:space="preserve"> после получения запроса о проведении поиска, кроме случаев, когда запрос о поиске касается нескольких изобретений сразу или мы просим вас предоставить письменное поисковое предписание.</w:t>
      </w:r>
    </w:p>
    <w:p w:rsidR="00244145" w:rsidRPr="0047034D" w:rsidRDefault="00244145" w:rsidP="00244145">
      <w:pPr>
        <w:numPr>
          <w:ilvl w:val="0"/>
          <w:numId w:val="9"/>
        </w:numPr>
        <w:shd w:val="clear" w:color="auto" w:fill="FFFFFF"/>
        <w:tabs>
          <w:tab w:val="clear" w:pos="360"/>
          <w:tab w:val="num" w:pos="567"/>
        </w:tabs>
        <w:spacing w:before="100" w:beforeAutospacing="1" w:after="100" w:afterAutospacing="1"/>
        <w:ind w:left="567" w:hanging="567"/>
        <w:rPr>
          <w:rFonts w:eastAsiaTheme="minorHAnsi"/>
          <w:szCs w:val="22"/>
          <w:lang w:val="ru-RU" w:eastAsia="en-US"/>
        </w:rPr>
      </w:pPr>
      <w:r w:rsidRPr="0047034D">
        <w:rPr>
          <w:rFonts w:eastAsiaTheme="minorHAnsi"/>
          <w:szCs w:val="22"/>
          <w:lang w:val="ru-RU" w:eastAsia="en-US"/>
        </w:rPr>
        <w:t xml:space="preserve">Ответы на письма, касающиеся проводимой экспертизы, направляются в течение </w:t>
      </w:r>
      <w:r w:rsidRPr="0047034D">
        <w:rPr>
          <w:rFonts w:eastAsiaTheme="minorHAnsi"/>
          <w:b/>
          <w:bCs/>
          <w:szCs w:val="22"/>
          <w:lang w:val="ru-RU" w:eastAsia="en-US"/>
        </w:rPr>
        <w:t>20 рабочих дней</w:t>
      </w:r>
      <w:r w:rsidRPr="0047034D">
        <w:rPr>
          <w:rFonts w:eastAsiaTheme="minorHAnsi"/>
          <w:szCs w:val="22"/>
          <w:lang w:val="ru-RU" w:eastAsia="en-US"/>
        </w:rPr>
        <w:t xml:space="preserve"> после их получения.</w:t>
      </w:r>
    </w:p>
    <w:p w:rsidR="00244145" w:rsidRPr="0047034D" w:rsidRDefault="00244145" w:rsidP="00244145">
      <w:pPr>
        <w:keepNext/>
        <w:shd w:val="clear" w:color="auto" w:fill="FFFFFF"/>
        <w:spacing w:after="225"/>
        <w:textAlignment w:val="top"/>
        <w:outlineLvl w:val="1"/>
        <w:rPr>
          <w:rFonts w:eastAsiaTheme="minorHAnsi"/>
          <w:i/>
          <w:szCs w:val="22"/>
          <w:lang w:val="ru-RU" w:eastAsia="en-US"/>
        </w:rPr>
      </w:pPr>
      <w:r w:rsidRPr="0047034D">
        <w:rPr>
          <w:rFonts w:eastAsiaTheme="minorHAnsi"/>
          <w:i/>
          <w:iCs/>
          <w:szCs w:val="22"/>
          <w:lang w:val="ru-RU" w:eastAsia="en-US"/>
        </w:rPr>
        <w:t>Стандарты качества результатов патентного поиска и экспертизы 1-го уровня</w:t>
      </w:r>
    </w:p>
    <w:p w:rsidR="00244145" w:rsidRPr="0047034D" w:rsidRDefault="00244145" w:rsidP="00244145">
      <w:pPr>
        <w:keepNext/>
        <w:shd w:val="clear" w:color="auto" w:fill="FFFFFF"/>
        <w:spacing w:after="225"/>
        <w:textAlignment w:val="top"/>
        <w:outlineLvl w:val="1"/>
        <w:rPr>
          <w:rFonts w:eastAsiaTheme="minorHAnsi"/>
          <w:szCs w:val="22"/>
          <w:lang w:val="ru-RU" w:eastAsia="en-US"/>
        </w:rPr>
      </w:pPr>
      <w:r w:rsidRPr="0047034D">
        <w:rPr>
          <w:rFonts w:eastAsiaTheme="minorHAnsi"/>
          <w:szCs w:val="22"/>
          <w:lang w:val="ru-RU" w:eastAsia="en-US"/>
        </w:rPr>
        <w:t>Стандарты качества отчетов, касающиеся ошибок, которые негативно повлияют (или потенциально могут негативно повлиять) на действительность права интеллектуальной собственности (ИС):</w:t>
      </w:r>
    </w:p>
    <w:p w:rsidR="00244145" w:rsidRPr="0047034D" w:rsidRDefault="00244145" w:rsidP="00244145">
      <w:pPr>
        <w:pStyle w:val="ListParagraph"/>
        <w:keepNext/>
        <w:numPr>
          <w:ilvl w:val="0"/>
          <w:numId w:val="15"/>
        </w:numPr>
        <w:shd w:val="clear" w:color="auto" w:fill="FFFFFF"/>
        <w:spacing w:after="225"/>
        <w:ind w:left="567" w:hanging="567"/>
        <w:textAlignment w:val="top"/>
        <w:outlineLvl w:val="1"/>
        <w:rPr>
          <w:rFonts w:eastAsiaTheme="minorHAnsi"/>
          <w:szCs w:val="22"/>
          <w:lang w:val="ru-RU" w:eastAsia="en-US"/>
        </w:rPr>
      </w:pPr>
      <w:r w:rsidRPr="0047034D">
        <w:rPr>
          <w:rFonts w:eastAsiaTheme="minorHAnsi"/>
          <w:szCs w:val="22"/>
          <w:lang w:val="ru-RU" w:eastAsia="en-US"/>
        </w:rPr>
        <w:t>применение правильных процедур при проведении поиска;</w:t>
      </w:r>
    </w:p>
    <w:p w:rsidR="00244145" w:rsidRPr="0047034D" w:rsidRDefault="00244145" w:rsidP="00244145">
      <w:pPr>
        <w:pStyle w:val="ListParagraph"/>
        <w:keepNext/>
        <w:numPr>
          <w:ilvl w:val="0"/>
          <w:numId w:val="15"/>
        </w:numPr>
        <w:shd w:val="clear" w:color="auto" w:fill="FFFFFF"/>
        <w:spacing w:after="225"/>
        <w:ind w:left="567" w:hanging="567"/>
        <w:textAlignment w:val="top"/>
        <w:outlineLvl w:val="1"/>
        <w:rPr>
          <w:rFonts w:eastAsiaTheme="minorHAnsi"/>
          <w:szCs w:val="22"/>
          <w:lang w:val="ru-RU" w:eastAsia="en-US"/>
        </w:rPr>
      </w:pPr>
      <w:r w:rsidRPr="0047034D">
        <w:rPr>
          <w:rFonts w:eastAsiaTheme="minorHAnsi"/>
          <w:szCs w:val="22"/>
          <w:lang w:val="ru-RU" w:eastAsia="en-US"/>
        </w:rPr>
        <w:t>учет всех уместных возражений/соображений, которые негативно повлияют (или потенциально могут негативно повлиять) на действительность патента.</w:t>
      </w:r>
    </w:p>
    <w:p w:rsidR="00244145" w:rsidRPr="0047034D" w:rsidRDefault="00244145" w:rsidP="00244145">
      <w:pPr>
        <w:keepNext/>
        <w:shd w:val="clear" w:color="auto" w:fill="FFFFFF"/>
        <w:spacing w:after="225"/>
        <w:textAlignment w:val="top"/>
        <w:outlineLvl w:val="1"/>
        <w:rPr>
          <w:rFonts w:eastAsiaTheme="minorHAnsi"/>
          <w:szCs w:val="22"/>
          <w:lang w:val="ru-RU" w:eastAsia="en-US"/>
        </w:rPr>
      </w:pPr>
      <w:r w:rsidRPr="0047034D">
        <w:rPr>
          <w:rFonts w:eastAsiaTheme="minorHAnsi"/>
          <w:i/>
          <w:iCs/>
          <w:szCs w:val="22"/>
          <w:lang w:val="ru-RU" w:eastAsia="en-US"/>
        </w:rPr>
        <w:t>Стандарты качества результатов патентного поиска и экспертизы 2-го уровня</w:t>
      </w:r>
    </w:p>
    <w:p w:rsidR="00244145" w:rsidRPr="0047034D" w:rsidRDefault="00244145" w:rsidP="00244145">
      <w:pPr>
        <w:shd w:val="clear" w:color="auto" w:fill="FFFFFF"/>
        <w:autoSpaceDE w:val="0"/>
        <w:autoSpaceDN w:val="0"/>
        <w:spacing w:line="240" w:lineRule="atLeast"/>
        <w:rPr>
          <w:rFonts w:eastAsiaTheme="minorHAnsi"/>
          <w:szCs w:val="22"/>
          <w:lang w:val="ru-RU" w:eastAsia="en-US"/>
        </w:rPr>
      </w:pPr>
      <w:r w:rsidRPr="0047034D">
        <w:rPr>
          <w:rFonts w:eastAsiaTheme="minorHAnsi"/>
          <w:szCs w:val="22"/>
          <w:lang w:val="ru-RU" w:eastAsia="en-US"/>
        </w:rPr>
        <w:t xml:space="preserve">Стандарты качества отчетов, касающиеся ошибок, которые </w:t>
      </w:r>
      <w:r w:rsidR="004514D5">
        <w:rPr>
          <w:rFonts w:eastAsiaTheme="minorHAnsi"/>
          <w:szCs w:val="22"/>
          <w:lang w:val="ru-RU" w:eastAsia="en-US"/>
        </w:rPr>
        <w:t>повлекут за собой</w:t>
      </w:r>
      <w:r w:rsidRPr="0047034D">
        <w:rPr>
          <w:rFonts w:eastAsiaTheme="minorHAnsi"/>
          <w:szCs w:val="22"/>
          <w:lang w:val="ru-RU" w:eastAsia="en-US"/>
        </w:rPr>
        <w:t xml:space="preserve"> значительн</w:t>
      </w:r>
      <w:r w:rsidR="004514D5">
        <w:rPr>
          <w:rFonts w:eastAsiaTheme="minorHAnsi"/>
          <w:szCs w:val="22"/>
          <w:lang w:val="ru-RU" w:eastAsia="en-US"/>
        </w:rPr>
        <w:t>ый объем</w:t>
      </w:r>
      <w:r w:rsidRPr="0047034D">
        <w:rPr>
          <w:rFonts w:eastAsiaTheme="minorHAnsi"/>
          <w:szCs w:val="22"/>
          <w:lang w:val="ru-RU" w:eastAsia="en-US"/>
        </w:rPr>
        <w:t xml:space="preserve"> повторной работы и/или вызовут неудобства для заявителя или </w:t>
      </w:r>
      <w:r w:rsidRPr="0047034D">
        <w:rPr>
          <w:rFonts w:eastAsiaTheme="minorHAnsi"/>
          <w:szCs w:val="22"/>
          <w:lang w:val="en-GB" w:eastAsia="en-US"/>
        </w:rPr>
        <w:t>IP Australia</w:t>
      </w:r>
      <w:r w:rsidRPr="0047034D">
        <w:rPr>
          <w:rFonts w:eastAsiaTheme="minorHAnsi"/>
          <w:szCs w:val="22"/>
          <w:lang w:val="ru-RU" w:eastAsia="en-US"/>
        </w:rPr>
        <w:t>:</w:t>
      </w:r>
    </w:p>
    <w:p w:rsidR="00244145" w:rsidRPr="0047034D" w:rsidRDefault="00244145" w:rsidP="00244145">
      <w:pPr>
        <w:pStyle w:val="ListParagraph"/>
        <w:numPr>
          <w:ilvl w:val="0"/>
          <w:numId w:val="16"/>
        </w:numPr>
        <w:shd w:val="clear" w:color="auto" w:fill="FFFFFF"/>
        <w:autoSpaceDE w:val="0"/>
        <w:autoSpaceDN w:val="0"/>
        <w:spacing w:line="240" w:lineRule="atLeast"/>
        <w:ind w:left="567" w:hanging="567"/>
        <w:rPr>
          <w:rFonts w:eastAsiaTheme="minorHAnsi"/>
          <w:szCs w:val="22"/>
          <w:lang w:val="ru-RU" w:eastAsia="en-US"/>
        </w:rPr>
      </w:pPr>
      <w:r w:rsidRPr="0047034D">
        <w:rPr>
          <w:rFonts w:eastAsiaTheme="minorHAnsi"/>
          <w:szCs w:val="22"/>
          <w:lang w:val="ru-RU" w:eastAsia="en-US"/>
        </w:rPr>
        <w:t>учет всех прочих важных возражений/соображений;</w:t>
      </w:r>
    </w:p>
    <w:p w:rsidR="00244145" w:rsidRPr="0047034D" w:rsidRDefault="00244145" w:rsidP="00244145">
      <w:pPr>
        <w:pStyle w:val="ListParagraph"/>
        <w:numPr>
          <w:ilvl w:val="0"/>
          <w:numId w:val="16"/>
        </w:numPr>
        <w:shd w:val="clear" w:color="auto" w:fill="FFFFFF"/>
        <w:autoSpaceDE w:val="0"/>
        <w:autoSpaceDN w:val="0"/>
        <w:spacing w:line="240" w:lineRule="atLeast"/>
        <w:ind w:left="567" w:hanging="567"/>
        <w:rPr>
          <w:rFonts w:eastAsiaTheme="minorHAnsi"/>
          <w:szCs w:val="22"/>
          <w:lang w:val="ru-RU" w:eastAsia="en-US"/>
        </w:rPr>
      </w:pPr>
      <w:r w:rsidRPr="0047034D">
        <w:rPr>
          <w:rFonts w:eastAsiaTheme="minorHAnsi"/>
          <w:szCs w:val="22"/>
          <w:lang w:val="ru-RU" w:eastAsia="en-US"/>
        </w:rPr>
        <w:t>отсутствие в отчете/заключении необоснованных возражений/соображений;</w:t>
      </w:r>
    </w:p>
    <w:p w:rsidR="00244145" w:rsidRPr="0047034D" w:rsidRDefault="00244145" w:rsidP="00244145">
      <w:pPr>
        <w:pStyle w:val="ListParagraph"/>
        <w:numPr>
          <w:ilvl w:val="0"/>
          <w:numId w:val="16"/>
        </w:numPr>
        <w:shd w:val="clear" w:color="auto" w:fill="FFFFFF"/>
        <w:autoSpaceDE w:val="0"/>
        <w:autoSpaceDN w:val="0"/>
        <w:spacing w:line="240" w:lineRule="atLeast"/>
        <w:ind w:left="567" w:hanging="567"/>
        <w:rPr>
          <w:rFonts w:eastAsiaTheme="minorHAnsi"/>
          <w:szCs w:val="22"/>
          <w:lang w:val="ru-RU" w:eastAsia="en-US"/>
        </w:rPr>
      </w:pPr>
      <w:r w:rsidRPr="0047034D">
        <w:rPr>
          <w:rFonts w:eastAsiaTheme="minorHAnsi"/>
          <w:szCs w:val="22"/>
          <w:lang w:val="ru-RU" w:eastAsia="en-US"/>
        </w:rPr>
        <w:t>исчерпывающий характер и информативность всех отчетов и заключений.</w:t>
      </w:r>
    </w:p>
    <w:p w:rsidR="00244145" w:rsidRPr="0047034D" w:rsidRDefault="00244145" w:rsidP="00244145">
      <w:pPr>
        <w:shd w:val="clear" w:color="auto" w:fill="FFFFFF"/>
        <w:autoSpaceDE w:val="0"/>
        <w:autoSpaceDN w:val="0"/>
        <w:spacing w:line="240" w:lineRule="atLeast"/>
        <w:rPr>
          <w:rFonts w:eastAsiaTheme="minorHAnsi"/>
          <w:szCs w:val="22"/>
          <w:lang w:val="ru-RU" w:eastAsia="en-US"/>
        </w:rPr>
      </w:pPr>
    </w:p>
    <w:p w:rsidR="00244145" w:rsidRPr="0047034D" w:rsidRDefault="00244145" w:rsidP="00244145">
      <w:pPr>
        <w:keepNext/>
        <w:keepLines/>
        <w:shd w:val="clear" w:color="auto" w:fill="FFFFFF"/>
        <w:autoSpaceDE w:val="0"/>
        <w:autoSpaceDN w:val="0"/>
        <w:spacing w:line="240" w:lineRule="atLeast"/>
        <w:rPr>
          <w:rFonts w:eastAsiaTheme="minorHAnsi"/>
          <w:i/>
          <w:szCs w:val="22"/>
          <w:lang w:val="ru-RU" w:eastAsia="en-US"/>
        </w:rPr>
      </w:pPr>
      <w:r w:rsidRPr="0047034D">
        <w:rPr>
          <w:rFonts w:eastAsiaTheme="minorHAnsi"/>
          <w:i/>
          <w:iCs/>
          <w:szCs w:val="22"/>
          <w:lang w:val="ru-RU" w:eastAsia="en-US"/>
        </w:rPr>
        <w:t>Стандарты качества результатов патентного поиска и экспертизы 3-го уровня</w:t>
      </w:r>
    </w:p>
    <w:p w:rsidR="00244145" w:rsidRPr="0047034D" w:rsidRDefault="00244145" w:rsidP="00244145">
      <w:pPr>
        <w:keepNext/>
        <w:keepLines/>
        <w:shd w:val="clear" w:color="auto" w:fill="FFFFFF"/>
        <w:autoSpaceDE w:val="0"/>
        <w:autoSpaceDN w:val="0"/>
        <w:spacing w:line="240" w:lineRule="atLeast"/>
        <w:rPr>
          <w:rFonts w:eastAsiaTheme="minorHAnsi"/>
          <w:i/>
          <w:szCs w:val="22"/>
          <w:lang w:val="ru-RU" w:eastAsia="en-US"/>
        </w:rPr>
      </w:pPr>
    </w:p>
    <w:p w:rsidR="00244145" w:rsidRPr="0047034D" w:rsidRDefault="00244145" w:rsidP="00244145">
      <w:pPr>
        <w:keepNext/>
        <w:keepLines/>
        <w:shd w:val="clear" w:color="auto" w:fill="FFFFFF"/>
        <w:autoSpaceDE w:val="0"/>
        <w:autoSpaceDN w:val="0"/>
        <w:spacing w:line="240" w:lineRule="atLeast"/>
        <w:rPr>
          <w:rFonts w:eastAsiaTheme="minorHAnsi"/>
          <w:szCs w:val="22"/>
          <w:lang w:val="ru-RU" w:eastAsia="en-US"/>
        </w:rPr>
      </w:pPr>
      <w:r w:rsidRPr="0047034D">
        <w:rPr>
          <w:rFonts w:eastAsiaTheme="minorHAnsi"/>
          <w:szCs w:val="22"/>
          <w:lang w:val="ru-RU" w:eastAsia="en-US"/>
        </w:rPr>
        <w:t>Стандарты качества отчетов, касающиеся других важных процедур, соблюдение которых предусмотрено руководством по патентной экспертизе:</w:t>
      </w:r>
    </w:p>
    <w:p w:rsidR="00244145" w:rsidRPr="0047034D" w:rsidRDefault="00244145" w:rsidP="00244145">
      <w:pPr>
        <w:pStyle w:val="ListParagraph"/>
        <w:keepNext/>
        <w:keepLines/>
        <w:numPr>
          <w:ilvl w:val="0"/>
          <w:numId w:val="17"/>
        </w:numPr>
        <w:shd w:val="clear" w:color="auto" w:fill="FFFFFF"/>
        <w:autoSpaceDE w:val="0"/>
        <w:autoSpaceDN w:val="0"/>
        <w:spacing w:line="240" w:lineRule="atLeast"/>
        <w:ind w:left="567" w:hanging="567"/>
        <w:rPr>
          <w:rFonts w:eastAsiaTheme="minorHAnsi"/>
          <w:szCs w:val="22"/>
          <w:lang w:val="ru-RU" w:eastAsia="en-US"/>
        </w:rPr>
      </w:pPr>
      <w:r w:rsidRPr="0047034D">
        <w:rPr>
          <w:rFonts w:eastAsiaTheme="minorHAnsi"/>
          <w:szCs w:val="22"/>
          <w:lang w:val="ru-RU" w:eastAsia="en-US"/>
        </w:rPr>
        <w:t>правильное сообщение и хранение результатов поиска;</w:t>
      </w:r>
    </w:p>
    <w:p w:rsidR="00244145" w:rsidRPr="0047034D" w:rsidRDefault="00244145" w:rsidP="00244145">
      <w:pPr>
        <w:pStyle w:val="ListParagraph"/>
        <w:numPr>
          <w:ilvl w:val="0"/>
          <w:numId w:val="17"/>
        </w:numPr>
        <w:shd w:val="clear" w:color="auto" w:fill="FFFFFF"/>
        <w:autoSpaceDE w:val="0"/>
        <w:autoSpaceDN w:val="0"/>
        <w:spacing w:line="240" w:lineRule="atLeast"/>
        <w:ind w:left="567" w:hanging="567"/>
        <w:rPr>
          <w:rFonts w:eastAsiaTheme="minorHAnsi" w:cs="Times New Roman"/>
          <w:lang w:val="ru-RU" w:eastAsia="en-US"/>
        </w:rPr>
      </w:pPr>
      <w:r w:rsidRPr="0047034D">
        <w:rPr>
          <w:rFonts w:eastAsiaTheme="minorHAnsi" w:cs="Times New Roman"/>
          <w:lang w:val="ru-RU" w:eastAsia="en-US"/>
        </w:rPr>
        <w:t>полное и правильное соблюдение письменных формальностей.</w:t>
      </w:r>
    </w:p>
    <w:p w:rsidR="00244145" w:rsidRPr="0047034D" w:rsidRDefault="00244145" w:rsidP="00244145">
      <w:pPr>
        <w:pStyle w:val="SectionHeading"/>
        <w:rPr>
          <w:lang w:val="ru-RU"/>
        </w:rPr>
      </w:pPr>
      <w:r w:rsidRPr="0047034D">
        <w:rPr>
          <w:lang w:val="ru-RU"/>
        </w:rPr>
        <w:t>3 – Предполагаемый объем деятельности</w:t>
      </w:r>
    </w:p>
    <w:p w:rsidR="00244145" w:rsidRPr="0047034D" w:rsidRDefault="00244145" w:rsidP="00244145">
      <w:pPr>
        <w:keepNext/>
        <w:rPr>
          <w:szCs w:val="22"/>
          <w:lang w:val="ru-RU"/>
        </w:rPr>
      </w:pPr>
      <w:r w:rsidRPr="0047034D">
        <w:rPr>
          <w:b/>
          <w:bCs/>
          <w:szCs w:val="22"/>
          <w:lang w:val="ru-RU"/>
        </w:rPr>
        <w:t xml:space="preserve">Язык(и) предоставления услуг:  </w:t>
      </w:r>
      <w:r w:rsidR="000D7F14">
        <w:rPr>
          <w:szCs w:val="22"/>
          <w:lang w:val="ru-RU"/>
        </w:rPr>
        <w:t>а</w:t>
      </w:r>
      <w:r w:rsidRPr="0047034D">
        <w:rPr>
          <w:szCs w:val="22"/>
          <w:lang w:val="ru-RU"/>
        </w:rPr>
        <w:t>нглийский</w:t>
      </w:r>
      <w:r w:rsidR="004755B4">
        <w:rPr>
          <w:szCs w:val="22"/>
          <w:lang w:val="ru-RU"/>
        </w:rPr>
        <w:t>.</w:t>
      </w:r>
    </w:p>
    <w:p w:rsidR="00244145" w:rsidRPr="0047034D" w:rsidRDefault="00244145" w:rsidP="00244145">
      <w:pPr>
        <w:keepNext/>
        <w:rPr>
          <w:b/>
          <w:bCs/>
          <w:szCs w:val="22"/>
          <w:lang w:val="ru-RU"/>
        </w:rPr>
      </w:pPr>
    </w:p>
    <w:p w:rsidR="00244145" w:rsidRPr="0047034D" w:rsidRDefault="00244145" w:rsidP="00244145">
      <w:pPr>
        <w:keepLines/>
        <w:rPr>
          <w:szCs w:val="22"/>
          <w:lang w:val="ru-RU"/>
        </w:rPr>
      </w:pPr>
      <w:r w:rsidRPr="0047034D">
        <w:rPr>
          <w:b/>
          <w:bCs/>
          <w:szCs w:val="22"/>
          <w:lang w:val="ru-RU"/>
        </w:rPr>
        <w:t xml:space="preserve">Государство (-а) или получающее ведомство (получающие ведомства), на которое (-ые) распространяется компетенция органа:  </w:t>
      </w:r>
      <w:r w:rsidRPr="0047034D">
        <w:rPr>
          <w:szCs w:val="22"/>
          <w:lang w:val="ru-RU"/>
        </w:rPr>
        <w:t xml:space="preserve">APO действует как компетентный МПО в отношении следующих государств и ведомств: </w:t>
      </w:r>
      <w:r w:rsidR="004755B4">
        <w:rPr>
          <w:szCs w:val="22"/>
          <w:lang w:val="ru-RU"/>
        </w:rPr>
        <w:t xml:space="preserve"> </w:t>
      </w:r>
      <w:r w:rsidRPr="0047034D">
        <w:rPr>
          <w:szCs w:val="22"/>
          <w:lang w:val="ru-RU"/>
        </w:rPr>
        <w:t>Австралия, Бруней, Гана, Индонезия, Индия, Международное бюро (для граждан и резидентов Нигерии, Сент-Люсии, Сент-Винсента и Гренадин, Шри-Ланки и Объединенных Арабских Эмиратов), Кения, Республика Корея, Либерия, Малайзия, Новая Зеландия, Папуа — Новая Гвинея, Филиппины, Сингапур, Таиланд, Соединенные Штаты Америки, Вьетнам, Южная Африка и Зимбабве.</w:t>
      </w:r>
    </w:p>
    <w:p w:rsidR="00244145" w:rsidRPr="0047034D" w:rsidRDefault="00244145" w:rsidP="00244145">
      <w:pPr>
        <w:rPr>
          <w:szCs w:val="22"/>
          <w:lang w:val="ru-RU"/>
        </w:rPr>
      </w:pPr>
    </w:p>
    <w:p w:rsidR="00244145" w:rsidRPr="0047034D" w:rsidRDefault="00244145" w:rsidP="00244145">
      <w:pPr>
        <w:rPr>
          <w:szCs w:val="22"/>
          <w:lang w:val="ru-RU"/>
        </w:rPr>
      </w:pPr>
      <w:r w:rsidRPr="0047034D">
        <w:rPr>
          <w:b/>
          <w:bCs/>
          <w:szCs w:val="22"/>
          <w:lang w:val="ru-RU"/>
        </w:rPr>
        <w:t xml:space="preserve">Ограничения объема деятельности:  </w:t>
      </w:r>
      <w:r w:rsidRPr="0047034D">
        <w:rPr>
          <w:szCs w:val="22"/>
          <w:lang w:val="ru-RU"/>
        </w:rPr>
        <w:t>APO не применяет никаких ограничений на объем своей деятельности, кроме перечня государств, в отношении которых оно выступает компетентным органом.</w:t>
      </w:r>
    </w:p>
    <w:p w:rsidR="00244145" w:rsidRPr="0047034D" w:rsidRDefault="00244145" w:rsidP="00244145">
      <w:pPr>
        <w:pStyle w:val="SectionHeading"/>
        <w:rPr>
          <w:lang w:val="ru-RU"/>
        </w:rPr>
      </w:pPr>
      <w:r w:rsidRPr="0047034D">
        <w:rPr>
          <w:lang w:val="ru-RU"/>
        </w:rPr>
        <w:t>4 – Обоснование заявления</w:t>
      </w:r>
    </w:p>
    <w:p w:rsidR="00244145" w:rsidRPr="0047034D" w:rsidRDefault="00244145" w:rsidP="00244145">
      <w:pPr>
        <w:rPr>
          <w:szCs w:val="22"/>
          <w:lang w:val="ru-RU"/>
        </w:rPr>
      </w:pPr>
      <w:r w:rsidRPr="0047034D">
        <w:rPr>
          <w:szCs w:val="22"/>
          <w:lang w:val="en-GB"/>
        </w:rPr>
        <w:t>IP Australia</w:t>
      </w:r>
      <w:r w:rsidRPr="0047034D">
        <w:rPr>
          <w:szCs w:val="22"/>
          <w:lang w:val="ru-RU"/>
        </w:rPr>
        <w:t xml:space="preserve"> признает ВОИС основным форумом для отстаивания на международном уровне интересов Австралии в сфере ИС и продолжит стремиться к наведению мостов</w:t>
      </w:r>
      <w:r w:rsidR="004755B4">
        <w:rPr>
          <w:szCs w:val="22"/>
          <w:lang w:val="ru-RU"/>
        </w:rPr>
        <w:t xml:space="preserve"> между странами</w:t>
      </w:r>
      <w:r w:rsidRPr="0047034D">
        <w:rPr>
          <w:szCs w:val="22"/>
          <w:lang w:val="ru-RU"/>
        </w:rPr>
        <w:t xml:space="preserve"> и поддерживать ВОИС, помогая обеспечивать ее эффективность и результативность как международной организации.  В результате успешных договоренностей между австралийским правительством и Международным бюро APO действует в качестве МПО/ОМПЭ с 31 марта 1980 г. и успело заслужить прочную репутацию в сообществе PCT.  Мы, как и прежде, демонстрируем поддержку ВОИС, в том числе в вопросе необходимости реформы PCT, и рассматриваем ее как важнейший орган по развитию международного законодательства и практики в сфере ИС.  Наше участие в различных совещаниях и комитетах по техническим вопросам и выработке политики способствует оптимизации международных систем ИС (что приводит к быстрому прохождению австралийских заявок через них), повышению качества работы за счет участия ведомства в инициативах по распределению рабочей нагрузки и улучшению применимости системы PCT.  Продление нашего назначения в качестве Международного органа усиливает наше участие в международных делах:  наша организация стремится к устранению разногласий между развивающимися и развитыми странами в ВОИС, оказывая инновационные международные услуги и занимаясь укреплением потенциала ведомств Азиатско-Тихоокеанского региона.  Для этих целей мы осуществляем различные мероприятия по сотрудничеству и стараемся подавать хороший пример другим странам.</w:t>
      </w:r>
    </w:p>
    <w:p w:rsidR="00244145" w:rsidRPr="0047034D" w:rsidRDefault="00244145" w:rsidP="00244145">
      <w:pPr>
        <w:rPr>
          <w:szCs w:val="22"/>
          <w:lang w:val="ru-RU"/>
        </w:rPr>
      </w:pPr>
    </w:p>
    <w:p w:rsidR="00244145" w:rsidRPr="0047034D" w:rsidRDefault="00244145" w:rsidP="00244145">
      <w:pPr>
        <w:rPr>
          <w:szCs w:val="22"/>
          <w:lang w:val="ru-RU"/>
        </w:rPr>
      </w:pPr>
      <w:r w:rsidRPr="0047034D">
        <w:rPr>
          <w:szCs w:val="22"/>
          <w:lang w:val="ru-RU"/>
        </w:rPr>
        <w:t xml:space="preserve">Так, наша Региональная программа обучения патентной экспертизе (RPET) успешно выполняется уже много лет, удостоена высоких наград и получает положительные отзывы от </w:t>
      </w:r>
      <w:r w:rsidR="00F40ED9">
        <w:rPr>
          <w:szCs w:val="22"/>
          <w:lang w:val="ru-RU"/>
        </w:rPr>
        <w:t xml:space="preserve">ее </w:t>
      </w:r>
      <w:r w:rsidRPr="0047034D">
        <w:rPr>
          <w:szCs w:val="22"/>
          <w:lang w:val="ru-RU"/>
        </w:rPr>
        <w:t>участников и от мирового сообщества ИС.  Будучи первой в мире программой виртуального обучения, RPET по-прежнему является ключевым механизмом усовершенствования практики поиска и экспертизы в нашем регионе.  RPET — это целостная программа и инфраструктура подготовки кадров, которая:</w:t>
      </w:r>
    </w:p>
    <w:p w:rsidR="00244145" w:rsidRPr="0047034D" w:rsidRDefault="00244145" w:rsidP="00244145">
      <w:pPr>
        <w:pStyle w:val="ListParagraph"/>
        <w:numPr>
          <w:ilvl w:val="0"/>
          <w:numId w:val="18"/>
        </w:numPr>
        <w:rPr>
          <w:szCs w:val="22"/>
          <w:lang w:val="ru-RU"/>
        </w:rPr>
      </w:pPr>
      <w:r w:rsidRPr="0047034D">
        <w:rPr>
          <w:szCs w:val="22"/>
          <w:lang w:val="ru-RU"/>
        </w:rPr>
        <w:t>обеспечивает более устойчивое обучение патентной экспертизе для зарубежных ведомств; и</w:t>
      </w:r>
    </w:p>
    <w:p w:rsidR="00244145" w:rsidRPr="0047034D" w:rsidRDefault="00244145" w:rsidP="00244145">
      <w:pPr>
        <w:pStyle w:val="ListParagraph"/>
        <w:numPr>
          <w:ilvl w:val="0"/>
          <w:numId w:val="18"/>
        </w:numPr>
        <w:rPr>
          <w:szCs w:val="22"/>
          <w:lang w:val="ru-RU"/>
        </w:rPr>
      </w:pPr>
      <w:r w:rsidRPr="0047034D">
        <w:rPr>
          <w:szCs w:val="22"/>
          <w:lang w:val="ru-RU"/>
        </w:rPr>
        <w:t>может использоваться для поддержки инициатив по распределению работы и сотрудничеству с другими ведомствами ИС.</w:t>
      </w:r>
    </w:p>
    <w:p w:rsidR="00244145" w:rsidRPr="0047034D" w:rsidRDefault="00244145" w:rsidP="00244145">
      <w:pPr>
        <w:pStyle w:val="ListParagraph"/>
        <w:rPr>
          <w:szCs w:val="22"/>
          <w:lang w:val="ru-RU"/>
        </w:rPr>
      </w:pPr>
    </w:p>
    <w:p w:rsidR="00244145" w:rsidRPr="0047034D" w:rsidRDefault="00244145" w:rsidP="00244145">
      <w:pPr>
        <w:rPr>
          <w:szCs w:val="22"/>
          <w:lang w:val="ru-RU"/>
        </w:rPr>
      </w:pPr>
      <w:r w:rsidRPr="0047034D">
        <w:rPr>
          <w:szCs w:val="22"/>
          <w:lang w:val="ru-RU"/>
        </w:rPr>
        <w:t xml:space="preserve">Благодаря этой программе у ведомств-участников повышаются стандарты патентной экспертизы, что приводит к выдаче более качественных патентов и повышению предпринимательской уверенности во всем регионе АСЕАН.  Эффективное сотрудничество укрепляет нашу репутацию как качественного и надежного поставщика услуг по профессиональной подготовке и повышению квалификации в области ИС, а также укрепляет рабочие отношения и связи на уровне руководства с ведомствами-участниками и партнерами программы.  </w:t>
      </w:r>
    </w:p>
    <w:p w:rsidR="00244145" w:rsidRPr="0047034D" w:rsidRDefault="00244145" w:rsidP="00244145">
      <w:pPr>
        <w:rPr>
          <w:szCs w:val="22"/>
          <w:lang w:val="ru-RU"/>
        </w:rPr>
      </w:pPr>
    </w:p>
    <w:p w:rsidR="00244145" w:rsidRPr="0047034D" w:rsidRDefault="00244145" w:rsidP="00244145">
      <w:pPr>
        <w:rPr>
          <w:szCs w:val="22"/>
          <w:lang w:val="ru-RU"/>
        </w:rPr>
      </w:pPr>
      <w:r w:rsidRPr="0047034D">
        <w:rPr>
          <w:szCs w:val="22"/>
          <w:lang w:val="ru-RU"/>
        </w:rPr>
        <w:t xml:space="preserve">Еще одним примером нашей деятельности в интересах всего региона является австралийский целевой фонд (ЦФ) ВОИС, впервые сформированный в 2012 году.  Наше тесное сотрудничество с ВОИС и государствами-получателями направлено на достижение практических результатов в усовершенствовании систем ИС во всем мире, но в первую очередь в Индо-Тихоокеанском регионе.  Особенно успешной оказалась инициатива WIPO Re:Search, способствующая проведению совместных исследований в области забытых тропических болезней.  От оптимизации систем ИС, администрирования и передачи технологий внутри региона выигрывают австралийцы, заинтересованные в торговле с этими странами.  ЦФ также приносит разнообразную пользу гуманитарного характера, соответствующую приоритетам всего австралийского правительства (например, обеспечение доступа к книгам для лиц с нарушениями зрения в развивающихся странах).  Работа целевого фонда также повысила статус и авторитет Австралии в глазах государств-членов и Секретариата ВОИС.  Она укрепляет нашу репутацию как конструктивного участника нормотворческой деятельности ВОИС и расширила географический охват глобальных систем и услуг ВОИС для предприятий-партнеров. </w:t>
      </w:r>
    </w:p>
    <w:p w:rsidR="00244145" w:rsidRPr="0047034D" w:rsidRDefault="00244145" w:rsidP="00244145">
      <w:pPr>
        <w:rPr>
          <w:szCs w:val="22"/>
          <w:lang w:val="ru-RU"/>
        </w:rPr>
      </w:pPr>
    </w:p>
    <w:p w:rsidR="00244145" w:rsidRDefault="00F40ED9" w:rsidP="00244145">
      <w:pPr>
        <w:rPr>
          <w:szCs w:val="22"/>
          <w:lang w:val="ru-RU"/>
        </w:rPr>
      </w:pPr>
      <w:r>
        <w:rPr>
          <w:szCs w:val="22"/>
          <w:lang w:val="en-GB"/>
        </w:rPr>
        <w:t>IP Australia</w:t>
      </w:r>
      <w:r w:rsidR="00244145" w:rsidRPr="0047034D">
        <w:rPr>
          <w:szCs w:val="22"/>
          <w:lang w:val="ru-RU"/>
        </w:rPr>
        <w:t xml:space="preserve"> содействует развитию региональной и глобальной системы ИС в интересах своих пользователей и для этой цели взаимодействует с другими ведомствами ИС.  Мы работаем с похожими ведомствами среднего размера, такими как британское и канадское, делясь наработанными стратегиями поиска, а также сотрудничаем с другими донорами в рамках мероприятий по наращиванию потенциала.  В качестве МПО/ОМПЭ мы можем продолжать влиять на развитие международной системы ИС с позиций надежно работающей организации, поддерживающей другие ведомства и системы ИС в Азиатско-Тихоокеанском регионе.  Услуги, оказываемые нашим ведомством в качестве МПО/ОМПЭ, высоко ценятся и весьма востребованы австралийскими участниками инновационной деятельности:  нас выбирает своим международным поисковым органом подавляющее большинство австралийских заявителей наряду с пользователями из других стран, в том числе из Соединенных Штатов Америки, Новой Зеландии, Сингапура, Малайзии и Республики Корея.  Мы предоставляем первоклассные услуги патентного поиска и экспертизы на раннем этапе процесса подачи международных патентных заявок.  Это дает значительные преимущества для секторов промышленности и технологий в Австралии, отчасти благодаря тому, что заявителям и их юридическим консультантам всегда легко связаться с нашими экспертами и административными сотрудниками.  Это обеспечивает доступность наших широких знаний и навыков и удобство использования этого ресурса для бизнеса и научных организаций.  Этот помогает австралийским участникам инновационного сектора быстро принимать решения о подаче патентных заявок и потенциально экономит их время и средства.  </w:t>
      </w:r>
    </w:p>
    <w:p w:rsidR="00F40ED9" w:rsidRPr="0047034D" w:rsidRDefault="00F40ED9" w:rsidP="00244145">
      <w:pPr>
        <w:rPr>
          <w:szCs w:val="22"/>
          <w:lang w:val="ru-RU"/>
        </w:rPr>
      </w:pPr>
    </w:p>
    <w:p w:rsidR="00244145" w:rsidRPr="0047034D" w:rsidRDefault="00244145" w:rsidP="00244145">
      <w:pPr>
        <w:pStyle w:val="SectionHeading"/>
        <w:rPr>
          <w:lang w:val="ru-RU"/>
        </w:rPr>
      </w:pPr>
      <w:r w:rsidRPr="0047034D">
        <w:rPr>
          <w:lang w:val="ru-RU"/>
        </w:rPr>
        <w:t>5 – Характеристика патентных заявок</w:t>
      </w:r>
    </w:p>
    <w:p w:rsidR="00244145" w:rsidRPr="0047034D" w:rsidRDefault="00244145" w:rsidP="00244145">
      <w:pPr>
        <w:rPr>
          <w:i/>
          <w:lang w:val="ru-RU"/>
        </w:rPr>
      </w:pPr>
      <w:r w:rsidRPr="0047034D">
        <w:rPr>
          <w:i/>
          <w:iCs/>
          <w:lang w:val="ru-RU"/>
        </w:rPr>
        <w:t xml:space="preserve">Источник: Отдел внутренней отчетности </w:t>
      </w:r>
      <w:r w:rsidRPr="0047034D">
        <w:rPr>
          <w:i/>
          <w:iCs/>
          <w:lang w:val="en-GB"/>
        </w:rPr>
        <w:t>IP Australia</w:t>
      </w:r>
      <w:r w:rsidRPr="0047034D">
        <w:rPr>
          <w:i/>
          <w:iCs/>
          <w:lang w:val="ru-RU"/>
        </w:rPr>
        <w:t>.</w:t>
      </w:r>
    </w:p>
    <w:p w:rsidR="00244145" w:rsidRPr="0047034D" w:rsidRDefault="00244145" w:rsidP="00244145">
      <w:pPr>
        <w:rPr>
          <w:szCs w:val="22"/>
          <w:lang w:val="ru-RU"/>
        </w:rPr>
      </w:pPr>
    </w:p>
    <w:p w:rsidR="00244145" w:rsidRPr="0047034D" w:rsidRDefault="00244145" w:rsidP="00244145">
      <w:pPr>
        <w:rPr>
          <w:rFonts w:eastAsiaTheme="minorHAnsi" w:cs="Times New Roman"/>
          <w:b/>
          <w:bCs/>
          <w:lang w:val="ru-RU" w:eastAsia="en-US"/>
        </w:rPr>
      </w:pPr>
      <w:r w:rsidRPr="0047034D">
        <w:rPr>
          <w:rFonts w:eastAsiaTheme="minorHAnsi" w:cs="Times New Roman"/>
          <w:b/>
          <w:bCs/>
          <w:lang w:val="ru-RU" w:eastAsia="en-US"/>
        </w:rPr>
        <w:t>Количество полученных национальных заявок в разбивке по областям техники</w:t>
      </w:r>
    </w:p>
    <w:tbl>
      <w:tblPr>
        <w:tblW w:w="92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63"/>
        <w:gridCol w:w="1219"/>
        <w:gridCol w:w="1219"/>
        <w:gridCol w:w="1219"/>
        <w:gridCol w:w="1219"/>
        <w:gridCol w:w="1219"/>
      </w:tblGrid>
      <w:tr w:rsidR="002627F1" w:rsidRPr="0047034D" w:rsidTr="00F40ED9">
        <w:trPr>
          <w:trHeight w:val="292"/>
        </w:trPr>
        <w:tc>
          <w:tcPr>
            <w:tcW w:w="3163" w:type="dxa"/>
            <w:noWrap/>
            <w:tcMar>
              <w:top w:w="0" w:type="dxa"/>
              <w:left w:w="108" w:type="dxa"/>
              <w:bottom w:w="0" w:type="dxa"/>
              <w:right w:w="108" w:type="dxa"/>
            </w:tcMar>
            <w:vAlign w:val="bottom"/>
            <w:hideMark/>
          </w:tcPr>
          <w:p w:rsidR="00244145" w:rsidRPr="0047034D" w:rsidRDefault="00244145" w:rsidP="00244145">
            <w:pPr>
              <w:rPr>
                <w:rFonts w:ascii="Times New Roman" w:eastAsia="Times New Roman" w:hAnsi="Times New Roman" w:cs="Times New Roman"/>
                <w:sz w:val="20"/>
                <w:lang w:val="ru-RU" w:eastAsia="en-AU"/>
              </w:rPr>
            </w:pP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2012 г.</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2013 г.</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2014 г.</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2015 г.</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2016 г.</w:t>
            </w:r>
          </w:p>
        </w:tc>
      </w:tr>
      <w:tr w:rsidR="002627F1" w:rsidRPr="0047034D" w:rsidTr="00F40ED9">
        <w:trPr>
          <w:trHeight w:val="292"/>
        </w:trPr>
        <w:tc>
          <w:tcPr>
            <w:tcW w:w="3163" w:type="dxa"/>
            <w:noWrap/>
            <w:tcMar>
              <w:top w:w="0" w:type="dxa"/>
              <w:left w:w="108" w:type="dxa"/>
              <w:bottom w:w="0" w:type="dxa"/>
              <w:right w:w="108" w:type="dxa"/>
            </w:tcMar>
            <w:vAlign w:val="bottom"/>
            <w:hideMark/>
          </w:tcPr>
          <w:p w:rsidR="00244145" w:rsidRPr="0047034D" w:rsidRDefault="00244145" w:rsidP="00244145">
            <w:pPr>
              <w:rPr>
                <w:rFonts w:ascii="Calibri" w:eastAsiaTheme="minorHAnsi" w:hAnsi="Calibri" w:cs="Calibri"/>
                <w:szCs w:val="22"/>
                <w:lang w:val="ru-RU"/>
              </w:rPr>
            </w:pPr>
            <w:r w:rsidRPr="0047034D">
              <w:rPr>
                <w:rFonts w:eastAsiaTheme="minorHAnsi" w:cs="Times New Roman"/>
                <w:lang w:val="ru-RU"/>
              </w:rPr>
              <w:t>Не проиндексировано</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4</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4</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2</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5</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12</w:t>
            </w:r>
          </w:p>
        </w:tc>
      </w:tr>
      <w:tr w:rsidR="002627F1" w:rsidRPr="0047034D" w:rsidTr="00F40ED9">
        <w:trPr>
          <w:trHeight w:val="292"/>
        </w:trPr>
        <w:tc>
          <w:tcPr>
            <w:tcW w:w="3163" w:type="dxa"/>
            <w:noWrap/>
            <w:tcMar>
              <w:top w:w="0" w:type="dxa"/>
              <w:left w:w="108" w:type="dxa"/>
              <w:bottom w:w="0" w:type="dxa"/>
              <w:right w:w="108" w:type="dxa"/>
            </w:tcMar>
            <w:vAlign w:val="bottom"/>
            <w:hideMark/>
          </w:tcPr>
          <w:p w:rsidR="00244145" w:rsidRPr="0047034D" w:rsidRDefault="00244145" w:rsidP="00244145">
            <w:pPr>
              <w:rPr>
                <w:rFonts w:ascii="Calibri" w:eastAsiaTheme="minorHAnsi" w:hAnsi="Calibri" w:cs="Calibri"/>
                <w:szCs w:val="22"/>
                <w:lang w:val="ru-RU"/>
              </w:rPr>
            </w:pPr>
            <w:r w:rsidRPr="0047034D">
              <w:rPr>
                <w:rFonts w:eastAsiaTheme="minorHAnsi" w:cs="Times New Roman"/>
                <w:lang w:val="ru-RU"/>
              </w:rPr>
              <w:t>Химическая технология</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8 881</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10 144</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8 395</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9 354</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9 205</w:t>
            </w:r>
          </w:p>
        </w:tc>
      </w:tr>
      <w:tr w:rsidR="002627F1" w:rsidRPr="0047034D" w:rsidTr="00F40ED9">
        <w:trPr>
          <w:trHeight w:val="292"/>
        </w:trPr>
        <w:tc>
          <w:tcPr>
            <w:tcW w:w="3163" w:type="dxa"/>
            <w:noWrap/>
            <w:tcMar>
              <w:top w:w="0" w:type="dxa"/>
              <w:left w:w="108" w:type="dxa"/>
              <w:bottom w:w="0" w:type="dxa"/>
              <w:right w:w="108" w:type="dxa"/>
            </w:tcMar>
            <w:vAlign w:val="bottom"/>
            <w:hideMark/>
          </w:tcPr>
          <w:p w:rsidR="00244145" w:rsidRPr="0047034D" w:rsidRDefault="00244145" w:rsidP="00244145">
            <w:pPr>
              <w:rPr>
                <w:rFonts w:ascii="Calibri" w:eastAsiaTheme="minorHAnsi" w:hAnsi="Calibri" w:cs="Calibri"/>
                <w:szCs w:val="22"/>
                <w:lang w:val="ru-RU"/>
              </w:rPr>
            </w:pPr>
            <w:r w:rsidRPr="0047034D">
              <w:rPr>
                <w:rFonts w:eastAsiaTheme="minorHAnsi" w:cs="Times New Roman"/>
                <w:lang w:val="ru-RU"/>
              </w:rPr>
              <w:t>Электротехника</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6 977</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7 625</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7 071</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7 943</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7 979</w:t>
            </w:r>
          </w:p>
        </w:tc>
      </w:tr>
      <w:tr w:rsidR="002627F1" w:rsidRPr="0047034D" w:rsidTr="00F40ED9">
        <w:trPr>
          <w:trHeight w:val="292"/>
        </w:trPr>
        <w:tc>
          <w:tcPr>
            <w:tcW w:w="3163" w:type="dxa"/>
            <w:noWrap/>
            <w:tcMar>
              <w:top w:w="0" w:type="dxa"/>
              <w:left w:w="108" w:type="dxa"/>
              <w:bottom w:w="0" w:type="dxa"/>
              <w:right w:w="108" w:type="dxa"/>
            </w:tcMar>
            <w:vAlign w:val="bottom"/>
            <w:hideMark/>
          </w:tcPr>
          <w:p w:rsidR="00244145" w:rsidRPr="0047034D" w:rsidRDefault="00244145" w:rsidP="00244145">
            <w:pPr>
              <w:rPr>
                <w:rFonts w:ascii="Calibri" w:eastAsiaTheme="minorHAnsi" w:hAnsi="Calibri" w:cs="Calibri"/>
                <w:szCs w:val="22"/>
                <w:lang w:val="ru-RU"/>
              </w:rPr>
            </w:pPr>
            <w:r w:rsidRPr="0047034D">
              <w:rPr>
                <w:rFonts w:eastAsiaTheme="minorHAnsi" w:cs="Times New Roman"/>
                <w:lang w:val="ru-RU"/>
              </w:rPr>
              <w:t>Машиностроение</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10 477</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11 883</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10 469</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11 326</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11 227</w:t>
            </w:r>
          </w:p>
        </w:tc>
      </w:tr>
      <w:tr w:rsidR="002627F1" w:rsidRPr="0047034D" w:rsidTr="00F40ED9">
        <w:trPr>
          <w:trHeight w:val="292"/>
        </w:trPr>
        <w:tc>
          <w:tcPr>
            <w:tcW w:w="3163" w:type="dxa"/>
            <w:noWrap/>
            <w:tcMar>
              <w:top w:w="0" w:type="dxa"/>
              <w:left w:w="108" w:type="dxa"/>
              <w:bottom w:w="0" w:type="dxa"/>
              <w:right w:w="108" w:type="dxa"/>
            </w:tcMar>
            <w:vAlign w:val="bottom"/>
          </w:tcPr>
          <w:p w:rsidR="00244145" w:rsidRPr="0047034D" w:rsidRDefault="00244145" w:rsidP="00244145">
            <w:pPr>
              <w:rPr>
                <w:rFonts w:eastAsiaTheme="minorHAnsi" w:cs="Times New Roman"/>
                <w:lang w:val="ru-RU"/>
              </w:rPr>
            </w:pPr>
            <w:r w:rsidRPr="0047034D">
              <w:rPr>
                <w:rFonts w:eastAsiaTheme="minorHAnsi" w:cs="Times New Roman"/>
                <w:lang w:val="ru-RU"/>
              </w:rPr>
              <w:t>Всего</w:t>
            </w:r>
          </w:p>
        </w:tc>
        <w:tc>
          <w:tcPr>
            <w:tcW w:w="1219" w:type="dxa"/>
            <w:noWrap/>
            <w:tcMar>
              <w:top w:w="0" w:type="dxa"/>
              <w:left w:w="108" w:type="dxa"/>
              <w:bottom w:w="0" w:type="dxa"/>
              <w:right w:w="108" w:type="dxa"/>
            </w:tcMar>
            <w:vAlign w:val="bottom"/>
          </w:tcPr>
          <w:p w:rsidR="00244145" w:rsidRPr="0047034D" w:rsidRDefault="00244145" w:rsidP="00244145">
            <w:pPr>
              <w:jc w:val="right"/>
              <w:rPr>
                <w:rFonts w:eastAsiaTheme="minorHAnsi" w:cs="Times New Roman"/>
                <w:lang w:val="ru-RU"/>
              </w:rPr>
            </w:pPr>
            <w:r w:rsidRPr="0047034D">
              <w:rPr>
                <w:rFonts w:eastAsiaTheme="minorHAnsi" w:cs="Times New Roman"/>
                <w:lang w:val="ru-RU"/>
              </w:rPr>
              <w:t>26 339</w:t>
            </w:r>
          </w:p>
        </w:tc>
        <w:tc>
          <w:tcPr>
            <w:tcW w:w="1219" w:type="dxa"/>
            <w:noWrap/>
            <w:tcMar>
              <w:top w:w="0" w:type="dxa"/>
              <w:left w:w="108" w:type="dxa"/>
              <w:bottom w:w="0" w:type="dxa"/>
              <w:right w:w="108" w:type="dxa"/>
            </w:tcMar>
            <w:vAlign w:val="bottom"/>
          </w:tcPr>
          <w:p w:rsidR="00244145" w:rsidRPr="0047034D" w:rsidRDefault="00244145" w:rsidP="00244145">
            <w:pPr>
              <w:jc w:val="right"/>
              <w:rPr>
                <w:rFonts w:eastAsiaTheme="minorHAnsi" w:cs="Times New Roman"/>
                <w:lang w:val="ru-RU"/>
              </w:rPr>
            </w:pPr>
            <w:r w:rsidRPr="0047034D">
              <w:rPr>
                <w:rFonts w:eastAsiaTheme="minorHAnsi" w:cs="Times New Roman"/>
                <w:lang w:val="ru-RU"/>
              </w:rPr>
              <w:t>29 656</w:t>
            </w:r>
          </w:p>
        </w:tc>
        <w:tc>
          <w:tcPr>
            <w:tcW w:w="1219" w:type="dxa"/>
            <w:noWrap/>
            <w:tcMar>
              <w:top w:w="0" w:type="dxa"/>
              <w:left w:w="108" w:type="dxa"/>
              <w:bottom w:w="0" w:type="dxa"/>
              <w:right w:w="108" w:type="dxa"/>
            </w:tcMar>
            <w:vAlign w:val="bottom"/>
          </w:tcPr>
          <w:p w:rsidR="00244145" w:rsidRPr="0047034D" w:rsidRDefault="00244145" w:rsidP="00244145">
            <w:pPr>
              <w:jc w:val="right"/>
              <w:rPr>
                <w:rFonts w:eastAsiaTheme="minorHAnsi" w:cs="Times New Roman"/>
                <w:lang w:val="ru-RU"/>
              </w:rPr>
            </w:pPr>
            <w:r w:rsidRPr="0047034D">
              <w:rPr>
                <w:rFonts w:eastAsiaTheme="minorHAnsi" w:cs="Times New Roman"/>
                <w:lang w:val="ru-RU"/>
              </w:rPr>
              <w:t>25 937</w:t>
            </w:r>
          </w:p>
        </w:tc>
        <w:tc>
          <w:tcPr>
            <w:tcW w:w="1219" w:type="dxa"/>
            <w:noWrap/>
            <w:tcMar>
              <w:top w:w="0" w:type="dxa"/>
              <w:left w:w="108" w:type="dxa"/>
              <w:bottom w:w="0" w:type="dxa"/>
              <w:right w:w="108" w:type="dxa"/>
            </w:tcMar>
            <w:vAlign w:val="bottom"/>
          </w:tcPr>
          <w:p w:rsidR="00244145" w:rsidRPr="0047034D" w:rsidRDefault="00244145" w:rsidP="00244145">
            <w:pPr>
              <w:jc w:val="right"/>
              <w:rPr>
                <w:rFonts w:eastAsiaTheme="minorHAnsi" w:cs="Times New Roman"/>
                <w:lang w:val="ru-RU"/>
              </w:rPr>
            </w:pPr>
            <w:r w:rsidRPr="0047034D">
              <w:rPr>
                <w:rFonts w:eastAsiaTheme="minorHAnsi" w:cs="Times New Roman"/>
                <w:lang w:val="ru-RU"/>
              </w:rPr>
              <w:t>28 628</w:t>
            </w:r>
          </w:p>
        </w:tc>
        <w:tc>
          <w:tcPr>
            <w:tcW w:w="1219" w:type="dxa"/>
            <w:noWrap/>
            <w:tcMar>
              <w:top w:w="0" w:type="dxa"/>
              <w:left w:w="108" w:type="dxa"/>
              <w:bottom w:w="0" w:type="dxa"/>
              <w:right w:w="108" w:type="dxa"/>
            </w:tcMar>
            <w:vAlign w:val="bottom"/>
          </w:tcPr>
          <w:p w:rsidR="00244145" w:rsidRPr="0047034D" w:rsidRDefault="00244145" w:rsidP="00244145">
            <w:pPr>
              <w:jc w:val="right"/>
              <w:rPr>
                <w:rFonts w:eastAsiaTheme="minorHAnsi" w:cs="Times New Roman"/>
                <w:lang w:val="ru-RU"/>
              </w:rPr>
            </w:pPr>
            <w:r w:rsidRPr="0047034D">
              <w:rPr>
                <w:rFonts w:eastAsiaTheme="minorHAnsi" w:cs="Times New Roman"/>
                <w:lang w:val="ru-RU"/>
              </w:rPr>
              <w:t>28 423</w:t>
            </w:r>
          </w:p>
        </w:tc>
      </w:tr>
    </w:tbl>
    <w:p w:rsidR="00244145" w:rsidRPr="0047034D" w:rsidRDefault="00244145" w:rsidP="00244145">
      <w:pPr>
        <w:rPr>
          <w:rFonts w:eastAsiaTheme="minorHAnsi" w:cs="Times New Roman"/>
          <w:lang w:val="ru-RU" w:eastAsia="en-US"/>
        </w:rPr>
      </w:pPr>
    </w:p>
    <w:p w:rsidR="00244145" w:rsidRPr="0047034D" w:rsidRDefault="00244145" w:rsidP="00244145">
      <w:pPr>
        <w:rPr>
          <w:rFonts w:eastAsiaTheme="minorHAnsi" w:cs="Times New Roman"/>
          <w:b/>
          <w:bCs/>
          <w:lang w:val="ru-RU" w:eastAsia="en-US"/>
        </w:rPr>
      </w:pPr>
      <w:r w:rsidRPr="0047034D">
        <w:rPr>
          <w:rFonts w:eastAsiaTheme="minorHAnsi" w:cs="Times New Roman"/>
          <w:b/>
          <w:bCs/>
          <w:lang w:val="ru-RU" w:eastAsia="en-US"/>
        </w:rPr>
        <w:t xml:space="preserve">Количество полученных национальных заявок в разбивке по процедурам подачи </w:t>
      </w:r>
    </w:p>
    <w:tbl>
      <w:tblPr>
        <w:tblW w:w="93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63"/>
        <w:gridCol w:w="1236"/>
        <w:gridCol w:w="1236"/>
        <w:gridCol w:w="1237"/>
        <w:gridCol w:w="1236"/>
        <w:gridCol w:w="1237"/>
      </w:tblGrid>
      <w:tr w:rsidR="002627F1" w:rsidRPr="0047034D" w:rsidTr="00F40ED9">
        <w:trPr>
          <w:trHeight w:val="312"/>
        </w:trPr>
        <w:tc>
          <w:tcPr>
            <w:tcW w:w="3163" w:type="dxa"/>
            <w:noWrap/>
            <w:tcMar>
              <w:top w:w="0" w:type="dxa"/>
              <w:left w:w="108" w:type="dxa"/>
              <w:bottom w:w="0" w:type="dxa"/>
              <w:right w:w="108" w:type="dxa"/>
            </w:tcMar>
            <w:vAlign w:val="bottom"/>
            <w:hideMark/>
          </w:tcPr>
          <w:p w:rsidR="00244145" w:rsidRPr="0047034D" w:rsidRDefault="00244145" w:rsidP="00244145">
            <w:pPr>
              <w:rPr>
                <w:rFonts w:ascii="Times New Roman" w:eastAsia="Times New Roman" w:hAnsi="Times New Roman" w:cs="Times New Roman"/>
                <w:sz w:val="20"/>
                <w:lang w:val="ru-RU" w:eastAsia="en-AU"/>
              </w:rPr>
            </w:pPr>
          </w:p>
        </w:tc>
        <w:tc>
          <w:tcPr>
            <w:tcW w:w="1236"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2012 г.</w:t>
            </w:r>
          </w:p>
        </w:tc>
        <w:tc>
          <w:tcPr>
            <w:tcW w:w="1236"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2013 г.</w:t>
            </w:r>
          </w:p>
        </w:tc>
        <w:tc>
          <w:tcPr>
            <w:tcW w:w="1237"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2014 г.</w:t>
            </w:r>
          </w:p>
        </w:tc>
        <w:tc>
          <w:tcPr>
            <w:tcW w:w="1236"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2015 г.</w:t>
            </w:r>
          </w:p>
        </w:tc>
        <w:tc>
          <w:tcPr>
            <w:tcW w:w="1237"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2016 г.</w:t>
            </w:r>
          </w:p>
        </w:tc>
      </w:tr>
      <w:tr w:rsidR="002627F1" w:rsidRPr="0047034D" w:rsidTr="00F40ED9">
        <w:trPr>
          <w:trHeight w:val="312"/>
        </w:trPr>
        <w:tc>
          <w:tcPr>
            <w:tcW w:w="3163" w:type="dxa"/>
            <w:noWrap/>
            <w:tcMar>
              <w:top w:w="0" w:type="dxa"/>
              <w:left w:w="108" w:type="dxa"/>
              <w:bottom w:w="0" w:type="dxa"/>
              <w:right w:w="108" w:type="dxa"/>
            </w:tcMar>
            <w:vAlign w:val="bottom"/>
            <w:hideMark/>
          </w:tcPr>
          <w:p w:rsidR="00244145" w:rsidRPr="0047034D" w:rsidRDefault="00244145" w:rsidP="00244145">
            <w:pPr>
              <w:rPr>
                <w:rFonts w:eastAsiaTheme="minorHAnsi" w:cs="Times New Roman"/>
                <w:lang w:val="ru-RU"/>
              </w:rPr>
            </w:pPr>
            <w:r w:rsidRPr="0047034D">
              <w:rPr>
                <w:rFonts w:eastAsiaTheme="minorHAnsi" w:cs="Times New Roman"/>
                <w:lang w:val="ru-RU"/>
              </w:rPr>
              <w:t>Стандартная простая (из Австралии)</w:t>
            </w:r>
          </w:p>
        </w:tc>
        <w:tc>
          <w:tcPr>
            <w:tcW w:w="1236" w:type="dxa"/>
            <w:noWrap/>
            <w:tcMar>
              <w:top w:w="0" w:type="dxa"/>
              <w:left w:w="108" w:type="dxa"/>
              <w:bottom w:w="0" w:type="dxa"/>
              <w:right w:w="108" w:type="dxa"/>
            </w:tcMar>
            <w:hideMark/>
          </w:tcPr>
          <w:p w:rsidR="00244145" w:rsidRPr="0047034D" w:rsidRDefault="00244145" w:rsidP="00244145">
            <w:pPr>
              <w:jc w:val="right"/>
              <w:rPr>
                <w:rFonts w:eastAsiaTheme="minorHAnsi" w:cs="Times New Roman"/>
                <w:lang w:val="ru-RU"/>
              </w:rPr>
            </w:pPr>
            <w:r w:rsidRPr="0047034D">
              <w:rPr>
                <w:rFonts w:eastAsiaTheme="minorHAnsi" w:cs="Times New Roman"/>
                <w:lang w:val="ru-RU"/>
              </w:rPr>
              <w:t>1 553</w:t>
            </w:r>
          </w:p>
        </w:tc>
        <w:tc>
          <w:tcPr>
            <w:tcW w:w="1236" w:type="dxa"/>
            <w:noWrap/>
            <w:tcMar>
              <w:top w:w="0" w:type="dxa"/>
              <w:left w:w="108" w:type="dxa"/>
              <w:bottom w:w="0" w:type="dxa"/>
              <w:right w:w="108" w:type="dxa"/>
            </w:tcMar>
            <w:hideMark/>
          </w:tcPr>
          <w:p w:rsidR="00244145" w:rsidRPr="0047034D" w:rsidRDefault="00244145" w:rsidP="00244145">
            <w:pPr>
              <w:jc w:val="right"/>
              <w:rPr>
                <w:rFonts w:eastAsiaTheme="minorHAnsi" w:cs="Times New Roman"/>
                <w:lang w:val="ru-RU"/>
              </w:rPr>
            </w:pPr>
            <w:r w:rsidRPr="0047034D">
              <w:rPr>
                <w:rFonts w:eastAsiaTheme="minorHAnsi" w:cs="Times New Roman"/>
                <w:lang w:val="ru-RU"/>
              </w:rPr>
              <w:t>1 776</w:t>
            </w:r>
          </w:p>
        </w:tc>
        <w:tc>
          <w:tcPr>
            <w:tcW w:w="1237" w:type="dxa"/>
            <w:noWrap/>
            <w:tcMar>
              <w:top w:w="0" w:type="dxa"/>
              <w:left w:w="108" w:type="dxa"/>
              <w:bottom w:w="0" w:type="dxa"/>
              <w:right w:w="108" w:type="dxa"/>
            </w:tcMar>
            <w:hideMark/>
          </w:tcPr>
          <w:p w:rsidR="00244145" w:rsidRPr="0047034D" w:rsidRDefault="00244145" w:rsidP="00244145">
            <w:pPr>
              <w:jc w:val="right"/>
              <w:rPr>
                <w:rFonts w:eastAsiaTheme="minorHAnsi" w:cs="Times New Roman"/>
                <w:lang w:val="ru-RU"/>
              </w:rPr>
            </w:pPr>
            <w:r w:rsidRPr="0047034D">
              <w:rPr>
                <w:rFonts w:eastAsiaTheme="minorHAnsi" w:cs="Times New Roman"/>
                <w:lang w:val="ru-RU"/>
              </w:rPr>
              <w:t>1 223</w:t>
            </w:r>
          </w:p>
        </w:tc>
        <w:tc>
          <w:tcPr>
            <w:tcW w:w="1236" w:type="dxa"/>
            <w:noWrap/>
            <w:tcMar>
              <w:top w:w="0" w:type="dxa"/>
              <w:left w:w="108" w:type="dxa"/>
              <w:bottom w:w="0" w:type="dxa"/>
              <w:right w:w="108" w:type="dxa"/>
            </w:tcMar>
            <w:hideMark/>
          </w:tcPr>
          <w:p w:rsidR="00244145" w:rsidRPr="0047034D" w:rsidRDefault="00244145" w:rsidP="00244145">
            <w:pPr>
              <w:jc w:val="right"/>
              <w:rPr>
                <w:rFonts w:eastAsiaTheme="minorHAnsi" w:cs="Times New Roman"/>
                <w:lang w:val="ru-RU"/>
              </w:rPr>
            </w:pPr>
            <w:r w:rsidRPr="0047034D">
              <w:rPr>
                <w:rFonts w:eastAsiaTheme="minorHAnsi" w:cs="Times New Roman"/>
                <w:lang w:val="ru-RU"/>
              </w:rPr>
              <w:t>1 371</w:t>
            </w:r>
          </w:p>
        </w:tc>
        <w:tc>
          <w:tcPr>
            <w:tcW w:w="1237" w:type="dxa"/>
            <w:noWrap/>
            <w:tcMar>
              <w:top w:w="0" w:type="dxa"/>
              <w:left w:w="108" w:type="dxa"/>
              <w:bottom w:w="0" w:type="dxa"/>
              <w:right w:w="108" w:type="dxa"/>
            </w:tcMar>
            <w:hideMark/>
          </w:tcPr>
          <w:p w:rsidR="00244145" w:rsidRPr="0047034D" w:rsidRDefault="00244145" w:rsidP="00244145">
            <w:pPr>
              <w:jc w:val="right"/>
              <w:rPr>
                <w:rFonts w:eastAsiaTheme="minorHAnsi" w:cs="Times New Roman"/>
                <w:lang w:val="ru-RU"/>
              </w:rPr>
            </w:pPr>
            <w:r w:rsidRPr="0047034D">
              <w:rPr>
                <w:rFonts w:eastAsiaTheme="minorHAnsi" w:cs="Times New Roman"/>
                <w:lang w:val="ru-RU"/>
              </w:rPr>
              <w:t>1 620</w:t>
            </w:r>
          </w:p>
        </w:tc>
      </w:tr>
      <w:tr w:rsidR="002627F1" w:rsidRPr="0047034D" w:rsidTr="00F40ED9">
        <w:trPr>
          <w:trHeight w:val="312"/>
        </w:trPr>
        <w:tc>
          <w:tcPr>
            <w:tcW w:w="3163" w:type="dxa"/>
            <w:noWrap/>
            <w:tcMar>
              <w:top w:w="0" w:type="dxa"/>
              <w:left w:w="108" w:type="dxa"/>
              <w:bottom w:w="0" w:type="dxa"/>
              <w:right w:w="108" w:type="dxa"/>
            </w:tcMar>
            <w:vAlign w:val="bottom"/>
            <w:hideMark/>
          </w:tcPr>
          <w:p w:rsidR="00244145" w:rsidRPr="0047034D" w:rsidRDefault="00244145" w:rsidP="00244145">
            <w:pPr>
              <w:rPr>
                <w:rFonts w:eastAsiaTheme="minorHAnsi" w:cs="Times New Roman"/>
                <w:lang w:val="ru-RU"/>
              </w:rPr>
            </w:pPr>
            <w:r w:rsidRPr="0047034D">
              <w:rPr>
                <w:rFonts w:eastAsiaTheme="minorHAnsi" w:cs="Times New Roman"/>
                <w:lang w:val="ru-RU"/>
              </w:rPr>
              <w:t>Стандартная простая (не из Австралии)</w:t>
            </w:r>
          </w:p>
        </w:tc>
        <w:tc>
          <w:tcPr>
            <w:tcW w:w="1236" w:type="dxa"/>
            <w:noWrap/>
            <w:tcMar>
              <w:top w:w="0" w:type="dxa"/>
              <w:left w:w="108" w:type="dxa"/>
              <w:bottom w:w="0" w:type="dxa"/>
              <w:right w:w="108" w:type="dxa"/>
            </w:tcMar>
            <w:hideMark/>
          </w:tcPr>
          <w:p w:rsidR="00244145" w:rsidRPr="0047034D" w:rsidRDefault="00244145" w:rsidP="00244145">
            <w:pPr>
              <w:jc w:val="right"/>
              <w:rPr>
                <w:rFonts w:eastAsiaTheme="minorHAnsi" w:cs="Times New Roman"/>
                <w:lang w:val="ru-RU"/>
              </w:rPr>
            </w:pPr>
            <w:r w:rsidRPr="0047034D">
              <w:rPr>
                <w:rFonts w:eastAsiaTheme="minorHAnsi" w:cs="Times New Roman"/>
                <w:lang w:val="ru-RU"/>
              </w:rPr>
              <w:t>5 678</w:t>
            </w:r>
          </w:p>
        </w:tc>
        <w:tc>
          <w:tcPr>
            <w:tcW w:w="1236" w:type="dxa"/>
            <w:noWrap/>
            <w:tcMar>
              <w:top w:w="0" w:type="dxa"/>
              <w:left w:w="108" w:type="dxa"/>
              <w:bottom w:w="0" w:type="dxa"/>
              <w:right w:w="108" w:type="dxa"/>
            </w:tcMar>
            <w:hideMark/>
          </w:tcPr>
          <w:p w:rsidR="00244145" w:rsidRPr="0047034D" w:rsidRDefault="00244145" w:rsidP="00244145">
            <w:pPr>
              <w:jc w:val="right"/>
              <w:rPr>
                <w:rFonts w:eastAsiaTheme="minorHAnsi" w:cs="Times New Roman"/>
                <w:lang w:val="ru-RU"/>
              </w:rPr>
            </w:pPr>
            <w:r w:rsidRPr="0047034D">
              <w:rPr>
                <w:rFonts w:eastAsiaTheme="minorHAnsi" w:cs="Times New Roman"/>
                <w:lang w:val="ru-RU"/>
              </w:rPr>
              <w:t>7 179</w:t>
            </w:r>
          </w:p>
        </w:tc>
        <w:tc>
          <w:tcPr>
            <w:tcW w:w="1237" w:type="dxa"/>
            <w:noWrap/>
            <w:tcMar>
              <w:top w:w="0" w:type="dxa"/>
              <w:left w:w="108" w:type="dxa"/>
              <w:bottom w:w="0" w:type="dxa"/>
              <w:right w:w="108" w:type="dxa"/>
            </w:tcMar>
            <w:hideMark/>
          </w:tcPr>
          <w:p w:rsidR="00244145" w:rsidRPr="0047034D" w:rsidRDefault="00244145" w:rsidP="00244145">
            <w:pPr>
              <w:jc w:val="right"/>
              <w:rPr>
                <w:rFonts w:eastAsiaTheme="minorHAnsi" w:cs="Times New Roman"/>
                <w:lang w:val="ru-RU"/>
              </w:rPr>
            </w:pPr>
            <w:r w:rsidRPr="0047034D">
              <w:rPr>
                <w:rFonts w:eastAsiaTheme="minorHAnsi" w:cs="Times New Roman"/>
                <w:lang w:val="ru-RU"/>
              </w:rPr>
              <w:t>5 520</w:t>
            </w:r>
          </w:p>
        </w:tc>
        <w:tc>
          <w:tcPr>
            <w:tcW w:w="1236" w:type="dxa"/>
            <w:noWrap/>
            <w:tcMar>
              <w:top w:w="0" w:type="dxa"/>
              <w:left w:w="108" w:type="dxa"/>
              <w:bottom w:w="0" w:type="dxa"/>
              <w:right w:w="108" w:type="dxa"/>
            </w:tcMar>
            <w:hideMark/>
          </w:tcPr>
          <w:p w:rsidR="00244145" w:rsidRPr="0047034D" w:rsidRDefault="00244145" w:rsidP="00244145">
            <w:pPr>
              <w:jc w:val="right"/>
              <w:rPr>
                <w:rFonts w:eastAsiaTheme="minorHAnsi" w:cs="Times New Roman"/>
                <w:lang w:val="ru-RU"/>
              </w:rPr>
            </w:pPr>
            <w:r w:rsidRPr="0047034D">
              <w:rPr>
                <w:rFonts w:eastAsiaTheme="minorHAnsi" w:cs="Times New Roman"/>
                <w:lang w:val="ru-RU"/>
              </w:rPr>
              <w:t>6 193</w:t>
            </w:r>
          </w:p>
        </w:tc>
        <w:tc>
          <w:tcPr>
            <w:tcW w:w="1237" w:type="dxa"/>
            <w:noWrap/>
            <w:tcMar>
              <w:top w:w="0" w:type="dxa"/>
              <w:left w:w="108" w:type="dxa"/>
              <w:bottom w:w="0" w:type="dxa"/>
              <w:right w:w="108" w:type="dxa"/>
            </w:tcMar>
            <w:hideMark/>
          </w:tcPr>
          <w:p w:rsidR="00244145" w:rsidRPr="0047034D" w:rsidRDefault="00244145" w:rsidP="00244145">
            <w:pPr>
              <w:jc w:val="right"/>
              <w:rPr>
                <w:rFonts w:eastAsiaTheme="minorHAnsi" w:cs="Times New Roman"/>
                <w:lang w:val="ru-RU"/>
              </w:rPr>
            </w:pPr>
            <w:r w:rsidRPr="0047034D">
              <w:rPr>
                <w:rFonts w:eastAsiaTheme="minorHAnsi" w:cs="Times New Roman"/>
                <w:lang w:val="ru-RU"/>
              </w:rPr>
              <w:t>7 400</w:t>
            </w:r>
          </w:p>
        </w:tc>
      </w:tr>
      <w:tr w:rsidR="002627F1" w:rsidRPr="0047034D" w:rsidTr="00F40ED9">
        <w:trPr>
          <w:trHeight w:val="312"/>
        </w:trPr>
        <w:tc>
          <w:tcPr>
            <w:tcW w:w="3163" w:type="dxa"/>
            <w:noWrap/>
            <w:tcMar>
              <w:top w:w="0" w:type="dxa"/>
              <w:left w:w="108" w:type="dxa"/>
              <w:bottom w:w="0" w:type="dxa"/>
              <w:right w:w="108" w:type="dxa"/>
            </w:tcMar>
            <w:vAlign w:val="bottom"/>
            <w:hideMark/>
          </w:tcPr>
          <w:p w:rsidR="00244145" w:rsidRPr="0047034D" w:rsidRDefault="00244145" w:rsidP="00244145">
            <w:pPr>
              <w:rPr>
                <w:rFonts w:eastAsiaTheme="minorHAnsi" w:cs="Times New Roman"/>
                <w:lang w:val="ru-RU"/>
              </w:rPr>
            </w:pPr>
            <w:r w:rsidRPr="0047034D">
              <w:rPr>
                <w:rFonts w:eastAsiaTheme="minorHAnsi" w:cs="Times New Roman"/>
                <w:lang w:val="ru-RU"/>
              </w:rPr>
              <w:t>Вступление в национальную фазу подачи</w:t>
            </w:r>
          </w:p>
        </w:tc>
        <w:tc>
          <w:tcPr>
            <w:tcW w:w="1236" w:type="dxa"/>
            <w:noWrap/>
            <w:tcMar>
              <w:top w:w="0" w:type="dxa"/>
              <w:left w:w="108" w:type="dxa"/>
              <w:bottom w:w="0" w:type="dxa"/>
              <w:right w:w="108" w:type="dxa"/>
            </w:tcMar>
            <w:vAlign w:val="bottom"/>
            <w:hideMark/>
          </w:tcPr>
          <w:p w:rsidR="00244145" w:rsidRPr="0047034D" w:rsidRDefault="00244145" w:rsidP="00244145">
            <w:pPr>
              <w:jc w:val="right"/>
              <w:rPr>
                <w:rFonts w:eastAsiaTheme="minorHAnsi" w:cs="Times New Roman"/>
                <w:lang w:val="ru-RU"/>
              </w:rPr>
            </w:pPr>
            <w:r w:rsidRPr="0047034D">
              <w:rPr>
                <w:rFonts w:eastAsiaTheme="minorHAnsi" w:cs="Times New Roman"/>
                <w:lang w:val="ru-RU"/>
              </w:rPr>
              <w:t>19 108</w:t>
            </w:r>
          </w:p>
        </w:tc>
        <w:tc>
          <w:tcPr>
            <w:tcW w:w="1236" w:type="dxa"/>
            <w:noWrap/>
            <w:tcMar>
              <w:top w:w="0" w:type="dxa"/>
              <w:left w:w="108" w:type="dxa"/>
              <w:bottom w:w="0" w:type="dxa"/>
              <w:right w:w="108" w:type="dxa"/>
            </w:tcMar>
            <w:vAlign w:val="bottom"/>
            <w:hideMark/>
          </w:tcPr>
          <w:p w:rsidR="00244145" w:rsidRPr="0047034D" w:rsidRDefault="00244145" w:rsidP="00244145">
            <w:pPr>
              <w:jc w:val="right"/>
              <w:rPr>
                <w:rFonts w:eastAsiaTheme="minorHAnsi" w:cs="Times New Roman"/>
                <w:lang w:val="ru-RU"/>
              </w:rPr>
            </w:pPr>
            <w:r w:rsidRPr="0047034D">
              <w:rPr>
                <w:rFonts w:eastAsiaTheme="minorHAnsi" w:cs="Times New Roman"/>
                <w:lang w:val="ru-RU"/>
              </w:rPr>
              <w:t>20 701</w:t>
            </w:r>
          </w:p>
        </w:tc>
        <w:tc>
          <w:tcPr>
            <w:tcW w:w="1237" w:type="dxa"/>
            <w:noWrap/>
            <w:tcMar>
              <w:top w:w="0" w:type="dxa"/>
              <w:left w:w="108" w:type="dxa"/>
              <w:bottom w:w="0" w:type="dxa"/>
              <w:right w:w="108" w:type="dxa"/>
            </w:tcMar>
            <w:vAlign w:val="bottom"/>
            <w:hideMark/>
          </w:tcPr>
          <w:p w:rsidR="00244145" w:rsidRPr="0047034D" w:rsidRDefault="00244145" w:rsidP="00244145">
            <w:pPr>
              <w:jc w:val="right"/>
              <w:rPr>
                <w:rFonts w:eastAsiaTheme="minorHAnsi" w:cs="Times New Roman"/>
                <w:lang w:val="ru-RU"/>
              </w:rPr>
            </w:pPr>
            <w:r w:rsidRPr="0047034D">
              <w:rPr>
                <w:rFonts w:eastAsiaTheme="minorHAnsi" w:cs="Times New Roman"/>
                <w:lang w:val="ru-RU"/>
              </w:rPr>
              <w:t>19 194</w:t>
            </w:r>
          </w:p>
        </w:tc>
        <w:tc>
          <w:tcPr>
            <w:tcW w:w="1236" w:type="dxa"/>
            <w:noWrap/>
            <w:tcMar>
              <w:top w:w="0" w:type="dxa"/>
              <w:left w:w="108" w:type="dxa"/>
              <w:bottom w:w="0" w:type="dxa"/>
              <w:right w:w="108" w:type="dxa"/>
            </w:tcMar>
            <w:vAlign w:val="bottom"/>
            <w:hideMark/>
          </w:tcPr>
          <w:p w:rsidR="00244145" w:rsidRPr="0047034D" w:rsidRDefault="00244145" w:rsidP="00244145">
            <w:pPr>
              <w:jc w:val="right"/>
              <w:rPr>
                <w:rFonts w:eastAsiaTheme="minorHAnsi" w:cs="Times New Roman"/>
                <w:lang w:val="ru-RU"/>
              </w:rPr>
            </w:pPr>
            <w:r w:rsidRPr="0047034D">
              <w:rPr>
                <w:rFonts w:eastAsiaTheme="minorHAnsi" w:cs="Times New Roman"/>
                <w:lang w:val="ru-RU"/>
              </w:rPr>
              <w:t>21 064</w:t>
            </w:r>
          </w:p>
        </w:tc>
        <w:tc>
          <w:tcPr>
            <w:tcW w:w="1237" w:type="dxa"/>
            <w:noWrap/>
            <w:tcMar>
              <w:top w:w="0" w:type="dxa"/>
              <w:left w:w="108" w:type="dxa"/>
              <w:bottom w:w="0" w:type="dxa"/>
              <w:right w:w="108" w:type="dxa"/>
            </w:tcMar>
            <w:vAlign w:val="bottom"/>
            <w:hideMark/>
          </w:tcPr>
          <w:p w:rsidR="00244145" w:rsidRPr="0047034D" w:rsidRDefault="00244145" w:rsidP="00244145">
            <w:pPr>
              <w:jc w:val="right"/>
              <w:rPr>
                <w:rFonts w:eastAsiaTheme="minorHAnsi" w:cs="Times New Roman"/>
                <w:lang w:val="ru-RU"/>
              </w:rPr>
            </w:pPr>
            <w:r w:rsidRPr="0047034D">
              <w:rPr>
                <w:rFonts w:eastAsiaTheme="minorHAnsi" w:cs="Times New Roman"/>
                <w:lang w:val="ru-RU"/>
              </w:rPr>
              <w:t>19 403</w:t>
            </w:r>
          </w:p>
        </w:tc>
      </w:tr>
      <w:tr w:rsidR="002627F1" w:rsidRPr="0047034D" w:rsidTr="00F40ED9">
        <w:trPr>
          <w:trHeight w:val="312"/>
        </w:trPr>
        <w:tc>
          <w:tcPr>
            <w:tcW w:w="3163" w:type="dxa"/>
            <w:noWrap/>
            <w:tcMar>
              <w:top w:w="0" w:type="dxa"/>
              <w:left w:w="108" w:type="dxa"/>
              <w:bottom w:w="0" w:type="dxa"/>
              <w:right w:w="108" w:type="dxa"/>
            </w:tcMar>
            <w:vAlign w:val="bottom"/>
          </w:tcPr>
          <w:p w:rsidR="00244145" w:rsidRPr="0047034D" w:rsidRDefault="00244145" w:rsidP="00244145">
            <w:pPr>
              <w:rPr>
                <w:rFonts w:eastAsiaTheme="minorHAnsi" w:cs="Times New Roman"/>
                <w:lang w:val="ru-RU"/>
              </w:rPr>
            </w:pPr>
            <w:r w:rsidRPr="0047034D">
              <w:rPr>
                <w:rFonts w:eastAsiaTheme="minorHAnsi" w:cs="Times New Roman"/>
                <w:lang w:val="ru-RU"/>
              </w:rPr>
              <w:t>Всего</w:t>
            </w:r>
          </w:p>
        </w:tc>
        <w:tc>
          <w:tcPr>
            <w:tcW w:w="1236" w:type="dxa"/>
            <w:noWrap/>
            <w:tcMar>
              <w:top w:w="0" w:type="dxa"/>
              <w:left w:w="108" w:type="dxa"/>
              <w:bottom w:w="0" w:type="dxa"/>
              <w:right w:w="108" w:type="dxa"/>
            </w:tcMar>
            <w:vAlign w:val="bottom"/>
          </w:tcPr>
          <w:p w:rsidR="00244145" w:rsidRPr="0047034D" w:rsidRDefault="00244145" w:rsidP="00244145">
            <w:pPr>
              <w:jc w:val="right"/>
              <w:rPr>
                <w:rFonts w:eastAsiaTheme="minorHAnsi" w:cs="Times New Roman"/>
                <w:lang w:val="ru-RU"/>
              </w:rPr>
            </w:pPr>
            <w:r w:rsidRPr="0047034D">
              <w:rPr>
                <w:rFonts w:eastAsiaTheme="minorHAnsi" w:cs="Times New Roman"/>
                <w:lang w:val="ru-RU"/>
              </w:rPr>
              <w:t>26 339</w:t>
            </w:r>
          </w:p>
        </w:tc>
        <w:tc>
          <w:tcPr>
            <w:tcW w:w="1236" w:type="dxa"/>
            <w:noWrap/>
            <w:tcMar>
              <w:top w:w="0" w:type="dxa"/>
              <w:left w:w="108" w:type="dxa"/>
              <w:bottom w:w="0" w:type="dxa"/>
              <w:right w:w="108" w:type="dxa"/>
            </w:tcMar>
            <w:vAlign w:val="bottom"/>
          </w:tcPr>
          <w:p w:rsidR="00244145" w:rsidRPr="0047034D" w:rsidRDefault="00244145" w:rsidP="00244145">
            <w:pPr>
              <w:jc w:val="right"/>
              <w:rPr>
                <w:rFonts w:eastAsiaTheme="minorHAnsi" w:cs="Times New Roman"/>
                <w:lang w:val="ru-RU"/>
              </w:rPr>
            </w:pPr>
            <w:r w:rsidRPr="0047034D">
              <w:rPr>
                <w:rFonts w:eastAsiaTheme="minorHAnsi" w:cs="Times New Roman"/>
                <w:lang w:val="ru-RU"/>
              </w:rPr>
              <w:t>29 656</w:t>
            </w:r>
          </w:p>
        </w:tc>
        <w:tc>
          <w:tcPr>
            <w:tcW w:w="1237" w:type="dxa"/>
            <w:noWrap/>
            <w:tcMar>
              <w:top w:w="0" w:type="dxa"/>
              <w:left w:w="108" w:type="dxa"/>
              <w:bottom w:w="0" w:type="dxa"/>
              <w:right w:w="108" w:type="dxa"/>
            </w:tcMar>
            <w:vAlign w:val="bottom"/>
          </w:tcPr>
          <w:p w:rsidR="00244145" w:rsidRPr="0047034D" w:rsidRDefault="00244145" w:rsidP="00244145">
            <w:pPr>
              <w:jc w:val="right"/>
              <w:rPr>
                <w:rFonts w:eastAsiaTheme="minorHAnsi" w:cs="Times New Roman"/>
                <w:lang w:val="ru-RU"/>
              </w:rPr>
            </w:pPr>
            <w:r w:rsidRPr="0047034D">
              <w:rPr>
                <w:rFonts w:eastAsiaTheme="minorHAnsi" w:cs="Times New Roman"/>
                <w:lang w:val="ru-RU"/>
              </w:rPr>
              <w:t>25 937</w:t>
            </w:r>
          </w:p>
        </w:tc>
        <w:tc>
          <w:tcPr>
            <w:tcW w:w="1236" w:type="dxa"/>
            <w:noWrap/>
            <w:tcMar>
              <w:top w:w="0" w:type="dxa"/>
              <w:left w:w="108" w:type="dxa"/>
              <w:bottom w:w="0" w:type="dxa"/>
              <w:right w:w="108" w:type="dxa"/>
            </w:tcMar>
            <w:vAlign w:val="bottom"/>
          </w:tcPr>
          <w:p w:rsidR="00244145" w:rsidRPr="0047034D" w:rsidRDefault="00244145" w:rsidP="00244145">
            <w:pPr>
              <w:jc w:val="right"/>
              <w:rPr>
                <w:rFonts w:eastAsiaTheme="minorHAnsi" w:cs="Times New Roman"/>
                <w:lang w:val="ru-RU"/>
              </w:rPr>
            </w:pPr>
            <w:r w:rsidRPr="0047034D">
              <w:rPr>
                <w:rFonts w:eastAsiaTheme="minorHAnsi" w:cs="Times New Roman"/>
                <w:lang w:val="ru-RU"/>
              </w:rPr>
              <w:t>28 628</w:t>
            </w:r>
          </w:p>
        </w:tc>
        <w:tc>
          <w:tcPr>
            <w:tcW w:w="1237" w:type="dxa"/>
            <w:noWrap/>
            <w:tcMar>
              <w:top w:w="0" w:type="dxa"/>
              <w:left w:w="108" w:type="dxa"/>
              <w:bottom w:w="0" w:type="dxa"/>
              <w:right w:w="108" w:type="dxa"/>
            </w:tcMar>
            <w:vAlign w:val="bottom"/>
          </w:tcPr>
          <w:p w:rsidR="00244145" w:rsidRPr="0047034D" w:rsidRDefault="00244145" w:rsidP="00244145">
            <w:pPr>
              <w:jc w:val="right"/>
              <w:rPr>
                <w:rFonts w:eastAsiaTheme="minorHAnsi" w:cs="Times New Roman"/>
                <w:lang w:val="ru-RU"/>
              </w:rPr>
            </w:pPr>
            <w:r w:rsidRPr="0047034D">
              <w:rPr>
                <w:rFonts w:eastAsiaTheme="minorHAnsi" w:cs="Times New Roman"/>
                <w:lang w:val="ru-RU"/>
              </w:rPr>
              <w:t>28 423</w:t>
            </w:r>
          </w:p>
        </w:tc>
      </w:tr>
    </w:tbl>
    <w:p w:rsidR="00244145" w:rsidRPr="0047034D" w:rsidRDefault="00244145" w:rsidP="00244145">
      <w:pPr>
        <w:rPr>
          <w:rFonts w:eastAsiaTheme="minorHAnsi" w:cs="Times New Roman"/>
          <w:lang w:val="ru-RU" w:eastAsia="en-US"/>
        </w:rPr>
      </w:pPr>
    </w:p>
    <w:p w:rsidR="00244145" w:rsidRPr="0047034D" w:rsidRDefault="00244145" w:rsidP="00244145">
      <w:pPr>
        <w:rPr>
          <w:rFonts w:eastAsiaTheme="minorHAnsi" w:cs="Times New Roman"/>
          <w:b/>
          <w:bCs/>
          <w:lang w:val="ru-RU" w:eastAsia="en-US"/>
        </w:rPr>
      </w:pPr>
      <w:r w:rsidRPr="0047034D">
        <w:rPr>
          <w:rFonts w:eastAsiaTheme="minorHAnsi" w:cs="Times New Roman"/>
          <w:b/>
          <w:bCs/>
          <w:lang w:val="ru-RU" w:eastAsia="en-US"/>
        </w:rPr>
        <w:t>Количество международных заявок, полученных в качестве ПВ</w:t>
      </w:r>
    </w:p>
    <w:tbl>
      <w:tblPr>
        <w:tblW w:w="92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63"/>
        <w:gridCol w:w="1219"/>
        <w:gridCol w:w="1219"/>
        <w:gridCol w:w="1219"/>
        <w:gridCol w:w="1219"/>
        <w:gridCol w:w="1219"/>
      </w:tblGrid>
      <w:tr w:rsidR="002627F1" w:rsidRPr="0047034D" w:rsidTr="00F40ED9">
        <w:trPr>
          <w:trHeight w:val="305"/>
        </w:trPr>
        <w:tc>
          <w:tcPr>
            <w:tcW w:w="3163" w:type="dxa"/>
            <w:noWrap/>
            <w:tcMar>
              <w:top w:w="0" w:type="dxa"/>
              <w:left w:w="108" w:type="dxa"/>
              <w:bottom w:w="0" w:type="dxa"/>
              <w:right w:w="108" w:type="dxa"/>
            </w:tcMar>
            <w:vAlign w:val="bottom"/>
            <w:hideMark/>
          </w:tcPr>
          <w:p w:rsidR="00244145" w:rsidRPr="0047034D" w:rsidRDefault="00244145" w:rsidP="00244145">
            <w:pPr>
              <w:rPr>
                <w:rFonts w:ascii="Times New Roman" w:eastAsia="Times New Roman" w:hAnsi="Times New Roman" w:cs="Times New Roman"/>
                <w:sz w:val="20"/>
                <w:lang w:val="ru-RU" w:eastAsia="en-AU"/>
              </w:rPr>
            </w:pP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2012 г.</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2013 г.</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2014 г.</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2015 г.</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2016 г.</w:t>
            </w:r>
          </w:p>
        </w:tc>
      </w:tr>
      <w:tr w:rsidR="002627F1" w:rsidRPr="0047034D" w:rsidTr="00F40ED9">
        <w:trPr>
          <w:trHeight w:val="305"/>
        </w:trPr>
        <w:tc>
          <w:tcPr>
            <w:tcW w:w="3163" w:type="dxa"/>
            <w:noWrap/>
            <w:tcMar>
              <w:top w:w="0" w:type="dxa"/>
              <w:left w:w="108" w:type="dxa"/>
              <w:bottom w:w="0" w:type="dxa"/>
              <w:right w:w="108" w:type="dxa"/>
            </w:tcMar>
            <w:vAlign w:val="bottom"/>
            <w:hideMark/>
          </w:tcPr>
          <w:p w:rsidR="00244145" w:rsidRPr="0047034D" w:rsidRDefault="00244145" w:rsidP="00244145">
            <w:pPr>
              <w:rPr>
                <w:rFonts w:ascii="Calibri" w:eastAsiaTheme="minorHAnsi" w:hAnsi="Calibri" w:cs="Calibri"/>
                <w:szCs w:val="22"/>
                <w:lang w:val="ru-RU"/>
              </w:rPr>
            </w:pPr>
            <w:r w:rsidRPr="0047034D">
              <w:rPr>
                <w:rFonts w:eastAsiaTheme="minorHAnsi" w:cs="Times New Roman"/>
                <w:lang w:val="ru-RU"/>
              </w:rPr>
              <w:t>Не зафиксировано</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32</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2</w:t>
            </w:r>
          </w:p>
        </w:tc>
        <w:tc>
          <w:tcPr>
            <w:tcW w:w="1219" w:type="dxa"/>
            <w:noWrap/>
            <w:tcMar>
              <w:top w:w="0" w:type="dxa"/>
              <w:left w:w="108" w:type="dxa"/>
              <w:bottom w:w="0" w:type="dxa"/>
              <w:right w:w="108" w:type="dxa"/>
            </w:tcMar>
            <w:vAlign w:val="bottom"/>
            <w:hideMark/>
          </w:tcPr>
          <w:p w:rsidR="00244145" w:rsidRPr="0047034D" w:rsidRDefault="00244145" w:rsidP="00244145">
            <w:pPr>
              <w:rPr>
                <w:rFonts w:ascii="Times New Roman" w:eastAsia="Times New Roman" w:hAnsi="Times New Roman" w:cs="Times New Roman"/>
                <w:sz w:val="20"/>
                <w:lang w:val="ru-RU" w:eastAsia="en-AU"/>
              </w:rPr>
            </w:pP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1</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6</w:t>
            </w:r>
          </w:p>
        </w:tc>
      </w:tr>
      <w:tr w:rsidR="002627F1" w:rsidRPr="0047034D" w:rsidTr="00F40ED9">
        <w:trPr>
          <w:trHeight w:val="305"/>
        </w:trPr>
        <w:tc>
          <w:tcPr>
            <w:tcW w:w="3163" w:type="dxa"/>
            <w:noWrap/>
            <w:tcMar>
              <w:top w:w="0" w:type="dxa"/>
              <w:left w:w="108" w:type="dxa"/>
              <w:bottom w:w="0" w:type="dxa"/>
              <w:right w:w="108" w:type="dxa"/>
            </w:tcMar>
            <w:vAlign w:val="bottom"/>
            <w:hideMark/>
          </w:tcPr>
          <w:p w:rsidR="00244145" w:rsidRPr="0047034D" w:rsidRDefault="00244145" w:rsidP="00244145">
            <w:pPr>
              <w:rPr>
                <w:rFonts w:ascii="Calibri" w:eastAsiaTheme="minorHAnsi" w:hAnsi="Calibri" w:cs="Calibri"/>
                <w:szCs w:val="22"/>
                <w:lang w:val="ru-RU"/>
              </w:rPr>
            </w:pPr>
            <w:r w:rsidRPr="0047034D">
              <w:rPr>
                <w:rFonts w:eastAsiaTheme="minorHAnsi" w:cs="Times New Roman"/>
                <w:lang w:val="ru-RU"/>
              </w:rPr>
              <w:t>Химическая технология</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753</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744</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744</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669</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595</w:t>
            </w:r>
          </w:p>
        </w:tc>
      </w:tr>
      <w:tr w:rsidR="002627F1" w:rsidRPr="0047034D" w:rsidTr="00F40ED9">
        <w:trPr>
          <w:trHeight w:val="305"/>
        </w:trPr>
        <w:tc>
          <w:tcPr>
            <w:tcW w:w="3163" w:type="dxa"/>
            <w:noWrap/>
            <w:tcMar>
              <w:top w:w="0" w:type="dxa"/>
              <w:left w:w="108" w:type="dxa"/>
              <w:bottom w:w="0" w:type="dxa"/>
              <w:right w:w="108" w:type="dxa"/>
            </w:tcMar>
            <w:vAlign w:val="bottom"/>
            <w:hideMark/>
          </w:tcPr>
          <w:p w:rsidR="00244145" w:rsidRPr="0047034D" w:rsidRDefault="00244145" w:rsidP="00244145">
            <w:pPr>
              <w:rPr>
                <w:rFonts w:ascii="Calibri" w:eastAsiaTheme="minorHAnsi" w:hAnsi="Calibri" w:cs="Calibri"/>
                <w:szCs w:val="22"/>
                <w:lang w:val="ru-RU"/>
              </w:rPr>
            </w:pPr>
            <w:r w:rsidRPr="0047034D">
              <w:rPr>
                <w:rFonts w:eastAsiaTheme="minorHAnsi" w:cs="Times New Roman"/>
                <w:lang w:val="ru-RU"/>
              </w:rPr>
              <w:t>Электротехника</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920</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828</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832</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877</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774</w:t>
            </w:r>
          </w:p>
        </w:tc>
      </w:tr>
      <w:tr w:rsidR="002627F1" w:rsidRPr="0047034D" w:rsidTr="00F40ED9">
        <w:trPr>
          <w:trHeight w:val="305"/>
        </w:trPr>
        <w:tc>
          <w:tcPr>
            <w:tcW w:w="3163" w:type="dxa"/>
            <w:noWrap/>
            <w:tcMar>
              <w:top w:w="0" w:type="dxa"/>
              <w:left w:w="108" w:type="dxa"/>
              <w:bottom w:w="0" w:type="dxa"/>
              <w:right w:w="108" w:type="dxa"/>
            </w:tcMar>
            <w:vAlign w:val="bottom"/>
            <w:hideMark/>
          </w:tcPr>
          <w:p w:rsidR="00244145" w:rsidRPr="0047034D" w:rsidRDefault="00244145" w:rsidP="00244145">
            <w:pPr>
              <w:rPr>
                <w:rFonts w:ascii="Calibri" w:eastAsiaTheme="minorHAnsi" w:hAnsi="Calibri" w:cs="Calibri"/>
                <w:szCs w:val="22"/>
                <w:lang w:val="ru-RU"/>
              </w:rPr>
            </w:pPr>
            <w:r w:rsidRPr="0047034D">
              <w:rPr>
                <w:rFonts w:eastAsiaTheme="minorHAnsi" w:cs="Times New Roman"/>
                <w:lang w:val="ru-RU"/>
              </w:rPr>
              <w:t>Машиностроение</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1 208</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1 113</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1 167</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1 120</w:t>
            </w:r>
          </w:p>
        </w:tc>
        <w:tc>
          <w:tcPr>
            <w:tcW w:w="1219" w:type="dxa"/>
            <w:noWrap/>
            <w:tcMar>
              <w:top w:w="0" w:type="dxa"/>
              <w:left w:w="108" w:type="dxa"/>
              <w:bottom w:w="0" w:type="dxa"/>
              <w:right w:w="108" w:type="dxa"/>
            </w:tcMar>
            <w:vAlign w:val="bottom"/>
            <w:hideMark/>
          </w:tcPr>
          <w:p w:rsidR="00244145" w:rsidRPr="0047034D" w:rsidRDefault="00244145" w:rsidP="00244145">
            <w:pPr>
              <w:jc w:val="right"/>
              <w:rPr>
                <w:rFonts w:ascii="Calibri" w:eastAsiaTheme="minorHAnsi" w:hAnsi="Calibri" w:cs="Calibri"/>
                <w:szCs w:val="22"/>
                <w:lang w:val="ru-RU"/>
              </w:rPr>
            </w:pPr>
            <w:r w:rsidRPr="0047034D">
              <w:rPr>
                <w:rFonts w:eastAsiaTheme="minorHAnsi" w:cs="Times New Roman"/>
                <w:lang w:val="ru-RU"/>
              </w:rPr>
              <w:t>1 081</w:t>
            </w:r>
          </w:p>
        </w:tc>
      </w:tr>
      <w:tr w:rsidR="002627F1" w:rsidRPr="0047034D" w:rsidTr="00F40ED9">
        <w:trPr>
          <w:trHeight w:val="305"/>
        </w:trPr>
        <w:tc>
          <w:tcPr>
            <w:tcW w:w="3163" w:type="dxa"/>
            <w:noWrap/>
            <w:tcMar>
              <w:top w:w="0" w:type="dxa"/>
              <w:left w:w="108" w:type="dxa"/>
              <w:bottom w:w="0" w:type="dxa"/>
              <w:right w:w="108" w:type="dxa"/>
            </w:tcMar>
            <w:vAlign w:val="bottom"/>
          </w:tcPr>
          <w:p w:rsidR="00244145" w:rsidRPr="0047034D" w:rsidRDefault="00244145" w:rsidP="00244145">
            <w:pPr>
              <w:rPr>
                <w:rFonts w:eastAsiaTheme="minorHAnsi" w:cs="Times New Roman"/>
                <w:lang w:val="ru-RU"/>
              </w:rPr>
            </w:pPr>
            <w:r w:rsidRPr="0047034D">
              <w:rPr>
                <w:rFonts w:eastAsiaTheme="minorHAnsi" w:cs="Times New Roman"/>
                <w:lang w:val="ru-RU"/>
              </w:rPr>
              <w:t>Всего</w:t>
            </w:r>
          </w:p>
        </w:tc>
        <w:tc>
          <w:tcPr>
            <w:tcW w:w="1219" w:type="dxa"/>
            <w:noWrap/>
            <w:tcMar>
              <w:top w:w="0" w:type="dxa"/>
              <w:left w:w="108" w:type="dxa"/>
              <w:bottom w:w="0" w:type="dxa"/>
              <w:right w:w="108" w:type="dxa"/>
            </w:tcMar>
            <w:vAlign w:val="bottom"/>
          </w:tcPr>
          <w:p w:rsidR="00244145" w:rsidRPr="0047034D" w:rsidRDefault="00244145" w:rsidP="00244145">
            <w:pPr>
              <w:jc w:val="right"/>
              <w:rPr>
                <w:rFonts w:eastAsiaTheme="minorHAnsi" w:cs="Times New Roman"/>
                <w:lang w:val="ru-RU"/>
              </w:rPr>
            </w:pPr>
            <w:r w:rsidRPr="0047034D">
              <w:rPr>
                <w:rFonts w:eastAsiaTheme="minorHAnsi" w:cs="Times New Roman"/>
                <w:lang w:val="ru-RU"/>
              </w:rPr>
              <w:t>2 913</w:t>
            </w:r>
          </w:p>
        </w:tc>
        <w:tc>
          <w:tcPr>
            <w:tcW w:w="1219" w:type="dxa"/>
            <w:noWrap/>
            <w:tcMar>
              <w:top w:w="0" w:type="dxa"/>
              <w:left w:w="108" w:type="dxa"/>
              <w:bottom w:w="0" w:type="dxa"/>
              <w:right w:w="108" w:type="dxa"/>
            </w:tcMar>
            <w:vAlign w:val="bottom"/>
          </w:tcPr>
          <w:p w:rsidR="00244145" w:rsidRPr="0047034D" w:rsidRDefault="00244145" w:rsidP="00244145">
            <w:pPr>
              <w:jc w:val="right"/>
              <w:rPr>
                <w:rFonts w:eastAsiaTheme="minorHAnsi" w:cs="Times New Roman"/>
                <w:lang w:val="ru-RU"/>
              </w:rPr>
            </w:pPr>
            <w:r w:rsidRPr="0047034D">
              <w:rPr>
                <w:rFonts w:eastAsiaTheme="minorHAnsi" w:cs="Times New Roman"/>
                <w:lang w:val="ru-RU"/>
              </w:rPr>
              <w:t>2 687</w:t>
            </w:r>
          </w:p>
        </w:tc>
        <w:tc>
          <w:tcPr>
            <w:tcW w:w="1219" w:type="dxa"/>
            <w:noWrap/>
            <w:tcMar>
              <w:top w:w="0" w:type="dxa"/>
              <w:left w:w="108" w:type="dxa"/>
              <w:bottom w:w="0" w:type="dxa"/>
              <w:right w:w="108" w:type="dxa"/>
            </w:tcMar>
            <w:vAlign w:val="bottom"/>
          </w:tcPr>
          <w:p w:rsidR="00244145" w:rsidRPr="0047034D" w:rsidRDefault="00244145" w:rsidP="00244145">
            <w:pPr>
              <w:jc w:val="right"/>
              <w:rPr>
                <w:rFonts w:eastAsiaTheme="minorHAnsi" w:cs="Times New Roman"/>
                <w:lang w:val="ru-RU"/>
              </w:rPr>
            </w:pPr>
            <w:r w:rsidRPr="0047034D">
              <w:rPr>
                <w:rFonts w:eastAsiaTheme="minorHAnsi" w:cs="Times New Roman"/>
                <w:lang w:val="ru-RU"/>
              </w:rPr>
              <w:t>2 743</w:t>
            </w:r>
          </w:p>
        </w:tc>
        <w:tc>
          <w:tcPr>
            <w:tcW w:w="1219" w:type="dxa"/>
            <w:noWrap/>
            <w:tcMar>
              <w:top w:w="0" w:type="dxa"/>
              <w:left w:w="108" w:type="dxa"/>
              <w:bottom w:w="0" w:type="dxa"/>
              <w:right w:w="108" w:type="dxa"/>
            </w:tcMar>
            <w:vAlign w:val="bottom"/>
          </w:tcPr>
          <w:p w:rsidR="00244145" w:rsidRPr="0047034D" w:rsidRDefault="00244145" w:rsidP="00244145">
            <w:pPr>
              <w:jc w:val="right"/>
              <w:rPr>
                <w:rFonts w:eastAsiaTheme="minorHAnsi" w:cs="Times New Roman"/>
                <w:lang w:val="ru-RU"/>
              </w:rPr>
            </w:pPr>
            <w:r w:rsidRPr="0047034D">
              <w:rPr>
                <w:rFonts w:eastAsiaTheme="minorHAnsi" w:cs="Times New Roman"/>
                <w:lang w:val="ru-RU"/>
              </w:rPr>
              <w:t>2 667</w:t>
            </w:r>
          </w:p>
        </w:tc>
        <w:tc>
          <w:tcPr>
            <w:tcW w:w="1219" w:type="dxa"/>
            <w:noWrap/>
            <w:tcMar>
              <w:top w:w="0" w:type="dxa"/>
              <w:left w:w="108" w:type="dxa"/>
              <w:bottom w:w="0" w:type="dxa"/>
              <w:right w:w="108" w:type="dxa"/>
            </w:tcMar>
            <w:vAlign w:val="bottom"/>
          </w:tcPr>
          <w:p w:rsidR="00244145" w:rsidRPr="0047034D" w:rsidRDefault="00244145" w:rsidP="00244145">
            <w:pPr>
              <w:jc w:val="right"/>
              <w:rPr>
                <w:rFonts w:eastAsiaTheme="minorHAnsi" w:cs="Times New Roman"/>
                <w:lang w:val="ru-RU"/>
              </w:rPr>
            </w:pPr>
            <w:r w:rsidRPr="0047034D">
              <w:rPr>
                <w:rFonts w:eastAsiaTheme="minorHAnsi" w:cs="Times New Roman"/>
                <w:lang w:val="ru-RU"/>
              </w:rPr>
              <w:t>2 456</w:t>
            </w:r>
          </w:p>
        </w:tc>
      </w:tr>
    </w:tbl>
    <w:p w:rsidR="00244145" w:rsidRPr="0047034D" w:rsidRDefault="00244145" w:rsidP="00244145">
      <w:pPr>
        <w:rPr>
          <w:szCs w:val="22"/>
          <w:lang w:val="ru-RU"/>
        </w:rPr>
      </w:pPr>
    </w:p>
    <w:p w:rsidR="00244145" w:rsidRPr="0047034D" w:rsidRDefault="00244145" w:rsidP="00244145">
      <w:pPr>
        <w:keepNext/>
        <w:rPr>
          <w:b/>
          <w:lang w:val="ru-RU"/>
        </w:rPr>
      </w:pPr>
      <w:r w:rsidRPr="0047034D">
        <w:rPr>
          <w:b/>
          <w:bCs/>
          <w:lang w:val="ru-RU"/>
        </w:rPr>
        <w:t>10 стран, из которых поступило или вступило в национальную фазу наибольшее число заявок PCT в 2016 календарном году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61"/>
      </w:tblGrid>
      <w:tr w:rsidR="002627F1" w:rsidRPr="0047034D" w:rsidTr="00F40ED9">
        <w:tc>
          <w:tcPr>
            <w:tcW w:w="4390" w:type="dxa"/>
            <w:shd w:val="clear" w:color="auto" w:fill="auto"/>
          </w:tcPr>
          <w:p w:rsidR="00244145" w:rsidRPr="0047034D" w:rsidRDefault="00244145" w:rsidP="00244145">
            <w:pPr>
              <w:keepNext/>
              <w:rPr>
                <w:lang w:val="ru-RU"/>
              </w:rPr>
            </w:pPr>
            <w:r w:rsidRPr="0047034D">
              <w:rPr>
                <w:lang w:val="ru-RU"/>
              </w:rPr>
              <w:t>Соединенные Штаты Америки</w:t>
            </w:r>
          </w:p>
        </w:tc>
        <w:tc>
          <w:tcPr>
            <w:tcW w:w="4961" w:type="dxa"/>
            <w:shd w:val="clear" w:color="auto" w:fill="auto"/>
          </w:tcPr>
          <w:p w:rsidR="00244145" w:rsidRPr="0047034D" w:rsidRDefault="00244145" w:rsidP="00244145">
            <w:pPr>
              <w:keepNext/>
              <w:rPr>
                <w:lang w:val="ru-RU"/>
              </w:rPr>
            </w:pPr>
            <w:r w:rsidRPr="0047034D">
              <w:rPr>
                <w:lang w:val="ru-RU"/>
              </w:rPr>
              <w:t>12 922</w:t>
            </w:r>
          </w:p>
        </w:tc>
      </w:tr>
      <w:tr w:rsidR="002627F1" w:rsidRPr="0047034D" w:rsidTr="00F40ED9">
        <w:tc>
          <w:tcPr>
            <w:tcW w:w="4390" w:type="dxa"/>
            <w:shd w:val="clear" w:color="auto" w:fill="auto"/>
          </w:tcPr>
          <w:p w:rsidR="00244145" w:rsidRPr="0047034D" w:rsidRDefault="00244145" w:rsidP="00244145">
            <w:pPr>
              <w:keepNext/>
              <w:rPr>
                <w:lang w:val="ru-RU"/>
              </w:rPr>
            </w:pPr>
            <w:r w:rsidRPr="0047034D">
              <w:rPr>
                <w:lang w:val="ru-RU"/>
              </w:rPr>
              <w:t>Австралия</w:t>
            </w:r>
          </w:p>
        </w:tc>
        <w:tc>
          <w:tcPr>
            <w:tcW w:w="4961" w:type="dxa"/>
            <w:shd w:val="clear" w:color="auto" w:fill="auto"/>
          </w:tcPr>
          <w:p w:rsidR="00244145" w:rsidRPr="0047034D" w:rsidRDefault="00244145" w:rsidP="00244145">
            <w:pPr>
              <w:keepNext/>
              <w:rPr>
                <w:lang w:val="ru-RU"/>
              </w:rPr>
            </w:pPr>
            <w:r w:rsidRPr="0047034D">
              <w:rPr>
                <w:lang w:val="ru-RU"/>
              </w:rPr>
              <w:t>2 620</w:t>
            </w:r>
          </w:p>
        </w:tc>
      </w:tr>
      <w:tr w:rsidR="002627F1" w:rsidRPr="0047034D" w:rsidTr="00F40ED9">
        <w:tc>
          <w:tcPr>
            <w:tcW w:w="4390" w:type="dxa"/>
            <w:shd w:val="clear" w:color="auto" w:fill="auto"/>
          </w:tcPr>
          <w:p w:rsidR="00244145" w:rsidRPr="0047034D" w:rsidRDefault="00244145" w:rsidP="00244145">
            <w:pPr>
              <w:keepNext/>
              <w:rPr>
                <w:lang w:val="ru-RU"/>
              </w:rPr>
            </w:pPr>
            <w:r w:rsidRPr="0047034D">
              <w:rPr>
                <w:lang w:val="ru-RU"/>
              </w:rPr>
              <w:t>Япония</w:t>
            </w:r>
          </w:p>
        </w:tc>
        <w:tc>
          <w:tcPr>
            <w:tcW w:w="4961" w:type="dxa"/>
            <w:shd w:val="clear" w:color="auto" w:fill="auto"/>
          </w:tcPr>
          <w:p w:rsidR="00244145" w:rsidRPr="0047034D" w:rsidRDefault="00244145" w:rsidP="00244145">
            <w:pPr>
              <w:keepNext/>
              <w:rPr>
                <w:lang w:val="ru-RU"/>
              </w:rPr>
            </w:pPr>
            <w:r w:rsidRPr="0047034D">
              <w:rPr>
                <w:lang w:val="ru-RU"/>
              </w:rPr>
              <w:t>1 610</w:t>
            </w:r>
          </w:p>
        </w:tc>
      </w:tr>
      <w:tr w:rsidR="002627F1" w:rsidRPr="0047034D" w:rsidTr="00F40ED9">
        <w:tc>
          <w:tcPr>
            <w:tcW w:w="4390" w:type="dxa"/>
            <w:shd w:val="clear" w:color="auto" w:fill="auto"/>
          </w:tcPr>
          <w:p w:rsidR="00244145" w:rsidRPr="0047034D" w:rsidRDefault="00244145" w:rsidP="00244145">
            <w:pPr>
              <w:keepNext/>
              <w:rPr>
                <w:lang w:val="ru-RU"/>
              </w:rPr>
            </w:pPr>
            <w:r w:rsidRPr="0047034D">
              <w:rPr>
                <w:lang w:val="ru-RU"/>
              </w:rPr>
              <w:t>Германия</w:t>
            </w:r>
          </w:p>
        </w:tc>
        <w:tc>
          <w:tcPr>
            <w:tcW w:w="4961" w:type="dxa"/>
            <w:shd w:val="clear" w:color="auto" w:fill="auto"/>
          </w:tcPr>
          <w:p w:rsidR="00244145" w:rsidRPr="0047034D" w:rsidRDefault="00244145" w:rsidP="00244145">
            <w:pPr>
              <w:keepNext/>
              <w:rPr>
                <w:lang w:val="ru-RU"/>
              </w:rPr>
            </w:pPr>
            <w:r w:rsidRPr="0047034D">
              <w:rPr>
                <w:lang w:val="ru-RU"/>
              </w:rPr>
              <w:t>1 395</w:t>
            </w:r>
          </w:p>
        </w:tc>
      </w:tr>
      <w:tr w:rsidR="002627F1" w:rsidRPr="0047034D" w:rsidTr="00F40ED9">
        <w:tc>
          <w:tcPr>
            <w:tcW w:w="4390" w:type="dxa"/>
            <w:shd w:val="clear" w:color="auto" w:fill="auto"/>
          </w:tcPr>
          <w:p w:rsidR="00244145" w:rsidRPr="0047034D" w:rsidRDefault="00244145" w:rsidP="00244145">
            <w:pPr>
              <w:keepNext/>
              <w:rPr>
                <w:lang w:val="ru-RU"/>
              </w:rPr>
            </w:pPr>
            <w:r w:rsidRPr="0047034D">
              <w:rPr>
                <w:lang w:val="ru-RU"/>
              </w:rPr>
              <w:t>Соединенное Королевство</w:t>
            </w:r>
          </w:p>
        </w:tc>
        <w:tc>
          <w:tcPr>
            <w:tcW w:w="4961" w:type="dxa"/>
            <w:shd w:val="clear" w:color="auto" w:fill="auto"/>
          </w:tcPr>
          <w:p w:rsidR="00244145" w:rsidRPr="0047034D" w:rsidRDefault="00244145" w:rsidP="00244145">
            <w:pPr>
              <w:keepNext/>
              <w:rPr>
                <w:lang w:val="ru-RU"/>
              </w:rPr>
            </w:pPr>
            <w:r w:rsidRPr="0047034D">
              <w:rPr>
                <w:lang w:val="ru-RU"/>
              </w:rPr>
              <w:t>1 180</w:t>
            </w:r>
          </w:p>
        </w:tc>
      </w:tr>
      <w:tr w:rsidR="002627F1" w:rsidRPr="0047034D" w:rsidTr="00F40ED9">
        <w:tc>
          <w:tcPr>
            <w:tcW w:w="4390" w:type="dxa"/>
            <w:shd w:val="clear" w:color="auto" w:fill="auto"/>
          </w:tcPr>
          <w:p w:rsidR="00244145" w:rsidRPr="0047034D" w:rsidRDefault="00244145" w:rsidP="00244145">
            <w:pPr>
              <w:keepNext/>
              <w:rPr>
                <w:lang w:val="ru-RU"/>
              </w:rPr>
            </w:pPr>
            <w:r w:rsidRPr="0047034D">
              <w:rPr>
                <w:lang w:val="ru-RU"/>
              </w:rPr>
              <w:t>Швейцария</w:t>
            </w:r>
          </w:p>
        </w:tc>
        <w:tc>
          <w:tcPr>
            <w:tcW w:w="4961" w:type="dxa"/>
            <w:shd w:val="clear" w:color="auto" w:fill="auto"/>
          </w:tcPr>
          <w:p w:rsidR="00244145" w:rsidRPr="0047034D" w:rsidRDefault="00244145" w:rsidP="00244145">
            <w:pPr>
              <w:keepNext/>
              <w:rPr>
                <w:lang w:val="ru-RU"/>
              </w:rPr>
            </w:pPr>
            <w:r w:rsidRPr="0047034D">
              <w:rPr>
                <w:lang w:val="ru-RU"/>
              </w:rPr>
              <w:t>1 149</w:t>
            </w:r>
          </w:p>
        </w:tc>
      </w:tr>
      <w:tr w:rsidR="002627F1" w:rsidRPr="0047034D" w:rsidTr="00F40ED9">
        <w:tc>
          <w:tcPr>
            <w:tcW w:w="4390" w:type="dxa"/>
            <w:shd w:val="clear" w:color="auto" w:fill="auto"/>
          </w:tcPr>
          <w:p w:rsidR="00244145" w:rsidRPr="0047034D" w:rsidRDefault="00244145" w:rsidP="00244145">
            <w:pPr>
              <w:keepNext/>
              <w:rPr>
                <w:lang w:val="ru-RU"/>
              </w:rPr>
            </w:pPr>
            <w:r w:rsidRPr="0047034D">
              <w:rPr>
                <w:lang w:val="ru-RU"/>
              </w:rPr>
              <w:t>Китай</w:t>
            </w:r>
          </w:p>
        </w:tc>
        <w:tc>
          <w:tcPr>
            <w:tcW w:w="4961" w:type="dxa"/>
            <w:shd w:val="clear" w:color="auto" w:fill="auto"/>
          </w:tcPr>
          <w:p w:rsidR="00244145" w:rsidRPr="0047034D" w:rsidRDefault="00244145" w:rsidP="00244145">
            <w:pPr>
              <w:keepNext/>
              <w:rPr>
                <w:lang w:val="ru-RU"/>
              </w:rPr>
            </w:pPr>
            <w:r w:rsidRPr="0047034D">
              <w:rPr>
                <w:lang w:val="ru-RU"/>
              </w:rPr>
              <w:t>892</w:t>
            </w:r>
          </w:p>
        </w:tc>
      </w:tr>
      <w:tr w:rsidR="002627F1" w:rsidRPr="0047034D" w:rsidTr="00F40ED9">
        <w:tc>
          <w:tcPr>
            <w:tcW w:w="4390" w:type="dxa"/>
            <w:shd w:val="clear" w:color="auto" w:fill="auto"/>
          </w:tcPr>
          <w:p w:rsidR="00244145" w:rsidRPr="0047034D" w:rsidRDefault="00244145" w:rsidP="00244145">
            <w:pPr>
              <w:keepNext/>
              <w:rPr>
                <w:lang w:val="ru-RU"/>
              </w:rPr>
            </w:pPr>
            <w:r w:rsidRPr="0047034D">
              <w:rPr>
                <w:lang w:val="ru-RU"/>
              </w:rPr>
              <w:t>Франция</w:t>
            </w:r>
          </w:p>
        </w:tc>
        <w:tc>
          <w:tcPr>
            <w:tcW w:w="4961" w:type="dxa"/>
            <w:shd w:val="clear" w:color="auto" w:fill="auto"/>
          </w:tcPr>
          <w:p w:rsidR="00244145" w:rsidRPr="0047034D" w:rsidRDefault="00244145" w:rsidP="00244145">
            <w:pPr>
              <w:keepNext/>
              <w:rPr>
                <w:lang w:val="ru-RU"/>
              </w:rPr>
            </w:pPr>
            <w:r w:rsidRPr="0047034D">
              <w:rPr>
                <w:lang w:val="ru-RU"/>
              </w:rPr>
              <w:t>808</w:t>
            </w:r>
          </w:p>
        </w:tc>
      </w:tr>
      <w:tr w:rsidR="002627F1" w:rsidRPr="0047034D" w:rsidTr="00F40ED9">
        <w:tc>
          <w:tcPr>
            <w:tcW w:w="4390" w:type="dxa"/>
            <w:shd w:val="clear" w:color="auto" w:fill="auto"/>
          </w:tcPr>
          <w:p w:rsidR="00244145" w:rsidRPr="0047034D" w:rsidRDefault="00244145" w:rsidP="00244145">
            <w:pPr>
              <w:keepNext/>
              <w:rPr>
                <w:lang w:val="ru-RU"/>
              </w:rPr>
            </w:pPr>
            <w:r w:rsidRPr="0047034D">
              <w:rPr>
                <w:lang w:val="ru-RU"/>
              </w:rPr>
              <w:t>Нидерланды</w:t>
            </w:r>
          </w:p>
        </w:tc>
        <w:tc>
          <w:tcPr>
            <w:tcW w:w="4961" w:type="dxa"/>
            <w:shd w:val="clear" w:color="auto" w:fill="auto"/>
          </w:tcPr>
          <w:p w:rsidR="00244145" w:rsidRPr="0047034D" w:rsidRDefault="00244145" w:rsidP="00244145">
            <w:pPr>
              <w:keepNext/>
              <w:rPr>
                <w:lang w:val="ru-RU"/>
              </w:rPr>
            </w:pPr>
            <w:r w:rsidRPr="0047034D">
              <w:rPr>
                <w:lang w:val="ru-RU"/>
              </w:rPr>
              <w:t>609</w:t>
            </w:r>
          </w:p>
        </w:tc>
      </w:tr>
      <w:tr w:rsidR="002627F1" w:rsidRPr="0047034D" w:rsidTr="00F40ED9">
        <w:tc>
          <w:tcPr>
            <w:tcW w:w="4390" w:type="dxa"/>
            <w:shd w:val="clear" w:color="auto" w:fill="auto"/>
          </w:tcPr>
          <w:p w:rsidR="00244145" w:rsidRPr="0047034D" w:rsidRDefault="00244145" w:rsidP="00244145">
            <w:pPr>
              <w:rPr>
                <w:lang w:val="ru-RU"/>
              </w:rPr>
            </w:pPr>
            <w:r w:rsidRPr="0047034D">
              <w:rPr>
                <w:lang w:val="ru-RU"/>
              </w:rPr>
              <w:t>Канада</w:t>
            </w:r>
          </w:p>
        </w:tc>
        <w:tc>
          <w:tcPr>
            <w:tcW w:w="4961" w:type="dxa"/>
            <w:shd w:val="clear" w:color="auto" w:fill="auto"/>
          </w:tcPr>
          <w:p w:rsidR="00244145" w:rsidRPr="0047034D" w:rsidRDefault="00244145" w:rsidP="00244145">
            <w:pPr>
              <w:rPr>
                <w:lang w:val="ru-RU"/>
              </w:rPr>
            </w:pPr>
            <w:r w:rsidRPr="0047034D">
              <w:rPr>
                <w:lang w:val="ru-RU"/>
              </w:rPr>
              <w:t>547</w:t>
            </w:r>
          </w:p>
        </w:tc>
      </w:tr>
    </w:tbl>
    <w:p w:rsidR="00244145" w:rsidRPr="0047034D" w:rsidRDefault="00244145" w:rsidP="00244145">
      <w:pPr>
        <w:rPr>
          <w:szCs w:val="22"/>
          <w:lang w:val="ru-RU"/>
        </w:rPr>
      </w:pPr>
    </w:p>
    <w:p w:rsidR="00244145" w:rsidRPr="0047034D" w:rsidRDefault="00244145" w:rsidP="00244145">
      <w:pPr>
        <w:rPr>
          <w:lang w:val="ru-RU"/>
        </w:rPr>
      </w:pPr>
      <w:r w:rsidRPr="0047034D">
        <w:rPr>
          <w:b/>
          <w:bCs/>
          <w:lang w:val="ru-RU"/>
        </w:rPr>
        <w:t>Средний срок обработки национальной патентной заявки</w:t>
      </w:r>
      <w:r w:rsidRPr="0047034D">
        <w:rPr>
          <w:lang w:val="ru-RU"/>
        </w:rPr>
        <w:t xml:space="preserve"> (до выдачи первого отчета / патента в 2016 календарном году)</w:t>
      </w:r>
    </w:p>
    <w:tbl>
      <w:tblPr>
        <w:tblW w:w="9346" w:type="dxa"/>
        <w:tblCellMar>
          <w:left w:w="0" w:type="dxa"/>
          <w:right w:w="0" w:type="dxa"/>
        </w:tblCellMar>
        <w:tblLook w:val="04A0" w:firstRow="1" w:lastRow="0" w:firstColumn="1" w:lastColumn="0" w:noHBand="0" w:noVBand="1"/>
      </w:tblPr>
      <w:tblGrid>
        <w:gridCol w:w="1952"/>
        <w:gridCol w:w="2384"/>
        <w:gridCol w:w="3876"/>
        <w:gridCol w:w="1134"/>
      </w:tblGrid>
      <w:tr w:rsidR="002627F1" w:rsidRPr="0047034D" w:rsidTr="00F40ED9">
        <w:trPr>
          <w:cantSplit/>
        </w:trPr>
        <w:tc>
          <w:tcPr>
            <w:tcW w:w="1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4145" w:rsidRPr="0047034D" w:rsidRDefault="00244145" w:rsidP="00244145">
            <w:pPr>
              <w:rPr>
                <w:b/>
                <w:bCs/>
                <w:lang w:val="ru-RU"/>
              </w:rPr>
            </w:pPr>
            <w:r w:rsidRPr="0047034D">
              <w:rPr>
                <w:b/>
                <w:bCs/>
                <w:lang w:val="ru-RU"/>
              </w:rPr>
              <w:t>Показатель</w:t>
            </w:r>
          </w:p>
        </w:tc>
        <w:tc>
          <w:tcPr>
            <w:tcW w:w="23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4145" w:rsidRPr="0047034D" w:rsidRDefault="00244145" w:rsidP="00244145">
            <w:pPr>
              <w:rPr>
                <w:b/>
                <w:bCs/>
                <w:lang w:val="ru-RU"/>
              </w:rPr>
            </w:pPr>
            <w:r w:rsidRPr="0047034D">
              <w:rPr>
                <w:b/>
                <w:bCs/>
                <w:lang w:val="ru-RU"/>
              </w:rPr>
              <w:t>Точка отсчета</w:t>
            </w:r>
          </w:p>
        </w:tc>
        <w:tc>
          <w:tcPr>
            <w:tcW w:w="50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4145" w:rsidRPr="0047034D" w:rsidRDefault="00244145" w:rsidP="00244145">
            <w:pPr>
              <w:rPr>
                <w:b/>
                <w:bCs/>
                <w:lang w:val="ru-RU"/>
              </w:rPr>
            </w:pPr>
            <w:r w:rsidRPr="0047034D">
              <w:rPr>
                <w:b/>
                <w:bCs/>
                <w:lang w:val="ru-RU"/>
              </w:rPr>
              <w:t xml:space="preserve">Срок (месяцы) </w:t>
            </w:r>
          </w:p>
        </w:tc>
      </w:tr>
      <w:tr w:rsidR="002627F1" w:rsidRPr="0047034D" w:rsidTr="00F40ED9">
        <w:trPr>
          <w:cantSplit/>
        </w:trPr>
        <w:tc>
          <w:tcPr>
            <w:tcW w:w="19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4145" w:rsidRPr="0047034D" w:rsidRDefault="00244145" w:rsidP="00244145">
            <w:pPr>
              <w:rPr>
                <w:lang w:val="ru-RU"/>
              </w:rPr>
            </w:pPr>
            <w:r w:rsidRPr="0047034D">
              <w:rPr>
                <w:lang w:val="ru-RU"/>
              </w:rPr>
              <w:t>Поиск</w:t>
            </w:r>
          </w:p>
        </w:tc>
        <w:tc>
          <w:tcPr>
            <w:tcW w:w="2384" w:type="dxa"/>
            <w:tcBorders>
              <w:top w:val="nil"/>
              <w:left w:val="nil"/>
              <w:bottom w:val="single" w:sz="8" w:space="0" w:color="auto"/>
              <w:right w:val="single" w:sz="8" w:space="0" w:color="auto"/>
            </w:tcBorders>
            <w:tcMar>
              <w:top w:w="0" w:type="dxa"/>
              <w:left w:w="108" w:type="dxa"/>
              <w:bottom w:w="0" w:type="dxa"/>
              <w:right w:w="108" w:type="dxa"/>
            </w:tcMar>
            <w:hideMark/>
          </w:tcPr>
          <w:p w:rsidR="00244145" w:rsidRPr="0047034D" w:rsidRDefault="00244145" w:rsidP="00244145">
            <w:pPr>
              <w:rPr>
                <w:lang w:val="ru-RU"/>
              </w:rPr>
            </w:pPr>
            <w:r w:rsidRPr="0047034D">
              <w:rPr>
                <w:lang w:val="ru-RU"/>
              </w:rPr>
              <w:t>не применимо</w:t>
            </w:r>
          </w:p>
        </w:tc>
        <w:tc>
          <w:tcPr>
            <w:tcW w:w="50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244145" w:rsidRPr="0047034D" w:rsidRDefault="00244145" w:rsidP="00244145">
            <w:pPr>
              <w:rPr>
                <w:lang w:val="ru-RU"/>
              </w:rPr>
            </w:pPr>
            <w:r w:rsidRPr="0047034D">
              <w:rPr>
                <w:lang w:val="ru-RU"/>
              </w:rPr>
              <w:t>Поиск выполняется в начале работы по экспертизе тем же экспертом.</w:t>
            </w:r>
          </w:p>
        </w:tc>
      </w:tr>
      <w:tr w:rsidR="002627F1" w:rsidRPr="0047034D" w:rsidTr="00F40ED9">
        <w:trPr>
          <w:cantSplit/>
          <w:trHeight w:val="123"/>
        </w:trPr>
        <w:tc>
          <w:tcPr>
            <w:tcW w:w="1952" w:type="dxa"/>
            <w:vMerge w:val="restar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244145" w:rsidRPr="0047034D" w:rsidRDefault="00244145" w:rsidP="00244145">
            <w:pPr>
              <w:rPr>
                <w:lang w:val="ru-RU"/>
              </w:rPr>
            </w:pPr>
            <w:r w:rsidRPr="0047034D">
              <w:rPr>
                <w:lang w:val="ru-RU"/>
              </w:rPr>
              <w:t>Первая экспертиза</w:t>
            </w:r>
          </w:p>
        </w:tc>
        <w:tc>
          <w:tcPr>
            <w:tcW w:w="2384" w:type="dxa"/>
            <w:vMerge w:val="restar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244145" w:rsidRPr="0047034D" w:rsidRDefault="00244145" w:rsidP="00244145">
            <w:pPr>
              <w:rPr>
                <w:lang w:val="ru-RU"/>
              </w:rPr>
            </w:pPr>
            <w:r w:rsidRPr="0047034D">
              <w:rPr>
                <w:lang w:val="ru-RU"/>
              </w:rPr>
              <w:t>Запрос на проведение экспертизы</w:t>
            </w:r>
          </w:p>
        </w:tc>
        <w:tc>
          <w:tcPr>
            <w:tcW w:w="3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4145" w:rsidRPr="0047034D" w:rsidRDefault="00244145" w:rsidP="00244145">
            <w:pPr>
              <w:rPr>
                <w:lang w:val="ru-RU"/>
              </w:rPr>
            </w:pPr>
            <w:r w:rsidRPr="0047034D">
              <w:rPr>
                <w:lang w:val="ru-RU"/>
              </w:rPr>
              <w:t xml:space="preserve">Варьируется в зависимости от дисциплины, но в среднем: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4145" w:rsidRPr="0047034D" w:rsidRDefault="00244145" w:rsidP="00244145">
            <w:pPr>
              <w:rPr>
                <w:lang w:val="ru-RU"/>
              </w:rPr>
            </w:pPr>
            <w:r w:rsidRPr="0047034D">
              <w:rPr>
                <w:lang w:val="ru-RU"/>
              </w:rPr>
              <w:t>6,9</w:t>
            </w:r>
          </w:p>
        </w:tc>
      </w:tr>
      <w:tr w:rsidR="002627F1" w:rsidRPr="0047034D" w:rsidTr="00F40ED9">
        <w:trPr>
          <w:cantSplit/>
          <w:trHeight w:val="123"/>
        </w:trPr>
        <w:tc>
          <w:tcPr>
            <w:tcW w:w="0" w:type="auto"/>
            <w:vMerge/>
            <w:tcBorders>
              <w:top w:val="single" w:sz="8" w:space="0" w:color="auto"/>
              <w:left w:val="single" w:sz="8" w:space="0" w:color="auto"/>
              <w:bottom w:val="single" w:sz="4" w:space="0" w:color="auto"/>
              <w:right w:val="single" w:sz="8" w:space="0" w:color="auto"/>
            </w:tcBorders>
            <w:vAlign w:val="center"/>
            <w:hideMark/>
          </w:tcPr>
          <w:p w:rsidR="00244145" w:rsidRPr="0047034D" w:rsidRDefault="00244145" w:rsidP="00244145">
            <w:pPr>
              <w:rPr>
                <w:lang w:val="ru-RU"/>
              </w:rPr>
            </w:pPr>
          </w:p>
        </w:tc>
        <w:tc>
          <w:tcPr>
            <w:tcW w:w="0" w:type="auto"/>
            <w:vMerge/>
            <w:tcBorders>
              <w:top w:val="single" w:sz="8" w:space="0" w:color="auto"/>
              <w:left w:val="nil"/>
              <w:bottom w:val="single" w:sz="4" w:space="0" w:color="auto"/>
              <w:right w:val="single" w:sz="8" w:space="0" w:color="auto"/>
            </w:tcBorders>
            <w:vAlign w:val="center"/>
            <w:hideMark/>
          </w:tcPr>
          <w:p w:rsidR="00244145" w:rsidRPr="0047034D" w:rsidRDefault="00244145" w:rsidP="00244145">
            <w:pPr>
              <w:rPr>
                <w:lang w:val="ru-RU"/>
              </w:rPr>
            </w:pPr>
          </w:p>
        </w:tc>
        <w:tc>
          <w:tcPr>
            <w:tcW w:w="3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4145" w:rsidRPr="0047034D" w:rsidRDefault="00244145" w:rsidP="00244145">
            <w:pPr>
              <w:rPr>
                <w:lang w:val="ru-RU"/>
              </w:rPr>
            </w:pPr>
            <w:r w:rsidRPr="0047034D">
              <w:rPr>
                <w:lang w:val="ru-RU"/>
              </w:rPr>
              <w:t>Машиностроение</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4145" w:rsidRPr="0047034D" w:rsidRDefault="00244145" w:rsidP="00244145">
            <w:pPr>
              <w:rPr>
                <w:lang w:val="ru-RU"/>
              </w:rPr>
            </w:pPr>
            <w:r w:rsidRPr="0047034D">
              <w:rPr>
                <w:lang w:val="ru-RU"/>
              </w:rPr>
              <w:t>6,1</w:t>
            </w:r>
          </w:p>
        </w:tc>
      </w:tr>
      <w:tr w:rsidR="002627F1" w:rsidRPr="0047034D" w:rsidTr="00F40ED9">
        <w:trPr>
          <w:cantSplit/>
          <w:trHeight w:val="123"/>
        </w:trPr>
        <w:tc>
          <w:tcPr>
            <w:tcW w:w="0" w:type="auto"/>
            <w:vMerge/>
            <w:tcBorders>
              <w:top w:val="single" w:sz="8" w:space="0" w:color="auto"/>
              <w:left w:val="single" w:sz="8" w:space="0" w:color="auto"/>
              <w:bottom w:val="single" w:sz="4" w:space="0" w:color="auto"/>
              <w:right w:val="single" w:sz="8" w:space="0" w:color="auto"/>
            </w:tcBorders>
            <w:vAlign w:val="center"/>
            <w:hideMark/>
          </w:tcPr>
          <w:p w:rsidR="00244145" w:rsidRPr="0047034D" w:rsidRDefault="00244145" w:rsidP="00244145">
            <w:pPr>
              <w:rPr>
                <w:lang w:val="ru-RU"/>
              </w:rPr>
            </w:pPr>
          </w:p>
        </w:tc>
        <w:tc>
          <w:tcPr>
            <w:tcW w:w="0" w:type="auto"/>
            <w:vMerge/>
            <w:tcBorders>
              <w:top w:val="single" w:sz="8" w:space="0" w:color="auto"/>
              <w:left w:val="nil"/>
              <w:bottom w:val="single" w:sz="4" w:space="0" w:color="auto"/>
              <w:right w:val="single" w:sz="8" w:space="0" w:color="auto"/>
            </w:tcBorders>
            <w:vAlign w:val="center"/>
            <w:hideMark/>
          </w:tcPr>
          <w:p w:rsidR="00244145" w:rsidRPr="0047034D" w:rsidRDefault="00244145" w:rsidP="00244145">
            <w:pPr>
              <w:rPr>
                <w:lang w:val="ru-RU"/>
              </w:rPr>
            </w:pPr>
          </w:p>
        </w:tc>
        <w:tc>
          <w:tcPr>
            <w:tcW w:w="3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4145" w:rsidRPr="0047034D" w:rsidRDefault="00244145" w:rsidP="00244145">
            <w:pPr>
              <w:rPr>
                <w:lang w:val="ru-RU"/>
              </w:rPr>
            </w:pPr>
            <w:r w:rsidRPr="0047034D">
              <w:rPr>
                <w:lang w:val="ru-RU"/>
              </w:rPr>
              <w:t>Электричество/электроника</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4145" w:rsidRPr="0047034D" w:rsidRDefault="00244145" w:rsidP="00244145">
            <w:pPr>
              <w:rPr>
                <w:lang w:val="ru-RU"/>
              </w:rPr>
            </w:pPr>
            <w:r w:rsidRPr="0047034D">
              <w:rPr>
                <w:lang w:val="ru-RU"/>
              </w:rPr>
              <w:t>7,9</w:t>
            </w:r>
          </w:p>
        </w:tc>
      </w:tr>
      <w:tr w:rsidR="002627F1" w:rsidRPr="0047034D" w:rsidTr="00F40ED9">
        <w:trPr>
          <w:cantSplit/>
          <w:trHeight w:val="123"/>
        </w:trPr>
        <w:tc>
          <w:tcPr>
            <w:tcW w:w="0" w:type="auto"/>
            <w:vMerge/>
            <w:tcBorders>
              <w:top w:val="single" w:sz="8" w:space="0" w:color="auto"/>
              <w:left w:val="single" w:sz="8" w:space="0" w:color="auto"/>
              <w:bottom w:val="single" w:sz="4" w:space="0" w:color="auto"/>
              <w:right w:val="single" w:sz="8" w:space="0" w:color="auto"/>
            </w:tcBorders>
            <w:vAlign w:val="center"/>
            <w:hideMark/>
          </w:tcPr>
          <w:p w:rsidR="00244145" w:rsidRPr="0047034D" w:rsidRDefault="00244145" w:rsidP="00244145">
            <w:pPr>
              <w:rPr>
                <w:lang w:val="ru-RU"/>
              </w:rPr>
            </w:pPr>
          </w:p>
        </w:tc>
        <w:tc>
          <w:tcPr>
            <w:tcW w:w="0" w:type="auto"/>
            <w:vMerge/>
            <w:tcBorders>
              <w:top w:val="single" w:sz="8" w:space="0" w:color="auto"/>
              <w:left w:val="nil"/>
              <w:bottom w:val="single" w:sz="4" w:space="0" w:color="auto"/>
              <w:right w:val="single" w:sz="8" w:space="0" w:color="auto"/>
            </w:tcBorders>
            <w:vAlign w:val="center"/>
            <w:hideMark/>
          </w:tcPr>
          <w:p w:rsidR="00244145" w:rsidRPr="0047034D" w:rsidRDefault="00244145" w:rsidP="00244145">
            <w:pPr>
              <w:rPr>
                <w:lang w:val="ru-RU"/>
              </w:rPr>
            </w:pPr>
          </w:p>
        </w:tc>
        <w:tc>
          <w:tcPr>
            <w:tcW w:w="3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4145" w:rsidRPr="0047034D" w:rsidRDefault="00244145" w:rsidP="00244145">
            <w:pPr>
              <w:rPr>
                <w:lang w:val="ru-RU"/>
              </w:rPr>
            </w:pPr>
            <w:r w:rsidRPr="0047034D">
              <w:rPr>
                <w:lang w:val="ru-RU"/>
              </w:rPr>
              <w:t>Химия</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244145" w:rsidRPr="0047034D" w:rsidRDefault="00244145" w:rsidP="00244145">
            <w:pPr>
              <w:rPr>
                <w:lang w:val="ru-RU"/>
              </w:rPr>
            </w:pPr>
            <w:r w:rsidRPr="0047034D">
              <w:rPr>
                <w:lang w:val="ru-RU"/>
              </w:rPr>
              <w:t>7,3</w:t>
            </w:r>
          </w:p>
        </w:tc>
      </w:tr>
      <w:tr w:rsidR="002627F1" w:rsidRPr="0047034D" w:rsidTr="00F40ED9">
        <w:trPr>
          <w:cantSplit/>
          <w:trHeight w:val="123"/>
        </w:trPr>
        <w:tc>
          <w:tcPr>
            <w:tcW w:w="1952" w:type="dxa"/>
            <w:vMerge w:val="restart"/>
            <w:tcBorders>
              <w:top w:val="single" w:sz="4" w:space="0" w:color="auto"/>
              <w:left w:val="single" w:sz="8" w:space="0" w:color="auto"/>
              <w:bottom w:val="nil"/>
              <w:right w:val="single" w:sz="8" w:space="0" w:color="auto"/>
            </w:tcBorders>
            <w:tcMar>
              <w:top w:w="0" w:type="dxa"/>
              <w:left w:w="108" w:type="dxa"/>
              <w:bottom w:w="0" w:type="dxa"/>
              <w:right w:w="108" w:type="dxa"/>
            </w:tcMar>
            <w:hideMark/>
          </w:tcPr>
          <w:p w:rsidR="00244145" w:rsidRPr="0047034D" w:rsidRDefault="00244145" w:rsidP="00244145">
            <w:pPr>
              <w:rPr>
                <w:lang w:val="ru-RU"/>
              </w:rPr>
            </w:pPr>
            <w:r w:rsidRPr="0047034D">
              <w:rPr>
                <w:lang w:val="ru-RU"/>
              </w:rPr>
              <w:t>Выдача патента</w:t>
            </w:r>
          </w:p>
        </w:tc>
        <w:tc>
          <w:tcPr>
            <w:tcW w:w="2384" w:type="dxa"/>
            <w:vMerge w:val="restart"/>
            <w:tcBorders>
              <w:top w:val="single" w:sz="4" w:space="0" w:color="auto"/>
              <w:left w:val="nil"/>
              <w:bottom w:val="nil"/>
              <w:right w:val="single" w:sz="8" w:space="0" w:color="auto"/>
            </w:tcBorders>
            <w:tcMar>
              <w:top w:w="0" w:type="dxa"/>
              <w:left w:w="108" w:type="dxa"/>
              <w:bottom w:w="0" w:type="dxa"/>
              <w:right w:w="108" w:type="dxa"/>
            </w:tcMar>
            <w:hideMark/>
          </w:tcPr>
          <w:p w:rsidR="00244145" w:rsidRPr="0047034D" w:rsidRDefault="00244145" w:rsidP="00244145">
            <w:pPr>
              <w:rPr>
                <w:lang w:val="ru-RU"/>
              </w:rPr>
            </w:pPr>
            <w:r w:rsidRPr="0047034D">
              <w:rPr>
                <w:lang w:val="ru-RU"/>
              </w:rPr>
              <w:t>Запрос на проведение экспертизы</w:t>
            </w:r>
          </w:p>
        </w:tc>
        <w:tc>
          <w:tcPr>
            <w:tcW w:w="3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4145" w:rsidRPr="0047034D" w:rsidRDefault="00244145" w:rsidP="00244145">
            <w:pPr>
              <w:rPr>
                <w:lang w:val="ru-RU"/>
              </w:rPr>
            </w:pPr>
            <w:r w:rsidRPr="0047034D">
              <w:rPr>
                <w:lang w:val="ru-RU"/>
              </w:rPr>
              <w:t xml:space="preserve">Варьируется в зависимости от дисциплины, но в среднем: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4145" w:rsidRPr="0047034D" w:rsidRDefault="00244145" w:rsidP="00244145">
            <w:pPr>
              <w:rPr>
                <w:lang w:val="ru-RU"/>
              </w:rPr>
            </w:pPr>
            <w:r w:rsidRPr="0047034D">
              <w:rPr>
                <w:lang w:val="ru-RU"/>
              </w:rPr>
              <w:t>23,0</w:t>
            </w:r>
          </w:p>
        </w:tc>
      </w:tr>
      <w:tr w:rsidR="002627F1" w:rsidRPr="0047034D" w:rsidTr="00F40ED9">
        <w:trPr>
          <w:cantSplit/>
          <w:trHeight w:val="123"/>
        </w:trPr>
        <w:tc>
          <w:tcPr>
            <w:tcW w:w="0" w:type="auto"/>
            <w:vMerge/>
            <w:tcBorders>
              <w:top w:val="nil"/>
              <w:left w:val="single" w:sz="8" w:space="0" w:color="auto"/>
              <w:bottom w:val="nil"/>
              <w:right w:val="single" w:sz="8" w:space="0" w:color="auto"/>
            </w:tcBorders>
            <w:vAlign w:val="center"/>
            <w:hideMark/>
          </w:tcPr>
          <w:p w:rsidR="00244145" w:rsidRPr="0047034D" w:rsidRDefault="00244145" w:rsidP="00244145">
            <w:pPr>
              <w:rPr>
                <w:lang w:val="ru-RU"/>
              </w:rPr>
            </w:pPr>
          </w:p>
        </w:tc>
        <w:tc>
          <w:tcPr>
            <w:tcW w:w="0" w:type="auto"/>
            <w:vMerge/>
            <w:tcBorders>
              <w:top w:val="nil"/>
              <w:left w:val="nil"/>
              <w:bottom w:val="nil"/>
              <w:right w:val="single" w:sz="8" w:space="0" w:color="auto"/>
            </w:tcBorders>
            <w:vAlign w:val="center"/>
            <w:hideMark/>
          </w:tcPr>
          <w:p w:rsidR="00244145" w:rsidRPr="0047034D" w:rsidRDefault="00244145" w:rsidP="00244145">
            <w:pPr>
              <w:rPr>
                <w:lang w:val="ru-RU"/>
              </w:rPr>
            </w:pPr>
          </w:p>
        </w:tc>
        <w:tc>
          <w:tcPr>
            <w:tcW w:w="3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4145" w:rsidRPr="0047034D" w:rsidRDefault="00244145" w:rsidP="00244145">
            <w:pPr>
              <w:rPr>
                <w:lang w:val="ru-RU"/>
              </w:rPr>
            </w:pPr>
            <w:r w:rsidRPr="0047034D">
              <w:rPr>
                <w:lang w:val="ru-RU"/>
              </w:rPr>
              <w:t>Машиностроение</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4145" w:rsidRPr="0047034D" w:rsidRDefault="00244145" w:rsidP="00244145">
            <w:pPr>
              <w:rPr>
                <w:lang w:val="ru-RU"/>
              </w:rPr>
            </w:pPr>
            <w:r w:rsidRPr="0047034D">
              <w:rPr>
                <w:lang w:val="ru-RU"/>
              </w:rPr>
              <w:t>22,7</w:t>
            </w:r>
          </w:p>
        </w:tc>
      </w:tr>
      <w:tr w:rsidR="002627F1" w:rsidRPr="0047034D" w:rsidTr="00F40ED9">
        <w:trPr>
          <w:cantSplit/>
          <w:trHeight w:val="123"/>
        </w:trPr>
        <w:tc>
          <w:tcPr>
            <w:tcW w:w="0" w:type="auto"/>
            <w:vMerge/>
            <w:tcBorders>
              <w:top w:val="nil"/>
              <w:left w:val="single" w:sz="8" w:space="0" w:color="auto"/>
              <w:bottom w:val="nil"/>
              <w:right w:val="single" w:sz="8" w:space="0" w:color="auto"/>
            </w:tcBorders>
            <w:vAlign w:val="center"/>
            <w:hideMark/>
          </w:tcPr>
          <w:p w:rsidR="00244145" w:rsidRPr="0047034D" w:rsidRDefault="00244145" w:rsidP="00244145">
            <w:pPr>
              <w:rPr>
                <w:lang w:val="ru-RU"/>
              </w:rPr>
            </w:pPr>
          </w:p>
        </w:tc>
        <w:tc>
          <w:tcPr>
            <w:tcW w:w="0" w:type="auto"/>
            <w:vMerge/>
            <w:tcBorders>
              <w:top w:val="nil"/>
              <w:left w:val="nil"/>
              <w:bottom w:val="nil"/>
              <w:right w:val="single" w:sz="8" w:space="0" w:color="auto"/>
            </w:tcBorders>
            <w:vAlign w:val="center"/>
            <w:hideMark/>
          </w:tcPr>
          <w:p w:rsidR="00244145" w:rsidRPr="0047034D" w:rsidRDefault="00244145" w:rsidP="00244145">
            <w:pPr>
              <w:rPr>
                <w:lang w:val="ru-RU"/>
              </w:rPr>
            </w:pPr>
          </w:p>
        </w:tc>
        <w:tc>
          <w:tcPr>
            <w:tcW w:w="3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4145" w:rsidRPr="0047034D" w:rsidRDefault="00244145" w:rsidP="00244145">
            <w:pPr>
              <w:rPr>
                <w:lang w:val="ru-RU"/>
              </w:rPr>
            </w:pPr>
            <w:r w:rsidRPr="0047034D">
              <w:rPr>
                <w:lang w:val="ru-RU"/>
              </w:rPr>
              <w:t>Электричество/электроника</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4145" w:rsidRPr="0047034D" w:rsidRDefault="00244145" w:rsidP="00244145">
            <w:pPr>
              <w:rPr>
                <w:lang w:val="ru-RU"/>
              </w:rPr>
            </w:pPr>
            <w:r w:rsidRPr="0047034D">
              <w:rPr>
                <w:lang w:val="ru-RU"/>
              </w:rPr>
              <w:t>21,6</w:t>
            </w:r>
          </w:p>
        </w:tc>
      </w:tr>
      <w:tr w:rsidR="002627F1" w:rsidRPr="0047034D" w:rsidTr="00F40ED9">
        <w:trPr>
          <w:cantSplit/>
          <w:trHeight w:val="123"/>
        </w:trPr>
        <w:tc>
          <w:tcPr>
            <w:tcW w:w="0" w:type="auto"/>
            <w:vMerge/>
            <w:tcBorders>
              <w:top w:val="nil"/>
              <w:left w:val="single" w:sz="8" w:space="0" w:color="auto"/>
              <w:bottom w:val="single" w:sz="4" w:space="0" w:color="auto"/>
              <w:right w:val="single" w:sz="8" w:space="0" w:color="auto"/>
            </w:tcBorders>
            <w:vAlign w:val="center"/>
            <w:hideMark/>
          </w:tcPr>
          <w:p w:rsidR="00244145" w:rsidRPr="0047034D" w:rsidRDefault="00244145" w:rsidP="00244145">
            <w:pPr>
              <w:rPr>
                <w:lang w:val="ru-RU"/>
              </w:rPr>
            </w:pPr>
          </w:p>
        </w:tc>
        <w:tc>
          <w:tcPr>
            <w:tcW w:w="0" w:type="auto"/>
            <w:vMerge/>
            <w:tcBorders>
              <w:top w:val="nil"/>
              <w:left w:val="nil"/>
              <w:bottom w:val="single" w:sz="4" w:space="0" w:color="auto"/>
              <w:right w:val="single" w:sz="8" w:space="0" w:color="auto"/>
            </w:tcBorders>
            <w:vAlign w:val="center"/>
            <w:hideMark/>
          </w:tcPr>
          <w:p w:rsidR="00244145" w:rsidRPr="0047034D" w:rsidRDefault="00244145" w:rsidP="00244145">
            <w:pPr>
              <w:rPr>
                <w:lang w:val="ru-RU"/>
              </w:rPr>
            </w:pPr>
          </w:p>
        </w:tc>
        <w:tc>
          <w:tcPr>
            <w:tcW w:w="387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44145" w:rsidRPr="0047034D" w:rsidRDefault="00244145" w:rsidP="00244145">
            <w:pPr>
              <w:rPr>
                <w:lang w:val="ru-RU"/>
              </w:rPr>
            </w:pPr>
            <w:r w:rsidRPr="0047034D">
              <w:rPr>
                <w:lang w:val="ru-RU"/>
              </w:rPr>
              <w:t>Химия</w:t>
            </w:r>
          </w:p>
        </w:tc>
        <w:tc>
          <w:tcPr>
            <w:tcW w:w="1134" w:type="dxa"/>
            <w:tcBorders>
              <w:top w:val="nil"/>
              <w:left w:val="nil"/>
              <w:bottom w:val="single" w:sz="4" w:space="0" w:color="auto"/>
              <w:right w:val="single" w:sz="8" w:space="0" w:color="auto"/>
            </w:tcBorders>
            <w:tcMar>
              <w:top w:w="0" w:type="dxa"/>
              <w:left w:w="108" w:type="dxa"/>
              <w:bottom w:w="0" w:type="dxa"/>
              <w:right w:w="108" w:type="dxa"/>
            </w:tcMar>
            <w:vAlign w:val="center"/>
          </w:tcPr>
          <w:p w:rsidR="00244145" w:rsidRPr="0047034D" w:rsidRDefault="00244145" w:rsidP="00244145">
            <w:pPr>
              <w:rPr>
                <w:lang w:val="ru-RU"/>
              </w:rPr>
            </w:pPr>
            <w:r w:rsidRPr="0047034D">
              <w:rPr>
                <w:lang w:val="ru-RU"/>
              </w:rPr>
              <w:t>24,5</w:t>
            </w:r>
          </w:p>
        </w:tc>
      </w:tr>
    </w:tbl>
    <w:p w:rsidR="00244145" w:rsidRPr="0047034D" w:rsidRDefault="00244145" w:rsidP="00244145">
      <w:pPr>
        <w:keepNext/>
        <w:keepLines/>
        <w:rPr>
          <w:b/>
          <w:bCs/>
          <w:szCs w:val="22"/>
          <w:lang w:val="ru-RU"/>
        </w:rPr>
      </w:pPr>
    </w:p>
    <w:p w:rsidR="00244145" w:rsidRPr="0047034D" w:rsidRDefault="00244145" w:rsidP="00244145">
      <w:pPr>
        <w:rPr>
          <w:lang w:val="ru-RU"/>
        </w:rPr>
      </w:pPr>
      <w:r w:rsidRPr="0047034D">
        <w:rPr>
          <w:b/>
          <w:bCs/>
          <w:lang w:val="ru-RU"/>
        </w:rPr>
        <w:t xml:space="preserve">Прошлые данные: </w:t>
      </w:r>
      <w:r w:rsidRPr="0047034D">
        <w:rPr>
          <w:lang w:val="ru-RU"/>
        </w:rPr>
        <w:t>(показывающие сокращение сроков обработки и колебания в результатах работы)</w:t>
      </w:r>
    </w:p>
    <w:tbl>
      <w:tblPr>
        <w:tblW w:w="9253" w:type="dxa"/>
        <w:tblInd w:w="93" w:type="dxa"/>
        <w:tblLayout w:type="fixed"/>
        <w:tblCellMar>
          <w:left w:w="0" w:type="dxa"/>
          <w:right w:w="0" w:type="dxa"/>
        </w:tblCellMar>
        <w:tblLook w:val="04A0" w:firstRow="1" w:lastRow="0" w:firstColumn="1" w:lastColumn="0" w:noHBand="0" w:noVBand="1"/>
      </w:tblPr>
      <w:tblGrid>
        <w:gridCol w:w="5544"/>
        <w:gridCol w:w="927"/>
        <w:gridCol w:w="927"/>
        <w:gridCol w:w="927"/>
        <w:gridCol w:w="928"/>
      </w:tblGrid>
      <w:tr w:rsidR="002627F1" w:rsidRPr="0047034D" w:rsidTr="00F40ED9">
        <w:trPr>
          <w:trHeight w:val="530"/>
        </w:trPr>
        <w:tc>
          <w:tcPr>
            <w:tcW w:w="925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4145" w:rsidRPr="0047034D" w:rsidRDefault="00244145" w:rsidP="00244145">
            <w:pPr>
              <w:rPr>
                <w:b/>
                <w:bCs/>
                <w:lang w:val="ru-RU"/>
              </w:rPr>
            </w:pPr>
            <w:r w:rsidRPr="0047034D">
              <w:rPr>
                <w:b/>
                <w:bCs/>
                <w:lang w:val="ru-RU"/>
              </w:rPr>
              <w:t>Сроки обработки патентных заявок</w:t>
            </w:r>
          </w:p>
        </w:tc>
      </w:tr>
      <w:tr w:rsidR="002627F1" w:rsidRPr="0047034D" w:rsidTr="00F40ED9">
        <w:trPr>
          <w:trHeight w:val="1029"/>
        </w:trPr>
        <w:tc>
          <w:tcPr>
            <w:tcW w:w="55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4145" w:rsidRPr="0047034D" w:rsidRDefault="00244145" w:rsidP="00244145">
            <w:pPr>
              <w:rPr>
                <w:b/>
                <w:bCs/>
                <w:lang w:val="ru-RU"/>
              </w:rPr>
            </w:pPr>
            <w:r w:rsidRPr="0047034D">
              <w:rPr>
                <w:b/>
                <w:bCs/>
                <w:lang w:val="ru-RU"/>
              </w:rPr>
              <w:t>Сроки обработки</w:t>
            </w:r>
          </w:p>
          <w:p w:rsidR="00244145" w:rsidRPr="0047034D" w:rsidRDefault="00244145" w:rsidP="00244145">
            <w:pPr>
              <w:rPr>
                <w:b/>
                <w:bCs/>
                <w:lang w:val="ru-RU"/>
              </w:rPr>
            </w:pPr>
            <w:r w:rsidRPr="0047034D">
              <w:rPr>
                <w:b/>
                <w:bCs/>
                <w:lang w:val="ru-RU"/>
              </w:rPr>
              <w:t>(От получения запроса на экспертизу до выдачи патента, месяцев)</w:t>
            </w:r>
          </w:p>
        </w:tc>
        <w:tc>
          <w:tcPr>
            <w:tcW w:w="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4145" w:rsidRPr="0047034D" w:rsidRDefault="00244145" w:rsidP="00244145">
            <w:pPr>
              <w:rPr>
                <w:b/>
                <w:bCs/>
                <w:lang w:val="ru-RU"/>
              </w:rPr>
            </w:pPr>
            <w:r w:rsidRPr="0047034D">
              <w:rPr>
                <w:b/>
                <w:bCs/>
                <w:lang w:val="ru-RU"/>
              </w:rPr>
              <w:t>2013 г.</w:t>
            </w:r>
          </w:p>
        </w:tc>
        <w:tc>
          <w:tcPr>
            <w:tcW w:w="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4145" w:rsidRPr="0047034D" w:rsidRDefault="00244145" w:rsidP="00244145">
            <w:pPr>
              <w:rPr>
                <w:b/>
                <w:bCs/>
                <w:lang w:val="ru-RU"/>
              </w:rPr>
            </w:pPr>
            <w:r w:rsidRPr="0047034D">
              <w:rPr>
                <w:b/>
                <w:bCs/>
                <w:lang w:val="ru-RU"/>
              </w:rPr>
              <w:t>2014 г.</w:t>
            </w:r>
          </w:p>
        </w:tc>
        <w:tc>
          <w:tcPr>
            <w:tcW w:w="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4145" w:rsidRPr="0047034D" w:rsidRDefault="00244145" w:rsidP="00244145">
            <w:pPr>
              <w:rPr>
                <w:b/>
                <w:bCs/>
                <w:lang w:val="ru-RU"/>
              </w:rPr>
            </w:pPr>
            <w:r w:rsidRPr="0047034D">
              <w:rPr>
                <w:b/>
                <w:bCs/>
                <w:lang w:val="ru-RU"/>
              </w:rPr>
              <w:t>2015 г.</w:t>
            </w:r>
          </w:p>
        </w:tc>
        <w:tc>
          <w:tcPr>
            <w:tcW w:w="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4145" w:rsidRPr="0047034D" w:rsidRDefault="00244145" w:rsidP="00244145">
            <w:pPr>
              <w:rPr>
                <w:b/>
                <w:bCs/>
                <w:lang w:val="ru-RU"/>
              </w:rPr>
            </w:pPr>
            <w:r w:rsidRPr="0047034D">
              <w:rPr>
                <w:b/>
                <w:bCs/>
                <w:lang w:val="ru-RU"/>
              </w:rPr>
              <w:t>2016 г.</w:t>
            </w:r>
          </w:p>
        </w:tc>
      </w:tr>
      <w:tr w:rsidR="002627F1" w:rsidRPr="0047034D" w:rsidTr="00F40ED9">
        <w:trPr>
          <w:trHeight w:val="471"/>
        </w:trPr>
        <w:tc>
          <w:tcPr>
            <w:tcW w:w="55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4145" w:rsidRPr="0047034D" w:rsidRDefault="00244145" w:rsidP="00244145">
            <w:pPr>
              <w:rPr>
                <w:lang w:val="ru-RU"/>
              </w:rPr>
            </w:pPr>
          </w:p>
        </w:tc>
        <w:tc>
          <w:tcPr>
            <w:tcW w:w="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4145" w:rsidRPr="0047034D" w:rsidRDefault="00244145" w:rsidP="00244145">
            <w:pPr>
              <w:rPr>
                <w:lang w:val="ru-RU"/>
              </w:rPr>
            </w:pPr>
            <w:r w:rsidRPr="0047034D">
              <w:rPr>
                <w:lang w:val="ru-RU"/>
              </w:rPr>
              <w:t>24,6</w:t>
            </w:r>
          </w:p>
        </w:tc>
        <w:tc>
          <w:tcPr>
            <w:tcW w:w="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4145" w:rsidRPr="0047034D" w:rsidRDefault="00244145" w:rsidP="00244145">
            <w:pPr>
              <w:rPr>
                <w:lang w:val="ru-RU"/>
              </w:rPr>
            </w:pPr>
            <w:r w:rsidRPr="0047034D">
              <w:rPr>
                <w:lang w:val="ru-RU"/>
              </w:rPr>
              <w:t>23,8</w:t>
            </w:r>
          </w:p>
        </w:tc>
        <w:tc>
          <w:tcPr>
            <w:tcW w:w="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4145" w:rsidRPr="0047034D" w:rsidRDefault="00244145" w:rsidP="00244145">
            <w:pPr>
              <w:rPr>
                <w:lang w:val="ru-RU"/>
              </w:rPr>
            </w:pPr>
            <w:r w:rsidRPr="0047034D">
              <w:rPr>
                <w:lang w:val="ru-RU"/>
              </w:rPr>
              <w:t>24,7</w:t>
            </w:r>
          </w:p>
        </w:tc>
        <w:tc>
          <w:tcPr>
            <w:tcW w:w="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4145" w:rsidRPr="0047034D" w:rsidRDefault="00244145" w:rsidP="00244145">
            <w:pPr>
              <w:rPr>
                <w:lang w:val="ru-RU"/>
              </w:rPr>
            </w:pPr>
            <w:r w:rsidRPr="0047034D">
              <w:rPr>
                <w:lang w:val="ru-RU"/>
              </w:rPr>
              <w:t>23,0</w:t>
            </w:r>
          </w:p>
        </w:tc>
      </w:tr>
    </w:tbl>
    <w:p w:rsidR="00244145" w:rsidRPr="0047034D" w:rsidRDefault="00244145" w:rsidP="00244145">
      <w:pPr>
        <w:keepNext/>
        <w:keepLines/>
        <w:rPr>
          <w:b/>
          <w:bCs/>
          <w:szCs w:val="22"/>
          <w:lang w:val="ru-RU"/>
        </w:rPr>
      </w:pPr>
    </w:p>
    <w:p w:rsidR="00244145" w:rsidRPr="0047034D" w:rsidRDefault="00244145" w:rsidP="00244145">
      <w:pPr>
        <w:keepNext/>
        <w:keepLines/>
        <w:rPr>
          <w:b/>
          <w:bCs/>
          <w:szCs w:val="22"/>
          <w:lang w:val="ru-RU"/>
        </w:rPr>
      </w:pPr>
      <w:r w:rsidRPr="0047034D">
        <w:rPr>
          <w:b/>
          <w:bCs/>
          <w:szCs w:val="22"/>
          <w:lang w:val="ru-RU"/>
        </w:rPr>
        <w:t>Объем незавершенной работы ведомства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670"/>
      </w:tblGrid>
      <w:tr w:rsidR="002627F1" w:rsidRPr="0047034D" w:rsidTr="00F40ED9">
        <w:trPr>
          <w:cantSplit/>
        </w:trPr>
        <w:tc>
          <w:tcPr>
            <w:tcW w:w="3681" w:type="dxa"/>
            <w:shd w:val="clear" w:color="auto" w:fill="auto"/>
          </w:tcPr>
          <w:p w:rsidR="00244145" w:rsidRPr="0047034D" w:rsidRDefault="00244145" w:rsidP="00244145">
            <w:pPr>
              <w:rPr>
                <w:b/>
                <w:bCs/>
                <w:lang w:val="ru-RU"/>
              </w:rPr>
            </w:pPr>
            <w:r w:rsidRPr="0047034D">
              <w:rPr>
                <w:b/>
                <w:bCs/>
                <w:lang w:val="ru-RU"/>
              </w:rPr>
              <w:t>Показатель</w:t>
            </w:r>
          </w:p>
        </w:tc>
        <w:tc>
          <w:tcPr>
            <w:tcW w:w="5670" w:type="dxa"/>
            <w:shd w:val="clear" w:color="auto" w:fill="auto"/>
          </w:tcPr>
          <w:p w:rsidR="00244145" w:rsidRPr="0047034D" w:rsidRDefault="00244145" w:rsidP="00244145">
            <w:pPr>
              <w:rPr>
                <w:b/>
                <w:bCs/>
                <w:lang w:val="ru-RU"/>
              </w:rPr>
            </w:pPr>
            <w:r w:rsidRPr="0047034D">
              <w:rPr>
                <w:b/>
                <w:bCs/>
                <w:lang w:val="ru-RU"/>
              </w:rPr>
              <w:t>Количество заявок (по состоянию на 14.02.2017)</w:t>
            </w:r>
          </w:p>
        </w:tc>
      </w:tr>
      <w:tr w:rsidR="002627F1" w:rsidRPr="0047034D" w:rsidTr="00F40ED9">
        <w:trPr>
          <w:cantSplit/>
        </w:trPr>
        <w:tc>
          <w:tcPr>
            <w:tcW w:w="3681" w:type="dxa"/>
            <w:shd w:val="clear" w:color="auto" w:fill="auto"/>
          </w:tcPr>
          <w:p w:rsidR="00244145" w:rsidRPr="0047034D" w:rsidRDefault="00244145" w:rsidP="00244145">
            <w:pPr>
              <w:rPr>
                <w:lang w:val="ru-RU"/>
              </w:rPr>
            </w:pPr>
            <w:r w:rsidRPr="0047034D">
              <w:rPr>
                <w:lang w:val="ru-RU"/>
              </w:rPr>
              <w:t>Все заявки, находящиеся на рассмотрении</w:t>
            </w:r>
          </w:p>
        </w:tc>
        <w:tc>
          <w:tcPr>
            <w:tcW w:w="5670" w:type="dxa"/>
            <w:shd w:val="clear" w:color="auto" w:fill="auto"/>
          </w:tcPr>
          <w:p w:rsidR="00244145" w:rsidRPr="0047034D" w:rsidRDefault="00244145" w:rsidP="00244145">
            <w:pPr>
              <w:rPr>
                <w:lang w:val="ru-RU"/>
              </w:rPr>
            </w:pPr>
            <w:r w:rsidRPr="0047034D">
              <w:rPr>
                <w:lang w:val="ru-RU"/>
              </w:rPr>
              <w:t>42 082</w:t>
            </w:r>
          </w:p>
        </w:tc>
      </w:tr>
      <w:tr w:rsidR="002627F1" w:rsidRPr="0047034D" w:rsidTr="00F40ED9">
        <w:trPr>
          <w:cantSplit/>
        </w:trPr>
        <w:tc>
          <w:tcPr>
            <w:tcW w:w="3681" w:type="dxa"/>
            <w:shd w:val="clear" w:color="auto" w:fill="auto"/>
          </w:tcPr>
          <w:p w:rsidR="00244145" w:rsidRPr="0047034D" w:rsidRDefault="00244145" w:rsidP="00244145">
            <w:pPr>
              <w:rPr>
                <w:lang w:val="ru-RU"/>
              </w:rPr>
            </w:pPr>
            <w:r w:rsidRPr="0047034D">
              <w:rPr>
                <w:lang w:val="ru-RU"/>
              </w:rPr>
              <w:t>Заявки в ожидании патентного поиска (пошлины за который уже уплачены)</w:t>
            </w:r>
          </w:p>
        </w:tc>
        <w:tc>
          <w:tcPr>
            <w:tcW w:w="5670" w:type="dxa"/>
            <w:shd w:val="clear" w:color="auto" w:fill="auto"/>
          </w:tcPr>
          <w:p w:rsidR="00244145" w:rsidRPr="0047034D" w:rsidRDefault="00244145" w:rsidP="00244145">
            <w:pPr>
              <w:rPr>
                <w:lang w:val="ru-RU"/>
              </w:rPr>
            </w:pPr>
            <w:r w:rsidRPr="0047034D">
              <w:rPr>
                <w:lang w:val="ru-RU"/>
              </w:rPr>
              <w:t>Поскольку поиск и экспертиза выполняются одним и тем же экспертом одновременно, отдельных данных по этому показателю нет.</w:t>
            </w:r>
          </w:p>
        </w:tc>
      </w:tr>
      <w:tr w:rsidR="002627F1" w:rsidRPr="0047034D" w:rsidTr="00F40ED9">
        <w:trPr>
          <w:cantSplit/>
        </w:trPr>
        <w:tc>
          <w:tcPr>
            <w:tcW w:w="3681" w:type="dxa"/>
            <w:shd w:val="clear" w:color="auto" w:fill="auto"/>
          </w:tcPr>
          <w:p w:rsidR="00244145" w:rsidRPr="0047034D" w:rsidRDefault="00244145" w:rsidP="00244145">
            <w:pPr>
              <w:rPr>
                <w:lang w:val="ru-RU"/>
              </w:rPr>
            </w:pPr>
            <w:r w:rsidRPr="0047034D">
              <w:rPr>
                <w:lang w:val="ru-RU"/>
              </w:rPr>
              <w:t>Заявки, ожидающие проведения первой экспертизы (пошлины за которую уже уплачены)</w:t>
            </w:r>
          </w:p>
        </w:tc>
        <w:tc>
          <w:tcPr>
            <w:tcW w:w="5670" w:type="dxa"/>
            <w:shd w:val="clear" w:color="auto" w:fill="auto"/>
            <w:vAlign w:val="center"/>
          </w:tcPr>
          <w:p w:rsidR="00244145" w:rsidRPr="0047034D" w:rsidRDefault="00244145" w:rsidP="00244145">
            <w:pPr>
              <w:rPr>
                <w:lang w:val="ru-RU"/>
              </w:rPr>
            </w:pPr>
            <w:r w:rsidRPr="0047034D">
              <w:rPr>
                <w:lang w:val="ru-RU"/>
              </w:rPr>
              <w:t>18 031</w:t>
            </w:r>
          </w:p>
        </w:tc>
      </w:tr>
    </w:tbl>
    <w:p w:rsidR="00244145" w:rsidRPr="0047034D" w:rsidRDefault="00244145" w:rsidP="00244145">
      <w:pPr>
        <w:rPr>
          <w:lang w:val="ru-RU"/>
        </w:rPr>
      </w:pPr>
    </w:p>
    <w:p w:rsidR="00244145" w:rsidRPr="0047034D" w:rsidRDefault="00244145" w:rsidP="00244145">
      <w:pPr>
        <w:keepNext/>
        <w:rPr>
          <w:b/>
          <w:bCs/>
          <w:lang w:val="ru-RU"/>
        </w:rPr>
      </w:pPr>
      <w:r w:rsidRPr="0047034D">
        <w:rPr>
          <w:b/>
          <w:bCs/>
          <w:lang w:val="ru-RU"/>
        </w:rPr>
        <w:t>Прошлые данные:</w:t>
      </w:r>
    </w:p>
    <w:tbl>
      <w:tblPr>
        <w:tblW w:w="9253" w:type="dxa"/>
        <w:tblInd w:w="93" w:type="dxa"/>
        <w:tblLayout w:type="fixed"/>
        <w:tblCellMar>
          <w:left w:w="0" w:type="dxa"/>
          <w:right w:w="0" w:type="dxa"/>
        </w:tblCellMar>
        <w:tblLook w:val="04A0" w:firstRow="1" w:lastRow="0" w:firstColumn="1" w:lastColumn="0" w:noHBand="0" w:noVBand="1"/>
      </w:tblPr>
      <w:tblGrid>
        <w:gridCol w:w="5000"/>
        <w:gridCol w:w="1063"/>
        <w:gridCol w:w="1063"/>
        <w:gridCol w:w="1063"/>
        <w:gridCol w:w="1064"/>
      </w:tblGrid>
      <w:tr w:rsidR="002627F1" w:rsidRPr="0047034D" w:rsidTr="00F40ED9">
        <w:trPr>
          <w:trHeight w:val="530"/>
        </w:trPr>
        <w:tc>
          <w:tcPr>
            <w:tcW w:w="925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4145" w:rsidRPr="0047034D" w:rsidRDefault="00244145" w:rsidP="00244145">
            <w:pPr>
              <w:keepNext/>
              <w:rPr>
                <w:b/>
                <w:bCs/>
                <w:lang w:val="ru-RU"/>
              </w:rPr>
            </w:pPr>
            <w:r w:rsidRPr="0047034D">
              <w:rPr>
                <w:b/>
                <w:bCs/>
                <w:lang w:val="ru-RU"/>
              </w:rPr>
              <w:t>Патентные заявки на рассмотрении (на декабрь 2016 г.)</w:t>
            </w:r>
          </w:p>
        </w:tc>
      </w:tr>
      <w:tr w:rsidR="002627F1" w:rsidRPr="0047034D" w:rsidTr="00F40ED9">
        <w:trPr>
          <w:trHeight w:val="901"/>
        </w:trPr>
        <w:tc>
          <w:tcPr>
            <w:tcW w:w="50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4145" w:rsidRPr="0047034D" w:rsidRDefault="00244145" w:rsidP="00244145">
            <w:pPr>
              <w:keepNext/>
              <w:rPr>
                <w:b/>
                <w:bCs/>
                <w:lang w:val="ru-RU"/>
              </w:rPr>
            </w:pPr>
            <w:r w:rsidRPr="0047034D">
              <w:rPr>
                <w:b/>
                <w:bCs/>
                <w:lang w:val="ru-RU"/>
              </w:rPr>
              <w:t xml:space="preserve">Принятые заявки </w:t>
            </w:r>
          </w:p>
          <w:p w:rsidR="00244145" w:rsidRPr="0047034D" w:rsidRDefault="00244145" w:rsidP="00244145">
            <w:pPr>
              <w:keepNext/>
              <w:rPr>
                <w:b/>
                <w:bCs/>
                <w:lang w:val="ru-RU"/>
              </w:rPr>
            </w:pPr>
            <w:r w:rsidRPr="0047034D">
              <w:rPr>
                <w:b/>
                <w:bCs/>
                <w:lang w:val="ru-RU"/>
              </w:rPr>
              <w:t>(Количество заявок в ожидании первого решения)</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4145" w:rsidRPr="0047034D" w:rsidRDefault="00244145" w:rsidP="00244145">
            <w:pPr>
              <w:keepNext/>
              <w:rPr>
                <w:b/>
                <w:bCs/>
                <w:lang w:val="ru-RU"/>
              </w:rPr>
            </w:pPr>
            <w:r w:rsidRPr="0047034D">
              <w:rPr>
                <w:b/>
                <w:bCs/>
                <w:lang w:val="ru-RU"/>
              </w:rPr>
              <w:t>2013 г.</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4145" w:rsidRPr="0047034D" w:rsidRDefault="00244145" w:rsidP="00244145">
            <w:pPr>
              <w:keepNext/>
              <w:rPr>
                <w:b/>
                <w:bCs/>
                <w:lang w:val="ru-RU"/>
              </w:rPr>
            </w:pPr>
            <w:r w:rsidRPr="0047034D">
              <w:rPr>
                <w:b/>
                <w:bCs/>
                <w:lang w:val="ru-RU"/>
              </w:rPr>
              <w:t>2014 г.</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4145" w:rsidRPr="0047034D" w:rsidRDefault="00244145" w:rsidP="00244145">
            <w:pPr>
              <w:keepNext/>
              <w:rPr>
                <w:b/>
                <w:bCs/>
                <w:lang w:val="ru-RU"/>
              </w:rPr>
            </w:pPr>
            <w:r w:rsidRPr="0047034D">
              <w:rPr>
                <w:b/>
                <w:bCs/>
                <w:lang w:val="ru-RU"/>
              </w:rPr>
              <w:t>2015 г.</w:t>
            </w:r>
          </w:p>
        </w:tc>
        <w:tc>
          <w:tcPr>
            <w:tcW w:w="1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4145" w:rsidRPr="0047034D" w:rsidRDefault="00244145" w:rsidP="00244145">
            <w:pPr>
              <w:keepNext/>
              <w:rPr>
                <w:b/>
                <w:bCs/>
                <w:lang w:val="ru-RU"/>
              </w:rPr>
            </w:pPr>
            <w:r w:rsidRPr="0047034D">
              <w:rPr>
                <w:b/>
                <w:bCs/>
                <w:lang w:val="ru-RU"/>
              </w:rPr>
              <w:t>2016 г.</w:t>
            </w:r>
          </w:p>
        </w:tc>
      </w:tr>
      <w:tr w:rsidR="002627F1" w:rsidRPr="0047034D" w:rsidTr="00F40ED9">
        <w:trPr>
          <w:trHeight w:val="471"/>
        </w:trPr>
        <w:tc>
          <w:tcPr>
            <w:tcW w:w="50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4145" w:rsidRPr="0047034D" w:rsidRDefault="00244145" w:rsidP="00244145">
            <w:pPr>
              <w:rPr>
                <w:lang w:val="ru-RU"/>
              </w:rPr>
            </w:pP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4145" w:rsidRPr="0047034D" w:rsidRDefault="00244145" w:rsidP="00244145">
            <w:pPr>
              <w:rPr>
                <w:lang w:val="ru-RU"/>
              </w:rPr>
            </w:pPr>
            <w:r w:rsidRPr="0047034D">
              <w:rPr>
                <w:lang w:val="ru-RU"/>
              </w:rPr>
              <w:t>59 123</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4145" w:rsidRPr="0047034D" w:rsidRDefault="00244145" w:rsidP="00244145">
            <w:pPr>
              <w:rPr>
                <w:lang w:val="ru-RU"/>
              </w:rPr>
            </w:pPr>
            <w:r w:rsidRPr="0047034D">
              <w:rPr>
                <w:lang w:val="ru-RU"/>
              </w:rPr>
              <w:t>51 798</w:t>
            </w:r>
          </w:p>
        </w:tc>
        <w:tc>
          <w:tcPr>
            <w:tcW w:w="1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4145" w:rsidRPr="0047034D" w:rsidRDefault="00244145" w:rsidP="00244145">
            <w:pPr>
              <w:rPr>
                <w:lang w:val="ru-RU"/>
              </w:rPr>
            </w:pPr>
            <w:r w:rsidRPr="0047034D">
              <w:rPr>
                <w:lang w:val="ru-RU"/>
              </w:rPr>
              <w:t>47 672</w:t>
            </w:r>
          </w:p>
        </w:tc>
        <w:tc>
          <w:tcPr>
            <w:tcW w:w="1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44145" w:rsidRPr="0047034D" w:rsidRDefault="00244145" w:rsidP="00244145">
            <w:pPr>
              <w:rPr>
                <w:lang w:val="ru-RU"/>
              </w:rPr>
            </w:pPr>
            <w:r w:rsidRPr="0047034D">
              <w:rPr>
                <w:lang w:val="ru-RU"/>
              </w:rPr>
              <w:t>42 206</w:t>
            </w:r>
          </w:p>
        </w:tc>
      </w:tr>
    </w:tbl>
    <w:p w:rsidR="00244145" w:rsidRPr="0047034D" w:rsidRDefault="00244145" w:rsidP="00244145">
      <w:pPr>
        <w:pStyle w:val="SectionHeading"/>
        <w:rPr>
          <w:lang w:val="ru-RU"/>
        </w:rPr>
      </w:pPr>
      <w:r w:rsidRPr="0047034D">
        <w:rPr>
          <w:lang w:val="ru-RU"/>
        </w:rPr>
        <w:t>6 – Требуемая поддержка</w:t>
      </w:r>
    </w:p>
    <w:p w:rsidR="00244145" w:rsidRPr="0047034D" w:rsidRDefault="00244145" w:rsidP="00244145">
      <w:pPr>
        <w:rPr>
          <w:lang w:val="ru-RU"/>
        </w:rPr>
      </w:pPr>
      <w:r w:rsidRPr="0047034D">
        <w:rPr>
          <w:lang w:val="ru-RU"/>
        </w:rPr>
        <w:t>APO не потребуется номинальной постоянной поддержки от Международного бюро.</w:t>
      </w:r>
    </w:p>
    <w:p w:rsidR="00244145" w:rsidRPr="0047034D" w:rsidRDefault="00244145" w:rsidP="00244145">
      <w:pPr>
        <w:pStyle w:val="SectionHeading"/>
        <w:rPr>
          <w:lang w:val="ru-RU"/>
        </w:rPr>
      </w:pPr>
      <w:r w:rsidRPr="0047034D">
        <w:rPr>
          <w:lang w:val="ru-RU"/>
        </w:rPr>
        <w:t>7 – Прочее</w:t>
      </w:r>
    </w:p>
    <w:p w:rsidR="00244145" w:rsidRPr="0047034D" w:rsidRDefault="00244145" w:rsidP="00244145">
      <w:pPr>
        <w:rPr>
          <w:i/>
          <w:szCs w:val="22"/>
          <w:lang w:val="ru-RU"/>
        </w:rPr>
      </w:pPr>
      <w:r w:rsidRPr="0047034D">
        <w:rPr>
          <w:i/>
          <w:iCs/>
          <w:szCs w:val="22"/>
          <w:lang w:val="ru-RU"/>
        </w:rPr>
        <w:t>Национальная стратегия в области инноваций и науки (NISA)</w:t>
      </w:r>
    </w:p>
    <w:p w:rsidR="00244145" w:rsidRPr="0047034D" w:rsidRDefault="00244145" w:rsidP="00244145">
      <w:pPr>
        <w:rPr>
          <w:i/>
          <w:szCs w:val="22"/>
          <w:lang w:val="ru-RU"/>
        </w:rPr>
      </w:pPr>
    </w:p>
    <w:p w:rsidR="00244145" w:rsidRPr="0047034D" w:rsidRDefault="00244145" w:rsidP="00244145">
      <w:pPr>
        <w:spacing w:after="120"/>
        <w:rPr>
          <w:rFonts w:eastAsiaTheme="minorHAnsi" w:cs="Times New Roman"/>
          <w:lang w:val="ru-RU" w:eastAsia="en-AU"/>
        </w:rPr>
      </w:pPr>
      <w:r w:rsidRPr="0047034D">
        <w:rPr>
          <w:rFonts w:eastAsiaTheme="minorHAnsi" w:cs="Times New Roman"/>
          <w:lang w:val="ru-RU" w:eastAsia="en-AU"/>
        </w:rPr>
        <w:t xml:space="preserve">Правительство Австралии приняло программу NISA 7 декабря 2015 г.  Она разработана в рамках государственной политики обеспечения ведущих позиций Австралии в сфере инноваций.  Агентство </w:t>
      </w:r>
      <w:r w:rsidRPr="0047034D">
        <w:rPr>
          <w:rFonts w:eastAsiaTheme="minorHAnsi" w:cs="Times New Roman"/>
          <w:lang w:val="en-GB" w:eastAsia="en-AU"/>
        </w:rPr>
        <w:t>IP Australia</w:t>
      </w:r>
      <w:r w:rsidRPr="0047034D">
        <w:rPr>
          <w:rFonts w:eastAsiaTheme="minorHAnsi" w:cs="Times New Roman"/>
          <w:lang w:val="ru-RU" w:eastAsia="en-AU"/>
        </w:rPr>
        <w:t xml:space="preserve"> способно поддержать те изменения, которые предусмотрены стратегией, в том числе те, которые связаны с обменом данными.  </w:t>
      </w:r>
    </w:p>
    <w:p w:rsidR="00244145" w:rsidRPr="0047034D" w:rsidRDefault="00244145" w:rsidP="00244145">
      <w:pPr>
        <w:spacing w:after="120"/>
        <w:rPr>
          <w:rFonts w:eastAsiaTheme="minorHAnsi" w:cs="Times New Roman"/>
          <w:lang w:val="ru-RU" w:eastAsia="en-AU"/>
        </w:rPr>
      </w:pPr>
      <w:r w:rsidRPr="0047034D">
        <w:rPr>
          <w:rFonts w:eastAsiaTheme="minorHAnsi" w:cs="Times New Roman"/>
          <w:lang w:val="ru-RU" w:eastAsia="en-AU"/>
        </w:rPr>
        <w:t>Стратегия направлена на создание среды, дающей гражданам и предприятиям стимулы и понятные возможности для инновационной деятельности.  Это включает инвестиции в основные условия осуществления инноваций, в том числе в науку, исследования, образование и инфраструктуру, а также обеспечение благоприятного финансового, нормативно-правового и налогового режима, позволяющего предприятиям экспериментировать, тестируя и предлагая рынку свои новые идеи.</w:t>
      </w:r>
    </w:p>
    <w:p w:rsidR="00244145" w:rsidRPr="0047034D" w:rsidRDefault="00244145" w:rsidP="00244145">
      <w:pPr>
        <w:rPr>
          <w:rFonts w:eastAsiaTheme="minorHAnsi" w:cs="Times New Roman"/>
          <w:lang w:val="ru-RU" w:eastAsia="en-AU"/>
        </w:rPr>
      </w:pPr>
      <w:r w:rsidRPr="0047034D">
        <w:rPr>
          <w:rFonts w:eastAsiaTheme="minorHAnsi" w:cs="Times New Roman"/>
          <w:lang w:val="en-GB" w:eastAsia="en-AU"/>
        </w:rPr>
        <w:t>IP Australia</w:t>
      </w:r>
      <w:r w:rsidRPr="0047034D">
        <w:rPr>
          <w:rFonts w:eastAsiaTheme="minorHAnsi" w:cs="Times New Roman"/>
          <w:lang w:val="ru-RU" w:eastAsia="en-AU"/>
        </w:rPr>
        <w:t xml:space="preserve"> в настоящее время предоставляет несколько видов услуг, способствующих выполнению NISA.  В первую очередь они нацелены на активную коммерциализацию научных исследований в государственном секторе и обеспечение сотрудничества между исследователями и бизнес-сообществом в ситуациях, когда права интеллектуальной собственности (ИС) могут становиться камнем преткновения.  К этим услугам и сервисам относятся:</w:t>
      </w:r>
    </w:p>
    <w:p w:rsidR="00244145" w:rsidRPr="0047034D" w:rsidRDefault="00244145" w:rsidP="00244145">
      <w:pPr>
        <w:pStyle w:val="ListParagraph"/>
        <w:numPr>
          <w:ilvl w:val="0"/>
          <w:numId w:val="13"/>
        </w:numPr>
        <w:rPr>
          <w:rFonts w:eastAsiaTheme="minorHAnsi" w:cs="Times New Roman"/>
          <w:lang w:val="ru-RU" w:eastAsia="en-AU"/>
        </w:rPr>
      </w:pPr>
      <w:r w:rsidRPr="0047034D">
        <w:rPr>
          <w:rFonts w:eastAsiaTheme="minorHAnsi" w:cs="Times New Roman"/>
          <w:lang w:val="ru-RU" w:eastAsia="en-AU"/>
        </w:rPr>
        <w:t xml:space="preserve">«Пакет инструментов ИС для сотрудничества» — онлайн-ресурс для расширения сотрудничества между исследователями и бизнесом, совместно разработанный с Министерством промышленности, инноваций и науки (DIIS) и запущенный 10 сентября 2015 г.  Агентство </w:t>
      </w:r>
      <w:r w:rsidRPr="0047034D">
        <w:rPr>
          <w:rFonts w:eastAsiaTheme="minorHAnsi" w:cs="Times New Roman"/>
          <w:lang w:val="en-GB" w:eastAsia="en-AU"/>
        </w:rPr>
        <w:t>IP Australia</w:t>
      </w:r>
      <w:r w:rsidRPr="0047034D">
        <w:rPr>
          <w:rFonts w:eastAsiaTheme="minorHAnsi" w:cs="Times New Roman"/>
          <w:lang w:val="ru-RU" w:eastAsia="en-AU"/>
        </w:rPr>
        <w:t xml:space="preserve"> привлекло консультантов для пересмотра текущего пакета инструментов и рассмотре</w:t>
      </w:r>
      <w:r w:rsidR="000D27D7">
        <w:rPr>
          <w:rFonts w:eastAsiaTheme="minorHAnsi" w:cs="Times New Roman"/>
          <w:lang w:val="ru-RU" w:eastAsia="en-AU"/>
        </w:rPr>
        <w:t>ния возможностей</w:t>
      </w:r>
      <w:r w:rsidRPr="0047034D">
        <w:rPr>
          <w:rFonts w:eastAsiaTheme="minorHAnsi" w:cs="Times New Roman"/>
          <w:lang w:val="ru-RU" w:eastAsia="en-AU"/>
        </w:rPr>
        <w:t xml:space="preserve"> улучшения его доступности и функциональности.  Сейчас </w:t>
      </w:r>
      <w:r w:rsidRPr="0047034D">
        <w:rPr>
          <w:rFonts w:eastAsiaTheme="minorHAnsi" w:cs="Times New Roman"/>
          <w:lang w:val="en-GB" w:eastAsia="en-AU"/>
        </w:rPr>
        <w:t>IP Australia</w:t>
      </w:r>
      <w:r w:rsidRPr="0047034D">
        <w:rPr>
          <w:rFonts w:eastAsiaTheme="minorHAnsi" w:cs="Times New Roman"/>
          <w:lang w:val="ru-RU" w:eastAsia="en-AU"/>
        </w:rPr>
        <w:t xml:space="preserve"> и DIIS работают вместе, планируя запустить бета-версию расширенного пакета в первом полугодии 2017 г.</w:t>
      </w:r>
    </w:p>
    <w:p w:rsidR="00244145" w:rsidRPr="0047034D" w:rsidRDefault="00244145" w:rsidP="00244145">
      <w:pPr>
        <w:pStyle w:val="ListParagraph"/>
        <w:numPr>
          <w:ilvl w:val="0"/>
          <w:numId w:val="13"/>
        </w:numPr>
        <w:rPr>
          <w:rFonts w:eastAsiaTheme="minorHAnsi" w:cs="Times New Roman"/>
          <w:lang w:val="ru-RU" w:eastAsia="en-AU"/>
        </w:rPr>
      </w:pPr>
      <w:r w:rsidRPr="0047034D">
        <w:rPr>
          <w:rFonts w:eastAsiaTheme="minorHAnsi" w:cs="Times New Roman"/>
          <w:lang w:val="ru-RU" w:eastAsia="en-AU"/>
        </w:rPr>
        <w:t>«</w:t>
      </w:r>
      <w:r w:rsidRPr="0047034D">
        <w:rPr>
          <w:rFonts w:eastAsiaTheme="minorHAnsi" w:cs="Times New Roman"/>
          <w:lang w:val="en-GB" w:eastAsia="en-AU"/>
        </w:rPr>
        <w:t>Source IP</w:t>
      </w:r>
      <w:r w:rsidRPr="0047034D">
        <w:rPr>
          <w:rFonts w:eastAsiaTheme="minorHAnsi" w:cs="Times New Roman"/>
          <w:lang w:val="ru-RU" w:eastAsia="en-AU"/>
        </w:rPr>
        <w:t xml:space="preserve">» (запущена 23 ноября 2015 г.) — интернет-биржа, на которой бизнес-сообществу предлагается интеллектуальная собственность, разработанная государственными научно-исследовательскими организациями и университетами Австралии.  В результате недавних изменений сайт стал более удобным для пользователей, а его коммерческая значимость — </w:t>
      </w:r>
      <w:r w:rsidR="000D27D7">
        <w:rPr>
          <w:rFonts w:eastAsiaTheme="minorHAnsi" w:cs="Times New Roman"/>
          <w:lang w:val="ru-RU" w:eastAsia="en-AU"/>
        </w:rPr>
        <w:t xml:space="preserve">более </w:t>
      </w:r>
      <w:r w:rsidRPr="0047034D">
        <w:rPr>
          <w:rFonts w:eastAsiaTheme="minorHAnsi" w:cs="Times New Roman"/>
          <w:lang w:val="ru-RU" w:eastAsia="en-AU"/>
        </w:rPr>
        <w:t>заметн</w:t>
      </w:r>
      <w:r w:rsidR="000D27D7">
        <w:rPr>
          <w:rFonts w:eastAsiaTheme="minorHAnsi" w:cs="Times New Roman"/>
          <w:lang w:val="ru-RU" w:eastAsia="en-AU"/>
        </w:rPr>
        <w:t>ой</w:t>
      </w:r>
      <w:r w:rsidRPr="0047034D">
        <w:rPr>
          <w:rFonts w:eastAsiaTheme="minorHAnsi" w:cs="Times New Roman"/>
          <w:lang w:val="ru-RU" w:eastAsia="en-AU"/>
        </w:rPr>
        <w:t>.</w:t>
      </w:r>
    </w:p>
    <w:p w:rsidR="00244145" w:rsidRPr="0047034D" w:rsidRDefault="00244145" w:rsidP="00244145">
      <w:pPr>
        <w:pStyle w:val="ListParagraph"/>
        <w:numPr>
          <w:ilvl w:val="0"/>
          <w:numId w:val="13"/>
        </w:numPr>
        <w:rPr>
          <w:rFonts w:eastAsiaTheme="minorHAnsi" w:cs="Times New Roman"/>
          <w:lang w:val="ru-RU" w:eastAsia="en-AU"/>
        </w:rPr>
      </w:pPr>
      <w:r w:rsidRPr="0047034D">
        <w:rPr>
          <w:rFonts w:eastAsiaTheme="minorHAnsi" w:cs="Times New Roman"/>
          <w:lang w:val="ru-RU" w:eastAsia="en-AU"/>
        </w:rPr>
        <w:t xml:space="preserve">«Открытый инструмент нейронной визуализации и анализа интеллектуальной собственности» (IP NOVA), запущенный 22 октября 2016 г. и разработанный </w:t>
      </w:r>
      <w:r w:rsidRPr="0047034D">
        <w:rPr>
          <w:rFonts w:eastAsiaTheme="minorHAnsi" w:cs="Times New Roman"/>
          <w:lang w:val="en-GB" w:eastAsia="en-AU"/>
        </w:rPr>
        <w:t>IP Australia</w:t>
      </w:r>
      <w:r w:rsidRPr="0047034D">
        <w:rPr>
          <w:rFonts w:eastAsiaTheme="minorHAnsi" w:cs="Times New Roman"/>
          <w:lang w:val="ru-RU" w:eastAsia="en-AU"/>
        </w:rPr>
        <w:t xml:space="preserve"> в партнерстве с малыми и средними предприятиями (МСП).  Это бесплатное облачное приложение для визуализации</w:t>
      </w:r>
      <w:r>
        <w:rPr>
          <w:rFonts w:eastAsiaTheme="minorHAnsi" w:cs="Times New Roman"/>
          <w:lang w:val="ru-RU" w:eastAsia="en-AU"/>
        </w:rPr>
        <w:t xml:space="preserve"> данных</w:t>
      </w:r>
      <w:r w:rsidRPr="0047034D">
        <w:rPr>
          <w:rFonts w:eastAsiaTheme="minorHAnsi" w:cs="Times New Roman"/>
          <w:lang w:val="ru-RU" w:eastAsia="en-AU"/>
        </w:rPr>
        <w:t xml:space="preserve"> позволяет пользователям исследовать ландшафт ИС, осуществляя поиск </w:t>
      </w:r>
      <w:r>
        <w:rPr>
          <w:rFonts w:eastAsiaTheme="minorHAnsi" w:cs="Times New Roman"/>
          <w:lang w:val="ru-RU" w:eastAsia="en-AU"/>
        </w:rPr>
        <w:t xml:space="preserve">интеллектуальных </w:t>
      </w:r>
      <w:r w:rsidRPr="0047034D">
        <w:rPr>
          <w:rFonts w:eastAsiaTheme="minorHAnsi" w:cs="Times New Roman"/>
          <w:lang w:val="ru-RU" w:eastAsia="en-AU"/>
        </w:rPr>
        <w:t xml:space="preserve">прав по технологии, предназначению, местонахождению или названию компании. </w:t>
      </w:r>
    </w:p>
    <w:p w:rsidR="00244145" w:rsidRPr="0047034D" w:rsidRDefault="00244145" w:rsidP="00244145">
      <w:pPr>
        <w:pStyle w:val="ListParagraph"/>
        <w:numPr>
          <w:ilvl w:val="0"/>
          <w:numId w:val="13"/>
        </w:numPr>
        <w:rPr>
          <w:rFonts w:eastAsiaTheme="minorHAnsi" w:cs="Times New Roman"/>
          <w:lang w:val="ru-RU" w:eastAsia="en-AU"/>
        </w:rPr>
      </w:pPr>
      <w:r w:rsidRPr="0047034D">
        <w:rPr>
          <w:rFonts w:eastAsiaTheme="minorHAnsi" w:cs="Times New Roman"/>
          <w:lang w:val="ru-RU" w:eastAsia="en-AU"/>
        </w:rPr>
        <w:t>«Центр патентного анализа» — сервис, позволяющий измерять долгосрочный эффект проводимых исследований и выявлять возможности для сотрудничества и партнерства.  Его функционал был расширен для усиления поддержки университетов и государственных научно-исследовательских учреждений.</w:t>
      </w:r>
    </w:p>
    <w:p w:rsidR="00244145" w:rsidRPr="0047034D" w:rsidRDefault="00244145" w:rsidP="00244145">
      <w:pPr>
        <w:pStyle w:val="ListParagraph"/>
        <w:numPr>
          <w:ilvl w:val="0"/>
          <w:numId w:val="13"/>
        </w:numPr>
        <w:rPr>
          <w:rFonts w:eastAsiaTheme="minorHAnsi" w:cs="Times New Roman"/>
          <w:lang w:val="ru-RU" w:eastAsia="en-AU"/>
        </w:rPr>
      </w:pPr>
      <w:r w:rsidRPr="0047034D">
        <w:rPr>
          <w:rFonts w:eastAsiaTheme="minorHAnsi" w:cs="Times New Roman"/>
          <w:lang w:val="ru-RU" w:eastAsia="en-AU"/>
        </w:rPr>
        <w:t>«Открытые правительственные данные по ИС» (IPGOD) — архив австралийских данных по ИС за последние 100 лет со ссылками на более широкие коммерческие массивы данных, позволяющий проводить политику, основанную на достоверных фактах.  Также работает онлайновая версия (IPGOLD), содержащая самые последние данные и отвечающая требованиям австралийского правительства к обеспечению общедоступности данных.</w:t>
      </w:r>
    </w:p>
    <w:p w:rsidR="00244145" w:rsidRPr="0047034D" w:rsidRDefault="00244145" w:rsidP="00244145">
      <w:pPr>
        <w:rPr>
          <w:szCs w:val="22"/>
          <w:lang w:val="ru-RU"/>
        </w:rPr>
      </w:pPr>
    </w:p>
    <w:p w:rsidR="00244145" w:rsidRPr="0047034D" w:rsidRDefault="00244145" w:rsidP="00244145">
      <w:pPr>
        <w:rPr>
          <w:i/>
          <w:szCs w:val="22"/>
          <w:lang w:val="ru-RU"/>
        </w:rPr>
      </w:pPr>
      <w:r w:rsidRPr="0047034D">
        <w:rPr>
          <w:i/>
          <w:iCs/>
          <w:szCs w:val="22"/>
          <w:lang w:val="ru-RU"/>
        </w:rPr>
        <w:t>Сотрудничество с другими органами</w:t>
      </w:r>
    </w:p>
    <w:p w:rsidR="00244145" w:rsidRPr="0047034D" w:rsidRDefault="00244145" w:rsidP="00244145">
      <w:pPr>
        <w:rPr>
          <w:i/>
          <w:szCs w:val="22"/>
          <w:lang w:val="ru-RU"/>
        </w:rPr>
      </w:pPr>
    </w:p>
    <w:p w:rsidR="00244145" w:rsidRPr="0047034D" w:rsidRDefault="0047034D" w:rsidP="00244145">
      <w:pPr>
        <w:autoSpaceDE w:val="0"/>
        <w:autoSpaceDN w:val="0"/>
        <w:adjustRightInd w:val="0"/>
        <w:rPr>
          <w:rFonts w:eastAsiaTheme="minorHAnsi" w:cs="Times New Roman"/>
          <w:iCs/>
          <w:lang w:val="ru-RU" w:eastAsia="en-US"/>
        </w:rPr>
      </w:pPr>
      <w:r>
        <w:rPr>
          <w:rFonts w:eastAsiaTheme="minorHAnsi" w:cs="Times New Roman"/>
          <w:iCs/>
          <w:lang w:val="ru-RU" w:eastAsia="en-US"/>
        </w:rPr>
        <w:t xml:space="preserve">Агентство </w:t>
      </w:r>
      <w:r w:rsidR="00244145" w:rsidRPr="0047034D">
        <w:rPr>
          <w:rFonts w:eastAsiaTheme="minorHAnsi" w:cs="Times New Roman"/>
          <w:iCs/>
          <w:lang w:val="en-GB" w:eastAsia="en-US"/>
        </w:rPr>
        <w:t>IP Australia</w:t>
      </w:r>
      <w:r w:rsidR="00244145" w:rsidRPr="0047034D">
        <w:rPr>
          <w:rFonts w:eastAsiaTheme="minorHAnsi" w:cs="Times New Roman"/>
          <w:iCs/>
          <w:lang w:val="ru-RU" w:eastAsia="en-US"/>
        </w:rPr>
        <w:t xml:space="preserve"> привержен</w:t>
      </w:r>
      <w:r>
        <w:rPr>
          <w:rFonts w:eastAsiaTheme="minorHAnsi" w:cs="Times New Roman"/>
          <w:iCs/>
          <w:lang w:val="ru-RU" w:eastAsia="en-US"/>
        </w:rPr>
        <w:t>о</w:t>
      </w:r>
      <w:r w:rsidR="00244145" w:rsidRPr="0047034D">
        <w:rPr>
          <w:rFonts w:eastAsiaTheme="minorHAnsi" w:cs="Times New Roman"/>
          <w:iCs/>
          <w:lang w:val="ru-RU" w:eastAsia="en-US"/>
        </w:rPr>
        <w:t xml:space="preserve"> принципу непрерывного совершенствования и продолжает использовать любые возможности для сотрудничества с международными органами по распространению передовой практики.  В этой области на сегодняшний день реализуются следующие инициативы: </w:t>
      </w:r>
    </w:p>
    <w:p w:rsidR="00244145" w:rsidRPr="0047034D" w:rsidRDefault="00244145" w:rsidP="00244145">
      <w:pPr>
        <w:autoSpaceDE w:val="0"/>
        <w:autoSpaceDN w:val="0"/>
        <w:adjustRightInd w:val="0"/>
        <w:rPr>
          <w:rFonts w:eastAsiaTheme="minorHAnsi" w:cs="Times New Roman"/>
          <w:i/>
          <w:iCs/>
          <w:lang w:val="ru-RU" w:eastAsia="en-US"/>
        </w:rPr>
      </w:pPr>
    </w:p>
    <w:p w:rsidR="00244145" w:rsidRPr="0047034D" w:rsidRDefault="00244145" w:rsidP="00244145">
      <w:pPr>
        <w:rPr>
          <w:rFonts w:eastAsiaTheme="minorHAnsi" w:cs="Times New Roman"/>
          <w:i/>
          <w:lang w:val="ru-RU" w:eastAsia="en-US"/>
        </w:rPr>
      </w:pPr>
      <w:r w:rsidRPr="0047034D">
        <w:rPr>
          <w:rFonts w:eastAsiaTheme="minorHAnsi" w:cs="Times New Roman"/>
          <w:lang w:val="ru-RU" w:eastAsia="en-US"/>
        </w:rPr>
        <w:t>Инициативы Ванкуверской группы:</w:t>
      </w:r>
    </w:p>
    <w:p w:rsidR="00244145" w:rsidRPr="0047034D" w:rsidRDefault="00244145" w:rsidP="00244145">
      <w:pPr>
        <w:rPr>
          <w:rFonts w:eastAsiaTheme="minorHAnsi" w:cs="Times New Roman"/>
          <w:lang w:val="ru-RU" w:eastAsia="en-AU"/>
        </w:rPr>
      </w:pPr>
    </w:p>
    <w:p w:rsidR="00244145" w:rsidRPr="0047034D" w:rsidRDefault="00244145" w:rsidP="00244145">
      <w:pPr>
        <w:rPr>
          <w:rFonts w:eastAsiaTheme="minorHAnsi" w:cs="Times New Roman"/>
          <w:lang w:val="ru-RU" w:eastAsia="en-AU"/>
        </w:rPr>
      </w:pPr>
      <w:r w:rsidRPr="0047034D">
        <w:rPr>
          <w:rFonts w:eastAsiaTheme="minorHAnsi" w:cs="Times New Roman"/>
          <w:lang w:val="ru-RU" w:eastAsia="en-AU"/>
        </w:rPr>
        <w:t>Ванкуверская группа была образована в 2008 г. и состоит из ведомств ИС Австралии, Канады и Соединенного Королевства.  Группа преследует следующие цели:</w:t>
      </w:r>
    </w:p>
    <w:p w:rsidR="00244145" w:rsidRPr="0047034D" w:rsidRDefault="00244145" w:rsidP="00244145">
      <w:pPr>
        <w:pStyle w:val="ListParagraph"/>
        <w:numPr>
          <w:ilvl w:val="0"/>
          <w:numId w:val="14"/>
        </w:numPr>
        <w:rPr>
          <w:rFonts w:eastAsiaTheme="minorHAnsi" w:cs="Times New Roman"/>
          <w:lang w:val="ru-RU" w:eastAsia="en-AU"/>
        </w:rPr>
      </w:pPr>
      <w:r w:rsidRPr="0047034D">
        <w:rPr>
          <w:rFonts w:eastAsia="Times New Roman"/>
          <w:szCs w:val="22"/>
          <w:lang w:val="ru-RU" w:eastAsia="en-AU"/>
        </w:rPr>
        <w:t xml:space="preserve">обмен информацией и опытом по общим вопросам и областям, относящимся к сфере управления национальным ведомством ИС среднего размера; </w:t>
      </w:r>
    </w:p>
    <w:p w:rsidR="00244145" w:rsidRPr="0047034D" w:rsidRDefault="00244145" w:rsidP="00244145">
      <w:pPr>
        <w:pStyle w:val="ListParagraph"/>
        <w:numPr>
          <w:ilvl w:val="0"/>
          <w:numId w:val="14"/>
        </w:numPr>
        <w:rPr>
          <w:rFonts w:eastAsiaTheme="minorHAnsi" w:cs="Times New Roman"/>
          <w:lang w:val="ru-RU" w:eastAsia="en-AU"/>
        </w:rPr>
      </w:pPr>
      <w:r w:rsidRPr="0047034D">
        <w:rPr>
          <w:rFonts w:eastAsia="Times New Roman"/>
          <w:szCs w:val="22"/>
          <w:lang w:val="ru-RU" w:eastAsia="en-AU"/>
        </w:rPr>
        <w:t>содействие более эффективному многостороннему подходу к распределению рабочей нагрузки таким образом, чтобы обеспечить соблюдение принципов Договора о патентной кооперации (PCT).</w:t>
      </w:r>
    </w:p>
    <w:p w:rsidR="00244145" w:rsidRPr="0047034D" w:rsidRDefault="00244145" w:rsidP="00244145">
      <w:pPr>
        <w:rPr>
          <w:rFonts w:eastAsiaTheme="minorHAnsi" w:cs="Times New Roman"/>
          <w:lang w:val="ru-RU" w:eastAsia="en-AU"/>
        </w:rPr>
      </w:pPr>
    </w:p>
    <w:p w:rsidR="00244145" w:rsidRPr="0047034D" w:rsidRDefault="00244145" w:rsidP="00244145">
      <w:pPr>
        <w:rPr>
          <w:rFonts w:eastAsiaTheme="minorHAnsi" w:cs="Times New Roman"/>
          <w:lang w:val="ru-RU" w:eastAsia="en-AU"/>
        </w:rPr>
      </w:pPr>
      <w:r w:rsidRPr="0047034D">
        <w:rPr>
          <w:rFonts w:eastAsiaTheme="minorHAnsi" w:cs="Times New Roman"/>
          <w:lang w:val="ru-RU" w:eastAsia="en-AU"/>
        </w:rPr>
        <w:t>У Ванкуверской группы есть четыре основных направления деятельности (или четыре инициативы), по каждому из которых для координации планирования и выполнения мероприятий назначено ответственное ведомство:</w:t>
      </w:r>
    </w:p>
    <w:p w:rsidR="00244145" w:rsidRPr="0047034D" w:rsidRDefault="00244145" w:rsidP="00244145">
      <w:pPr>
        <w:numPr>
          <w:ilvl w:val="0"/>
          <w:numId w:val="10"/>
        </w:numPr>
        <w:rPr>
          <w:rFonts w:eastAsiaTheme="minorHAnsi" w:cs="Times New Roman"/>
          <w:lang w:val="ru-RU" w:eastAsia="en-AU"/>
        </w:rPr>
      </w:pPr>
      <w:r w:rsidRPr="0047034D">
        <w:rPr>
          <w:rFonts w:eastAsiaTheme="minorHAnsi" w:cs="Times New Roman"/>
          <w:lang w:val="ru-RU" w:eastAsia="en-AU"/>
        </w:rPr>
        <w:t>Взаимное использование ресурсов (</w:t>
      </w:r>
      <w:r w:rsidRPr="0047034D">
        <w:rPr>
          <w:rFonts w:eastAsiaTheme="minorHAnsi" w:cs="Times New Roman"/>
          <w:lang w:val="en-GB" w:eastAsia="en-AU"/>
        </w:rPr>
        <w:t>IP Australia</w:t>
      </w:r>
      <w:r w:rsidRPr="0047034D">
        <w:rPr>
          <w:rFonts w:eastAsiaTheme="minorHAnsi" w:cs="Times New Roman"/>
          <w:lang w:val="ru-RU" w:eastAsia="en-AU"/>
        </w:rPr>
        <w:t>);</w:t>
      </w:r>
    </w:p>
    <w:p w:rsidR="00244145" w:rsidRPr="0047034D" w:rsidRDefault="00244145" w:rsidP="00244145">
      <w:pPr>
        <w:numPr>
          <w:ilvl w:val="0"/>
          <w:numId w:val="10"/>
        </w:numPr>
        <w:rPr>
          <w:rFonts w:eastAsiaTheme="minorHAnsi" w:cs="Times New Roman"/>
          <w:lang w:val="ru-RU" w:eastAsia="en-AU"/>
        </w:rPr>
      </w:pPr>
      <w:r w:rsidRPr="0047034D">
        <w:rPr>
          <w:rFonts w:eastAsiaTheme="minorHAnsi" w:cs="Times New Roman"/>
          <w:lang w:val="ru-RU" w:eastAsia="en-AU"/>
        </w:rPr>
        <w:t>Отчеты об эффективности деятельности (CIPO);</w:t>
      </w:r>
    </w:p>
    <w:p w:rsidR="00244145" w:rsidRPr="0047034D" w:rsidRDefault="00244145" w:rsidP="00244145">
      <w:pPr>
        <w:numPr>
          <w:ilvl w:val="0"/>
          <w:numId w:val="10"/>
        </w:numPr>
        <w:rPr>
          <w:rFonts w:eastAsiaTheme="minorHAnsi" w:cs="Times New Roman"/>
          <w:lang w:val="ru-RU" w:eastAsia="en-AU"/>
        </w:rPr>
      </w:pPr>
      <w:r w:rsidRPr="0047034D">
        <w:rPr>
          <w:rFonts w:eastAsiaTheme="minorHAnsi" w:cs="Times New Roman"/>
          <w:lang w:val="ru-RU" w:eastAsia="en-AU"/>
        </w:rPr>
        <w:t>Проце</w:t>
      </w:r>
      <w:r>
        <w:rPr>
          <w:rFonts w:eastAsiaTheme="minorHAnsi" w:cs="Times New Roman"/>
          <w:lang w:val="ru-RU" w:eastAsia="en-AU"/>
        </w:rPr>
        <w:t>сс</w:t>
      </w:r>
      <w:r w:rsidRPr="0047034D">
        <w:rPr>
          <w:rFonts w:eastAsiaTheme="minorHAnsi" w:cs="Times New Roman"/>
          <w:lang w:val="ru-RU" w:eastAsia="en-AU"/>
        </w:rPr>
        <w:t>ы регистрации товарных знаков (</w:t>
      </w:r>
      <w:r w:rsidRPr="0047034D">
        <w:rPr>
          <w:rFonts w:eastAsiaTheme="minorHAnsi" w:cs="Times New Roman"/>
          <w:lang w:val="en-GB" w:eastAsia="en-AU"/>
        </w:rPr>
        <w:t>IP Australia</w:t>
      </w:r>
      <w:r w:rsidRPr="0047034D">
        <w:rPr>
          <w:rFonts w:eastAsiaTheme="minorHAnsi" w:cs="Times New Roman"/>
          <w:lang w:val="ru-RU" w:eastAsia="en-AU"/>
        </w:rPr>
        <w:t>);</w:t>
      </w:r>
    </w:p>
    <w:p w:rsidR="00244145" w:rsidRPr="0047034D" w:rsidRDefault="00244145" w:rsidP="00244145">
      <w:pPr>
        <w:numPr>
          <w:ilvl w:val="0"/>
          <w:numId w:val="10"/>
        </w:numPr>
        <w:rPr>
          <w:rFonts w:eastAsiaTheme="minorHAnsi" w:cs="Times New Roman"/>
          <w:lang w:val="ru-RU" w:eastAsia="en-AU"/>
        </w:rPr>
      </w:pPr>
      <w:r w:rsidRPr="0047034D">
        <w:rPr>
          <w:rFonts w:eastAsiaTheme="minorHAnsi" w:cs="Times New Roman"/>
          <w:lang w:val="ru-RU" w:eastAsia="en-AU"/>
        </w:rPr>
        <w:t>Экономические исследования (UKIPO).</w:t>
      </w:r>
    </w:p>
    <w:p w:rsidR="00244145" w:rsidRPr="0047034D" w:rsidRDefault="00244145" w:rsidP="00244145">
      <w:pPr>
        <w:autoSpaceDE w:val="0"/>
        <w:autoSpaceDN w:val="0"/>
        <w:adjustRightInd w:val="0"/>
        <w:rPr>
          <w:rFonts w:eastAsiaTheme="minorHAnsi" w:cs="Times New Roman"/>
          <w:i/>
          <w:iCs/>
          <w:lang w:val="ru-RU" w:eastAsia="en-US"/>
        </w:rPr>
      </w:pPr>
    </w:p>
    <w:p w:rsidR="00244145" w:rsidRPr="0047034D" w:rsidRDefault="00244145" w:rsidP="00244145">
      <w:pPr>
        <w:autoSpaceDE w:val="0"/>
        <w:autoSpaceDN w:val="0"/>
        <w:adjustRightInd w:val="0"/>
        <w:rPr>
          <w:rFonts w:eastAsiaTheme="minorHAnsi" w:cs="Times New Roman"/>
          <w:lang w:val="ru-RU" w:eastAsia="en-US"/>
        </w:rPr>
      </w:pPr>
      <w:r w:rsidRPr="0047034D">
        <w:rPr>
          <w:rFonts w:eastAsiaTheme="minorHAnsi" w:cs="Times New Roman"/>
          <w:lang w:val="ru-RU" w:eastAsia="en-US"/>
        </w:rPr>
        <w:t>Экспериментальный проект «Глобальный механизм ускоренного патентного делопроизводства» (GPPH)</w:t>
      </w:r>
    </w:p>
    <w:p w:rsidR="00244145" w:rsidRPr="0047034D" w:rsidRDefault="00244145" w:rsidP="00244145">
      <w:pPr>
        <w:autoSpaceDE w:val="0"/>
        <w:autoSpaceDN w:val="0"/>
        <w:adjustRightInd w:val="0"/>
        <w:rPr>
          <w:rFonts w:eastAsiaTheme="minorHAnsi" w:cs="Times New Roman"/>
          <w:lang w:val="ru-RU" w:eastAsia="en-US"/>
        </w:rPr>
      </w:pPr>
    </w:p>
    <w:p w:rsidR="00244145" w:rsidRPr="0047034D" w:rsidRDefault="00244145" w:rsidP="00244145">
      <w:pPr>
        <w:autoSpaceDE w:val="0"/>
        <w:autoSpaceDN w:val="0"/>
        <w:adjustRightInd w:val="0"/>
        <w:rPr>
          <w:rFonts w:eastAsiaTheme="minorHAnsi" w:cs="Times New Roman"/>
          <w:lang w:val="ru-RU" w:eastAsia="en-US"/>
        </w:rPr>
      </w:pPr>
      <w:r w:rsidRPr="0047034D">
        <w:rPr>
          <w:rFonts w:eastAsiaTheme="minorHAnsi" w:cs="Times New Roman"/>
          <w:lang w:val="en-GB" w:eastAsia="en-US"/>
        </w:rPr>
        <w:t>IP Australia</w:t>
      </w:r>
      <w:r w:rsidRPr="0047034D">
        <w:rPr>
          <w:rFonts w:eastAsiaTheme="minorHAnsi" w:cs="Times New Roman"/>
          <w:lang w:val="ru-RU" w:eastAsia="en-US"/>
        </w:rPr>
        <w:t xml:space="preserve"> принимает участие в механизме GPPH, который является соглашением между 22 ведомствами ИС.  Он позволяет обрабатывать патентные заявки по ускоренной процедуре в любом ведомстве, участвующем в проекте, если хотя бы один из пунктов формулы этого же изобретения получил позитивную оценку любого другого ведомства-участника.  Механизм предусматривает одинаковые соглашения и формальные требования для всех участвующих в нем ведомств, что упрощает процесс для заявителей.  </w:t>
      </w:r>
      <w:r w:rsidRPr="0047034D">
        <w:rPr>
          <w:rFonts w:eastAsiaTheme="minorHAnsi" w:cs="Times New Roman"/>
          <w:lang w:val="en-GB" w:eastAsia="en-US"/>
        </w:rPr>
        <w:t>IP Australia</w:t>
      </w:r>
      <w:r w:rsidRPr="0047034D">
        <w:rPr>
          <w:rFonts w:eastAsiaTheme="minorHAnsi" w:cs="Times New Roman"/>
          <w:lang w:val="ru-RU" w:eastAsia="en-US"/>
        </w:rPr>
        <w:t xml:space="preserve"> участвует в этом пилотном проекте с момента его запуска в январе 2014 г. и с тех пор наблюдает быстрый и устойчивый рост количества запросов на экспертизу по данной процедуре.</w:t>
      </w:r>
    </w:p>
    <w:p w:rsidR="00244145" w:rsidRPr="0047034D" w:rsidRDefault="00244145" w:rsidP="00244145">
      <w:pPr>
        <w:autoSpaceDE w:val="0"/>
        <w:autoSpaceDN w:val="0"/>
        <w:adjustRightInd w:val="0"/>
        <w:rPr>
          <w:rFonts w:eastAsiaTheme="minorHAnsi" w:cs="Times New Roman"/>
          <w:lang w:val="ru-RU" w:eastAsia="en-US"/>
        </w:rPr>
      </w:pPr>
    </w:p>
    <w:p w:rsidR="00244145" w:rsidRPr="0047034D" w:rsidRDefault="00244145" w:rsidP="00244145">
      <w:pPr>
        <w:autoSpaceDE w:val="0"/>
        <w:autoSpaceDN w:val="0"/>
        <w:adjustRightInd w:val="0"/>
        <w:rPr>
          <w:rFonts w:eastAsiaTheme="minorHAnsi" w:cs="Times New Roman"/>
          <w:iCs/>
          <w:lang w:val="ru-RU" w:eastAsia="en-US"/>
        </w:rPr>
      </w:pPr>
      <w:r w:rsidRPr="0047034D">
        <w:rPr>
          <w:rFonts w:eastAsiaTheme="minorHAnsi" w:cs="Times New Roman"/>
          <w:iCs/>
          <w:lang w:val="ru-RU" w:eastAsia="en-US"/>
        </w:rPr>
        <w:t>Меморандум о взаимопонимании (МВ) с ЕПВ:</w:t>
      </w:r>
    </w:p>
    <w:p w:rsidR="00244145" w:rsidRPr="0047034D" w:rsidRDefault="00244145" w:rsidP="00244145">
      <w:pPr>
        <w:autoSpaceDE w:val="0"/>
        <w:autoSpaceDN w:val="0"/>
        <w:adjustRightInd w:val="0"/>
        <w:rPr>
          <w:rFonts w:eastAsiaTheme="minorHAnsi" w:cs="Times New Roman"/>
          <w:lang w:val="ru-RU" w:eastAsia="en-US"/>
        </w:rPr>
      </w:pPr>
    </w:p>
    <w:p w:rsidR="00244145" w:rsidRPr="0047034D" w:rsidRDefault="00244145" w:rsidP="00244145">
      <w:pPr>
        <w:autoSpaceDE w:val="0"/>
        <w:autoSpaceDN w:val="0"/>
        <w:adjustRightInd w:val="0"/>
        <w:rPr>
          <w:rFonts w:eastAsiaTheme="minorHAnsi" w:cs="Times New Roman"/>
          <w:lang w:val="ru-RU" w:eastAsia="en-US"/>
        </w:rPr>
      </w:pPr>
      <w:r w:rsidRPr="0047034D">
        <w:rPr>
          <w:rFonts w:eastAsiaTheme="minorHAnsi" w:cs="Times New Roman"/>
          <w:lang w:val="ru-RU" w:eastAsia="en-US"/>
        </w:rPr>
        <w:t xml:space="preserve">В 2015 г. на полях Генеральной Ассамблеи ВОИС </w:t>
      </w:r>
      <w:r>
        <w:rPr>
          <w:rFonts w:eastAsiaTheme="minorHAnsi" w:cs="Times New Roman"/>
          <w:lang w:val="ru-RU" w:eastAsia="en-US"/>
        </w:rPr>
        <w:t>австралийское ведомство ИС</w:t>
      </w:r>
      <w:r w:rsidRPr="0047034D">
        <w:rPr>
          <w:rFonts w:eastAsiaTheme="minorHAnsi" w:cs="Times New Roman"/>
          <w:lang w:val="ru-RU" w:eastAsia="en-US"/>
        </w:rPr>
        <w:t xml:space="preserve"> и ЕПВ подписали Меморандум о взаимопонимании (МВ).  Стороны договорились о сотрудничестве в различных областях, включая взаимный доступ к патентной информации и применение между двумя ведомствами пилотного Механизма ускоренного патентного делопроизводства (PPH).  Эти меры направлены на усовершенствование глобальной системы ИС в интересах заявителей и для стимулирования инноваций.  В рамках PPH заявители, патентные формулы которых уже прошли экспертизу в ЕПВ или APO, могут просить об ускоренном рассмотрении аналогичной заявки в другом ведомстве, при этом сами ведомства обмениваются результатами выполненной работы, что ускоряет процедуру и сокращает издержки для заявителей.</w:t>
      </w:r>
    </w:p>
    <w:p w:rsidR="00244145" w:rsidRPr="0047034D" w:rsidRDefault="00244145" w:rsidP="00244145">
      <w:pPr>
        <w:autoSpaceDE w:val="0"/>
        <w:autoSpaceDN w:val="0"/>
        <w:adjustRightInd w:val="0"/>
        <w:rPr>
          <w:rFonts w:eastAsiaTheme="minorHAnsi" w:cs="Times New Roman"/>
          <w:lang w:val="ru-RU" w:eastAsia="en-US"/>
        </w:rPr>
      </w:pPr>
    </w:p>
    <w:p w:rsidR="00244145" w:rsidRPr="0047034D" w:rsidRDefault="00244145" w:rsidP="00244145">
      <w:pPr>
        <w:rPr>
          <w:rFonts w:eastAsiaTheme="minorHAnsi" w:cs="Times New Roman"/>
          <w:lang w:val="ru-RU" w:eastAsia="en-US"/>
        </w:rPr>
      </w:pPr>
      <w:r w:rsidRPr="0047034D">
        <w:rPr>
          <w:rFonts w:eastAsiaTheme="minorHAnsi" w:cs="Times New Roman"/>
          <w:lang w:val="ru-RU" w:eastAsia="en-US"/>
        </w:rPr>
        <w:t>МВ также предусматривает пилотный проект, позволяющий APO приобрести опыт в использовании Совместной патентной классификации (СПК).  Это позволит проложить дорогу для будущего сотрудничества по технической гармонизации, которую призвана обеспечить СПК (этой классификацией пользуется уже 19 патентных ведомств по всему миру).  ЕПВ и APO также будут сотрудничать в обеспечении взаимосвязи между «Глобальным досье» и системой WIPO CASE для взаимного доступа к информации о патентных делах.</w:t>
      </w:r>
    </w:p>
    <w:p w:rsidR="00244145" w:rsidRPr="0047034D" w:rsidRDefault="00244145" w:rsidP="00244145">
      <w:pPr>
        <w:rPr>
          <w:rFonts w:eastAsiaTheme="minorHAnsi" w:cs="Times New Roman"/>
          <w:lang w:val="ru-RU" w:eastAsia="en-US"/>
        </w:rPr>
      </w:pPr>
    </w:p>
    <w:p w:rsidR="00244145" w:rsidRPr="0047034D" w:rsidRDefault="00244145" w:rsidP="00244145">
      <w:pPr>
        <w:rPr>
          <w:rFonts w:eastAsiaTheme="minorHAnsi" w:cs="Times New Roman"/>
          <w:i/>
          <w:lang w:val="ru-RU" w:eastAsia="en-US"/>
        </w:rPr>
      </w:pPr>
      <w:r w:rsidRPr="0047034D">
        <w:rPr>
          <w:rFonts w:eastAsiaTheme="minorHAnsi" w:cs="Times New Roman"/>
          <w:i/>
          <w:iCs/>
          <w:lang w:val="ru-RU" w:eastAsia="en-US"/>
        </w:rPr>
        <w:t>Организационная структура управления</w:t>
      </w:r>
    </w:p>
    <w:p w:rsidR="00244145" w:rsidRPr="0047034D" w:rsidRDefault="00244145" w:rsidP="00244145">
      <w:pPr>
        <w:rPr>
          <w:rFonts w:eastAsiaTheme="minorHAnsi" w:cs="Times New Roman"/>
          <w:i/>
          <w:lang w:val="ru-RU" w:eastAsia="en-US"/>
        </w:rPr>
      </w:pPr>
    </w:p>
    <w:p w:rsidR="00244145" w:rsidRPr="0047034D" w:rsidRDefault="00244145" w:rsidP="00244145">
      <w:pPr>
        <w:rPr>
          <w:szCs w:val="22"/>
          <w:lang w:val="ru-RU"/>
        </w:rPr>
      </w:pPr>
      <w:r w:rsidRPr="0047034D">
        <w:rPr>
          <w:szCs w:val="22"/>
          <w:lang w:val="ru-RU"/>
        </w:rPr>
        <w:t xml:space="preserve">На организационной схеме </w:t>
      </w:r>
      <w:r w:rsidRPr="0047034D">
        <w:rPr>
          <w:szCs w:val="22"/>
          <w:lang w:val="en-GB"/>
        </w:rPr>
        <w:t>IP Australia</w:t>
      </w:r>
      <w:r w:rsidRPr="0047034D">
        <w:rPr>
          <w:szCs w:val="22"/>
          <w:lang w:val="ru-RU"/>
        </w:rPr>
        <w:t xml:space="preserve"> (ниже) показаны недавние изменения структуры</w:t>
      </w:r>
      <w:r w:rsidR="001C12F9">
        <w:rPr>
          <w:szCs w:val="22"/>
          <w:lang w:val="ru-RU"/>
        </w:rPr>
        <w:t xml:space="preserve"> агентства</w:t>
      </w:r>
      <w:r w:rsidRPr="0047034D">
        <w:rPr>
          <w:szCs w:val="22"/>
          <w:lang w:val="ru-RU"/>
        </w:rPr>
        <w:t>, позволяющие надежнее обеспечивать охрану прав ИС.  Разделение одной Патентной группы на две связано с растущей рабочей нагрузкой и усложнением ландшафта интеллектуальной собственности.  Добавление еще одной должности заместителя Генерального директора (в Департаменте политик</w:t>
      </w:r>
      <w:r w:rsidR="0047034D">
        <w:rPr>
          <w:szCs w:val="22"/>
          <w:lang w:val="ru-RU"/>
        </w:rPr>
        <w:t>и</w:t>
      </w:r>
      <w:r w:rsidRPr="0047034D">
        <w:rPr>
          <w:szCs w:val="22"/>
          <w:lang w:val="ru-RU"/>
        </w:rPr>
        <w:t xml:space="preserve"> и </w:t>
      </w:r>
      <w:r w:rsidR="0047034D">
        <w:rPr>
          <w:szCs w:val="22"/>
          <w:lang w:val="ru-RU"/>
        </w:rPr>
        <w:t>обще</w:t>
      </w:r>
      <w:r w:rsidRPr="0047034D">
        <w:rPr>
          <w:szCs w:val="22"/>
          <w:lang w:val="ru-RU"/>
        </w:rPr>
        <w:t>ведомственны</w:t>
      </w:r>
      <w:r w:rsidR="0047034D">
        <w:rPr>
          <w:szCs w:val="22"/>
          <w:lang w:val="ru-RU"/>
        </w:rPr>
        <w:t>х</w:t>
      </w:r>
      <w:r w:rsidRPr="0047034D">
        <w:rPr>
          <w:szCs w:val="22"/>
          <w:lang w:val="ru-RU"/>
        </w:rPr>
        <w:t xml:space="preserve"> вопрос</w:t>
      </w:r>
      <w:r w:rsidR="0047034D">
        <w:rPr>
          <w:szCs w:val="22"/>
          <w:lang w:val="ru-RU"/>
        </w:rPr>
        <w:t>ов</w:t>
      </w:r>
      <w:r w:rsidRPr="0047034D">
        <w:rPr>
          <w:szCs w:val="22"/>
          <w:lang w:val="ru-RU"/>
        </w:rPr>
        <w:t>) расширяет возможности в области оценки и разработки правил и участия в выработке общенациональной и международной политики.</w:t>
      </w:r>
    </w:p>
    <w:p w:rsidR="00244145" w:rsidRPr="0047034D" w:rsidRDefault="00244145" w:rsidP="00244145">
      <w:pPr>
        <w:rPr>
          <w:rFonts w:eastAsiaTheme="minorHAnsi" w:cs="Times New Roman"/>
          <w:lang w:val="ru-RU" w:eastAsia="en-US"/>
        </w:rPr>
      </w:pPr>
    </w:p>
    <w:p w:rsidR="00244145" w:rsidRDefault="00244145" w:rsidP="00244145">
      <w:pPr>
        <w:rPr>
          <w:rFonts w:eastAsiaTheme="minorHAnsi" w:cs="Times New Roman"/>
          <w:i/>
          <w:lang w:val="ru-RU" w:eastAsia="en-US"/>
        </w:rPr>
      </w:pPr>
      <w:r w:rsidRPr="0047034D">
        <w:rPr>
          <w:i/>
          <w:iCs/>
          <w:noProof/>
          <w:lang w:eastAsia="en-US"/>
        </w:rPr>
        <w:drawing>
          <wp:inline distT="0" distB="0" distL="0" distR="0">
            <wp:extent cx="4710400" cy="5934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710400" cy="5934075"/>
                    </a:xfrm>
                    <a:prstGeom prst="rect">
                      <a:avLst/>
                    </a:prstGeom>
                    <a:noFill/>
                    <a:ln>
                      <a:noFill/>
                    </a:ln>
                  </pic:spPr>
                </pic:pic>
              </a:graphicData>
            </a:graphic>
          </wp:inline>
        </w:drawing>
      </w:r>
    </w:p>
    <w:tbl>
      <w:tblPr>
        <w:tblStyle w:val="TableGrid"/>
        <w:tblW w:w="9345" w:type="dxa"/>
        <w:tblLook w:val="04A0" w:firstRow="1" w:lastRow="0" w:firstColumn="1" w:lastColumn="0" w:noHBand="0" w:noVBand="1"/>
      </w:tblPr>
      <w:tblGrid>
        <w:gridCol w:w="4727"/>
        <w:gridCol w:w="4618"/>
      </w:tblGrid>
      <w:tr w:rsidR="00E87E26" w:rsidRPr="008072AE" w:rsidTr="00E87E26">
        <w:tc>
          <w:tcPr>
            <w:tcW w:w="4727" w:type="dxa"/>
          </w:tcPr>
          <w:p w:rsidR="00E87E26" w:rsidRPr="008072AE" w:rsidRDefault="00E87E26" w:rsidP="00E87E26">
            <w:pPr>
              <w:pStyle w:val="Style1"/>
              <w:widowControl/>
              <w:spacing w:after="120"/>
              <w:rPr>
                <w:rStyle w:val="FontStyle11"/>
                <w:rFonts w:ascii="Arial" w:hAnsi="Arial" w:cs="Arial"/>
                <w:color w:val="000000" w:themeColor="text1"/>
                <w:lang w:eastAsia="en-US"/>
              </w:rPr>
            </w:pPr>
            <w:r w:rsidRPr="008072AE">
              <w:rPr>
                <w:rStyle w:val="FontStyle11"/>
                <w:rFonts w:ascii="Arial" w:hAnsi="Arial" w:cs="Arial"/>
                <w:color w:val="000000" w:themeColor="text1"/>
                <w:lang w:eastAsia="en-US"/>
              </w:rPr>
              <w:t>IP Australia - Organisation Chart</w:t>
            </w:r>
          </w:p>
        </w:tc>
        <w:tc>
          <w:tcPr>
            <w:tcW w:w="4618" w:type="dxa"/>
          </w:tcPr>
          <w:p w:rsidR="00E87E26" w:rsidRPr="008072AE" w:rsidRDefault="00E87E26" w:rsidP="00E87E26">
            <w:pPr>
              <w:pStyle w:val="Style1"/>
              <w:widowControl/>
              <w:spacing w:after="120"/>
              <w:rPr>
                <w:rStyle w:val="FontStyle11"/>
                <w:rFonts w:ascii="Arial" w:hAnsi="Arial" w:cs="Arial"/>
                <w:color w:val="000000" w:themeColor="text1"/>
                <w:lang w:eastAsia="en-US"/>
              </w:rPr>
            </w:pPr>
            <w:r w:rsidRPr="008072AE">
              <w:rPr>
                <w:rStyle w:val="FontStyle11"/>
                <w:rFonts w:ascii="Arial" w:hAnsi="Arial" w:cs="Arial"/>
                <w:color w:val="000000" w:themeColor="text1"/>
                <w:lang w:val="ru-RU" w:eastAsia="en-US"/>
              </w:rPr>
              <w:t xml:space="preserve">IP Australia: организационная </w:t>
            </w:r>
            <w:r w:rsidR="000D7F14">
              <w:rPr>
                <w:rStyle w:val="FontStyle11"/>
                <w:rFonts w:ascii="Arial" w:hAnsi="Arial" w:cs="Arial"/>
                <w:color w:val="000000" w:themeColor="text1"/>
                <w:lang w:val="ru-RU" w:eastAsia="en-US"/>
              </w:rPr>
              <w:t>структура</w:t>
            </w:r>
          </w:p>
        </w:tc>
      </w:tr>
      <w:tr w:rsidR="00E87E26" w:rsidRPr="008072AE" w:rsidTr="00E87E26">
        <w:tc>
          <w:tcPr>
            <w:tcW w:w="4727" w:type="dxa"/>
          </w:tcPr>
          <w:p w:rsidR="00E87E26" w:rsidRPr="008072AE" w:rsidRDefault="00E87E26" w:rsidP="00E87E26">
            <w:pPr>
              <w:pStyle w:val="Style1"/>
              <w:widowControl/>
              <w:spacing w:after="120"/>
              <w:rPr>
                <w:rStyle w:val="FontStyle11"/>
                <w:rFonts w:ascii="Arial" w:hAnsi="Arial" w:cs="Arial"/>
                <w:color w:val="000000" w:themeColor="text1"/>
                <w:lang w:eastAsia="en-US"/>
              </w:rPr>
            </w:pPr>
            <w:r w:rsidRPr="008072AE">
              <w:rPr>
                <w:rStyle w:val="FontStyle12"/>
                <w:rFonts w:ascii="Arial" w:hAnsi="Arial" w:cs="Arial"/>
                <w:color w:val="000000" w:themeColor="text1"/>
                <w:sz w:val="22"/>
                <w:lang w:eastAsia="en-US"/>
              </w:rPr>
              <w:t>Director General</w:t>
            </w:r>
          </w:p>
        </w:tc>
        <w:tc>
          <w:tcPr>
            <w:tcW w:w="4618" w:type="dxa"/>
          </w:tcPr>
          <w:p w:rsidR="00E87E26" w:rsidRPr="008072AE" w:rsidRDefault="00E87E26" w:rsidP="00E87E26">
            <w:pPr>
              <w:pStyle w:val="Style1"/>
              <w:widowControl/>
              <w:spacing w:after="120"/>
              <w:rPr>
                <w:rStyle w:val="FontStyle11"/>
                <w:rFonts w:ascii="Arial" w:hAnsi="Arial" w:cs="Arial"/>
                <w:color w:val="000000" w:themeColor="text1"/>
                <w:lang w:eastAsia="en-US"/>
              </w:rPr>
            </w:pPr>
            <w:r w:rsidRPr="008072AE">
              <w:rPr>
                <w:rStyle w:val="FontStyle12"/>
                <w:rFonts w:ascii="Arial" w:hAnsi="Arial" w:cs="Arial"/>
                <w:color w:val="000000" w:themeColor="text1"/>
                <w:sz w:val="22"/>
                <w:lang w:val="ru-RU" w:eastAsia="en-US"/>
              </w:rPr>
              <w:t>Генеральный директор</w:t>
            </w:r>
          </w:p>
        </w:tc>
      </w:tr>
      <w:tr w:rsidR="00E87E26" w:rsidRPr="008072AE" w:rsidTr="00E87E26">
        <w:tc>
          <w:tcPr>
            <w:tcW w:w="4727" w:type="dxa"/>
          </w:tcPr>
          <w:p w:rsidR="00E87E26" w:rsidRPr="008072AE" w:rsidRDefault="00E87E26" w:rsidP="00E87E26">
            <w:pPr>
              <w:pStyle w:val="Style1"/>
              <w:widowControl/>
              <w:spacing w:after="120"/>
              <w:rPr>
                <w:rStyle w:val="FontStyle11"/>
                <w:rFonts w:ascii="Arial" w:hAnsi="Arial" w:cs="Arial"/>
                <w:color w:val="000000" w:themeColor="text1"/>
                <w:lang w:eastAsia="en-US"/>
              </w:rPr>
            </w:pPr>
            <w:r w:rsidRPr="008072AE">
              <w:rPr>
                <w:rStyle w:val="FontStyle15"/>
                <w:rFonts w:ascii="Arial" w:hAnsi="Arial" w:cs="Arial"/>
                <w:color w:val="000000" w:themeColor="text1"/>
                <w:sz w:val="22"/>
                <w:lang w:eastAsia="en-US"/>
              </w:rPr>
              <w:t>Deputy Director General</w:t>
            </w:r>
            <w:r w:rsidRPr="008072AE">
              <w:rPr>
                <w:rStyle w:val="FontStyle15"/>
                <w:rFonts w:ascii="Arial" w:hAnsi="Arial" w:cs="Arial"/>
                <w:color w:val="000000" w:themeColor="text1"/>
                <w:sz w:val="22"/>
                <w:lang w:eastAsia="en-US"/>
              </w:rPr>
              <w:br/>
              <w:t>Policy and Corporate Division (DDG P&amp;CD)</w:t>
            </w:r>
          </w:p>
        </w:tc>
        <w:tc>
          <w:tcPr>
            <w:tcW w:w="4618" w:type="dxa"/>
          </w:tcPr>
          <w:p w:rsidR="00E87E26" w:rsidRPr="008072AE" w:rsidRDefault="00E87E26" w:rsidP="00E87E26">
            <w:pPr>
              <w:pStyle w:val="Style1"/>
              <w:widowControl/>
              <w:spacing w:after="120"/>
              <w:rPr>
                <w:rStyle w:val="FontStyle11"/>
                <w:rFonts w:ascii="Arial" w:hAnsi="Arial" w:cs="Arial"/>
                <w:color w:val="000000" w:themeColor="text1"/>
                <w:lang w:eastAsia="en-US"/>
              </w:rPr>
            </w:pPr>
            <w:r w:rsidRPr="008072AE">
              <w:rPr>
                <w:rStyle w:val="FontStyle15"/>
                <w:rFonts w:ascii="Arial" w:hAnsi="Arial" w:cs="Arial"/>
                <w:color w:val="000000" w:themeColor="text1"/>
                <w:sz w:val="22"/>
                <w:lang w:val="ru-RU" w:eastAsia="en-US"/>
              </w:rPr>
              <w:t>Заместитель Генерального директора</w:t>
            </w:r>
            <w:r w:rsidRPr="008072AE">
              <w:rPr>
                <w:rStyle w:val="FontStyle15"/>
                <w:rFonts w:ascii="Arial" w:hAnsi="Arial" w:cs="Arial"/>
                <w:color w:val="000000" w:themeColor="text1"/>
                <w:sz w:val="22"/>
                <w:lang w:val="ru-RU" w:eastAsia="en-US"/>
              </w:rPr>
              <w:br/>
              <w:t>Департамент политики и общеведомственных вопросов</w:t>
            </w:r>
          </w:p>
        </w:tc>
      </w:tr>
      <w:tr w:rsidR="00E87E26" w:rsidRPr="008072AE" w:rsidTr="00E87E26">
        <w:tc>
          <w:tcPr>
            <w:tcW w:w="4727" w:type="dxa"/>
          </w:tcPr>
          <w:p w:rsidR="00E87E26" w:rsidRPr="008072AE" w:rsidRDefault="00E87E26" w:rsidP="00E87E26">
            <w:pPr>
              <w:pStyle w:val="Style5"/>
              <w:widowControl/>
              <w:spacing w:after="120" w:line="240" w:lineRule="auto"/>
              <w:rPr>
                <w:rStyle w:val="FontStyle11"/>
                <w:rFonts w:ascii="Arial" w:hAnsi="Arial" w:cs="Arial"/>
                <w:color w:val="000000" w:themeColor="text1"/>
                <w:lang w:eastAsia="en-US"/>
              </w:rPr>
            </w:pPr>
            <w:r w:rsidRPr="008072AE">
              <w:rPr>
                <w:rStyle w:val="FontStyle13"/>
                <w:rFonts w:ascii="Arial" w:hAnsi="Arial" w:cs="Arial"/>
                <w:color w:val="000000" w:themeColor="text1"/>
                <w:sz w:val="22"/>
                <w:lang w:eastAsia="en-US"/>
              </w:rPr>
              <w:t>General Manager</w:t>
            </w:r>
            <w:r w:rsidRPr="008072AE">
              <w:rPr>
                <w:rStyle w:val="FontStyle13"/>
                <w:rFonts w:ascii="Arial" w:hAnsi="Arial" w:cs="Arial"/>
                <w:color w:val="000000" w:themeColor="text1"/>
                <w:sz w:val="22"/>
                <w:lang w:eastAsia="en-US"/>
              </w:rPr>
              <w:br/>
              <w:t>People and Communication Group (GM PCG)</w:t>
            </w:r>
          </w:p>
        </w:tc>
        <w:tc>
          <w:tcPr>
            <w:tcW w:w="4618" w:type="dxa"/>
          </w:tcPr>
          <w:p w:rsidR="00E87E26" w:rsidRPr="008072AE" w:rsidRDefault="000D7F14" w:rsidP="00E87E26">
            <w:pPr>
              <w:pStyle w:val="Style5"/>
              <w:widowControl/>
              <w:spacing w:after="120" w:line="240" w:lineRule="auto"/>
              <w:rPr>
                <w:rStyle w:val="FontStyle11"/>
                <w:rFonts w:ascii="Arial" w:hAnsi="Arial" w:cs="Arial"/>
                <w:color w:val="000000" w:themeColor="text1"/>
                <w:lang w:eastAsia="en-US"/>
              </w:rPr>
            </w:pPr>
            <w:r>
              <w:rPr>
                <w:rStyle w:val="FontStyle13"/>
                <w:rFonts w:ascii="Arial" w:hAnsi="Arial" w:cs="Arial"/>
                <w:color w:val="000000" w:themeColor="text1"/>
                <w:sz w:val="22"/>
                <w:lang w:val="ru-RU" w:eastAsia="en-US"/>
              </w:rPr>
              <w:t>Управляющий</w:t>
            </w:r>
            <w:r w:rsidR="00E87E26" w:rsidRPr="008072AE">
              <w:rPr>
                <w:rStyle w:val="FontStyle13"/>
                <w:rFonts w:ascii="Arial" w:hAnsi="Arial" w:cs="Arial"/>
                <w:color w:val="000000" w:themeColor="text1"/>
                <w:sz w:val="22"/>
                <w:lang w:val="ru-RU" w:eastAsia="en-US"/>
              </w:rPr>
              <w:br/>
              <w:t>Группа кадров и коммуникаций</w:t>
            </w:r>
          </w:p>
        </w:tc>
      </w:tr>
      <w:tr w:rsidR="00E87E26" w:rsidRPr="008072AE" w:rsidTr="00E87E26">
        <w:tc>
          <w:tcPr>
            <w:tcW w:w="4727" w:type="dxa"/>
          </w:tcPr>
          <w:p w:rsidR="00E87E26" w:rsidRPr="008072AE" w:rsidRDefault="00E87E26" w:rsidP="00E87E26">
            <w:pPr>
              <w:pStyle w:val="Style1"/>
              <w:widowControl/>
              <w:spacing w:after="120"/>
              <w:rPr>
                <w:rStyle w:val="FontStyle11"/>
                <w:rFonts w:ascii="Arial" w:hAnsi="Arial" w:cs="Arial"/>
                <w:color w:val="000000" w:themeColor="text1"/>
                <w:lang w:eastAsia="en-US"/>
              </w:rPr>
            </w:pPr>
            <w:r w:rsidRPr="008072AE">
              <w:rPr>
                <w:rStyle w:val="FontStyle13"/>
                <w:rFonts w:ascii="Arial" w:hAnsi="Arial" w:cs="Arial"/>
                <w:color w:val="000000" w:themeColor="text1"/>
                <w:sz w:val="22"/>
                <w:lang w:eastAsia="en-US"/>
              </w:rPr>
              <w:t xml:space="preserve">CFO / General Manager </w:t>
            </w:r>
            <w:r w:rsidRPr="008072AE">
              <w:rPr>
                <w:rStyle w:val="FontStyle13"/>
                <w:rFonts w:ascii="Arial" w:hAnsi="Arial" w:cs="Arial"/>
                <w:color w:val="000000" w:themeColor="text1"/>
                <w:sz w:val="22"/>
                <w:lang w:eastAsia="en-US"/>
              </w:rPr>
              <w:br/>
              <w:t>Finance, Quality Reporting and Property Group (GM FQRPG)</w:t>
            </w:r>
          </w:p>
        </w:tc>
        <w:tc>
          <w:tcPr>
            <w:tcW w:w="4618" w:type="dxa"/>
          </w:tcPr>
          <w:p w:rsidR="00E87E26" w:rsidRPr="008072AE" w:rsidRDefault="00E87E26" w:rsidP="00E87E26">
            <w:pPr>
              <w:pStyle w:val="Style1"/>
              <w:widowControl/>
              <w:spacing w:after="120"/>
              <w:rPr>
                <w:rStyle w:val="FontStyle11"/>
                <w:rFonts w:ascii="Arial" w:hAnsi="Arial" w:cs="Arial"/>
                <w:color w:val="000000" w:themeColor="text1"/>
                <w:lang w:eastAsia="en-US"/>
              </w:rPr>
            </w:pPr>
            <w:r w:rsidRPr="008072AE">
              <w:rPr>
                <w:rStyle w:val="FontStyle13"/>
                <w:rFonts w:ascii="Arial" w:hAnsi="Arial" w:cs="Arial"/>
                <w:color w:val="000000" w:themeColor="text1"/>
                <w:sz w:val="22"/>
                <w:lang w:val="ru-RU" w:eastAsia="en-US"/>
              </w:rPr>
              <w:t xml:space="preserve">Финансовый директор / Главный руководитель </w:t>
            </w:r>
            <w:r w:rsidRPr="008072AE">
              <w:rPr>
                <w:rStyle w:val="FontStyle13"/>
                <w:rFonts w:ascii="Arial" w:hAnsi="Arial" w:cs="Arial"/>
                <w:color w:val="000000" w:themeColor="text1"/>
                <w:sz w:val="22"/>
                <w:lang w:val="ru-RU" w:eastAsia="en-US"/>
              </w:rPr>
              <w:br/>
              <w:t>Группа финансов, отчетности системы качества и имущества</w:t>
            </w:r>
          </w:p>
        </w:tc>
      </w:tr>
      <w:tr w:rsidR="00E87E26" w:rsidRPr="008072AE" w:rsidTr="00E87E26">
        <w:tc>
          <w:tcPr>
            <w:tcW w:w="4727" w:type="dxa"/>
          </w:tcPr>
          <w:p w:rsidR="00E87E26" w:rsidRPr="008072AE" w:rsidRDefault="00E87E26" w:rsidP="00E87E26">
            <w:pPr>
              <w:pStyle w:val="Style1"/>
              <w:widowControl/>
              <w:spacing w:after="120"/>
              <w:rPr>
                <w:rStyle w:val="FontStyle11"/>
                <w:rFonts w:ascii="Arial" w:hAnsi="Arial" w:cs="Arial"/>
                <w:color w:val="000000" w:themeColor="text1"/>
                <w:lang w:eastAsia="en-US"/>
              </w:rPr>
            </w:pPr>
            <w:r w:rsidRPr="008072AE">
              <w:rPr>
                <w:rStyle w:val="FontStyle13"/>
                <w:rFonts w:ascii="Arial" w:hAnsi="Arial" w:cs="Arial"/>
                <w:color w:val="000000" w:themeColor="text1"/>
                <w:sz w:val="22"/>
                <w:lang w:eastAsia="en-US"/>
              </w:rPr>
              <w:t xml:space="preserve">CIO / General Manager </w:t>
            </w:r>
            <w:r w:rsidRPr="008072AE">
              <w:rPr>
                <w:rStyle w:val="FontStyle13"/>
                <w:rFonts w:ascii="Arial" w:hAnsi="Arial" w:cs="Arial"/>
                <w:color w:val="000000" w:themeColor="text1"/>
                <w:sz w:val="22"/>
                <w:lang w:eastAsia="en-US"/>
              </w:rPr>
              <w:br/>
              <w:t xml:space="preserve">Business and Information Management Solutions Group (GM </w:t>
            </w:r>
            <w:r w:rsidRPr="008072AE">
              <w:rPr>
                <w:rStyle w:val="FontStyle14"/>
                <w:rFonts w:ascii="Arial" w:hAnsi="Arial" w:cs="Arial"/>
                <w:color w:val="000000" w:themeColor="text1"/>
                <w:sz w:val="22"/>
                <w:lang w:eastAsia="en-US"/>
              </w:rPr>
              <w:t>BI</w:t>
            </w:r>
            <w:r w:rsidRPr="008072AE">
              <w:rPr>
                <w:rStyle w:val="FontStyle13"/>
                <w:rFonts w:ascii="Arial" w:hAnsi="Arial" w:cs="Arial"/>
                <w:color w:val="000000" w:themeColor="text1"/>
                <w:sz w:val="22"/>
                <w:lang w:eastAsia="en-US"/>
              </w:rPr>
              <w:t>MSG</w:t>
            </w:r>
          </w:p>
        </w:tc>
        <w:tc>
          <w:tcPr>
            <w:tcW w:w="4618" w:type="dxa"/>
          </w:tcPr>
          <w:p w:rsidR="00E87E26" w:rsidRPr="008072AE" w:rsidRDefault="00E87E26" w:rsidP="00E87E26">
            <w:pPr>
              <w:pStyle w:val="Style1"/>
              <w:widowControl/>
              <w:spacing w:after="120"/>
              <w:rPr>
                <w:rStyle w:val="FontStyle11"/>
                <w:rFonts w:ascii="Arial" w:hAnsi="Arial" w:cs="Arial"/>
                <w:color w:val="000000" w:themeColor="text1"/>
                <w:lang w:eastAsia="en-US"/>
              </w:rPr>
            </w:pPr>
            <w:r w:rsidRPr="008072AE">
              <w:rPr>
                <w:rStyle w:val="FontStyle13"/>
                <w:rFonts w:ascii="Arial" w:hAnsi="Arial" w:cs="Arial"/>
                <w:color w:val="000000" w:themeColor="text1"/>
                <w:sz w:val="22"/>
                <w:lang w:val="ru-RU" w:eastAsia="en-US"/>
              </w:rPr>
              <w:t xml:space="preserve">Директор по ИТ / Главный руководитель </w:t>
            </w:r>
            <w:r w:rsidRPr="008072AE">
              <w:rPr>
                <w:rStyle w:val="FontStyle13"/>
                <w:rFonts w:ascii="Arial" w:hAnsi="Arial" w:cs="Arial"/>
                <w:color w:val="000000" w:themeColor="text1"/>
                <w:sz w:val="22"/>
                <w:lang w:val="ru-RU" w:eastAsia="en-US"/>
              </w:rPr>
              <w:br/>
              <w:t xml:space="preserve">Группа управленческих информационных систем </w:t>
            </w:r>
          </w:p>
        </w:tc>
      </w:tr>
      <w:tr w:rsidR="00E87E26" w:rsidRPr="008072AE" w:rsidTr="00E87E26">
        <w:tc>
          <w:tcPr>
            <w:tcW w:w="4727" w:type="dxa"/>
          </w:tcPr>
          <w:p w:rsidR="00E87E26" w:rsidRPr="008072AE" w:rsidRDefault="00E87E26" w:rsidP="00E87E26">
            <w:pPr>
              <w:pStyle w:val="Style1"/>
              <w:widowControl/>
              <w:spacing w:after="120"/>
              <w:rPr>
                <w:rStyle w:val="FontStyle11"/>
                <w:rFonts w:ascii="Arial" w:hAnsi="Arial" w:cs="Arial"/>
                <w:color w:val="000000" w:themeColor="text1"/>
                <w:lang w:eastAsia="en-US"/>
              </w:rPr>
            </w:pPr>
            <w:r w:rsidRPr="008072AE">
              <w:rPr>
                <w:rStyle w:val="FontStyle13"/>
                <w:rFonts w:ascii="Arial" w:hAnsi="Arial" w:cs="Arial"/>
                <w:color w:val="000000" w:themeColor="text1"/>
                <w:sz w:val="22"/>
                <w:lang w:eastAsia="en-US"/>
              </w:rPr>
              <w:t xml:space="preserve">General Manager </w:t>
            </w:r>
            <w:r w:rsidRPr="008072AE">
              <w:rPr>
                <w:rStyle w:val="FontStyle13"/>
                <w:rFonts w:ascii="Arial" w:hAnsi="Arial" w:cs="Arial"/>
                <w:color w:val="000000" w:themeColor="text1"/>
                <w:sz w:val="22"/>
                <w:lang w:eastAsia="en-US"/>
              </w:rPr>
              <w:br/>
              <w:t>Policy and Governance Group (GM PGG)</w:t>
            </w:r>
          </w:p>
        </w:tc>
        <w:tc>
          <w:tcPr>
            <w:tcW w:w="4618" w:type="dxa"/>
          </w:tcPr>
          <w:p w:rsidR="00E87E26" w:rsidRPr="008072AE" w:rsidRDefault="00E87E26" w:rsidP="00E87E26">
            <w:pPr>
              <w:pStyle w:val="Style1"/>
              <w:widowControl/>
              <w:spacing w:after="120"/>
              <w:rPr>
                <w:rStyle w:val="FontStyle11"/>
                <w:rFonts w:ascii="Arial" w:hAnsi="Arial" w:cs="Arial"/>
                <w:color w:val="000000" w:themeColor="text1"/>
                <w:lang w:eastAsia="en-US"/>
              </w:rPr>
            </w:pPr>
            <w:r w:rsidRPr="008072AE">
              <w:rPr>
                <w:rStyle w:val="FontStyle13"/>
                <w:rFonts w:ascii="Arial" w:hAnsi="Arial" w:cs="Arial"/>
                <w:color w:val="000000" w:themeColor="text1"/>
                <w:sz w:val="22"/>
                <w:lang w:val="ru-RU" w:eastAsia="en-US"/>
              </w:rPr>
              <w:t xml:space="preserve">Главный руководитель </w:t>
            </w:r>
            <w:r w:rsidRPr="008072AE">
              <w:rPr>
                <w:rStyle w:val="FontStyle13"/>
                <w:rFonts w:ascii="Arial" w:hAnsi="Arial" w:cs="Arial"/>
                <w:color w:val="000000" w:themeColor="text1"/>
                <w:sz w:val="22"/>
                <w:lang w:val="ru-RU" w:eastAsia="en-US"/>
              </w:rPr>
              <w:br/>
              <w:t>Группа политики и управления</w:t>
            </w:r>
          </w:p>
        </w:tc>
      </w:tr>
      <w:tr w:rsidR="00E87E26" w:rsidRPr="008072AE" w:rsidTr="00E87E26">
        <w:tc>
          <w:tcPr>
            <w:tcW w:w="4727" w:type="dxa"/>
          </w:tcPr>
          <w:p w:rsidR="00E87E26" w:rsidRPr="008072AE" w:rsidRDefault="00E87E26" w:rsidP="00E87E26">
            <w:pPr>
              <w:pStyle w:val="Style5"/>
              <w:widowControl/>
              <w:spacing w:after="120" w:line="240" w:lineRule="auto"/>
              <w:rPr>
                <w:rStyle w:val="FontStyle11"/>
                <w:rFonts w:ascii="Arial" w:hAnsi="Arial" w:cs="Arial"/>
                <w:color w:val="000000" w:themeColor="text1"/>
                <w:lang w:eastAsia="en-US"/>
              </w:rPr>
            </w:pPr>
            <w:r w:rsidRPr="008072AE">
              <w:rPr>
                <w:rStyle w:val="FontStyle13"/>
                <w:rFonts w:ascii="Arial" w:hAnsi="Arial" w:cs="Arial"/>
                <w:color w:val="000000" w:themeColor="text1"/>
                <w:sz w:val="22"/>
                <w:lang w:eastAsia="en-US"/>
              </w:rPr>
              <w:t>General Manager</w:t>
            </w:r>
            <w:r w:rsidRPr="008072AE">
              <w:rPr>
                <w:rStyle w:val="FontStyle13"/>
                <w:rFonts w:ascii="Arial" w:hAnsi="Arial" w:cs="Arial"/>
                <w:color w:val="000000" w:themeColor="text1"/>
                <w:sz w:val="22"/>
                <w:lang w:eastAsia="en-US"/>
              </w:rPr>
              <w:br/>
              <w:t>RIO Program and Business Futures Group (GM RPBFG)</w:t>
            </w:r>
          </w:p>
        </w:tc>
        <w:tc>
          <w:tcPr>
            <w:tcW w:w="4618" w:type="dxa"/>
          </w:tcPr>
          <w:p w:rsidR="00E87E26" w:rsidRPr="008072AE" w:rsidRDefault="00E87E26" w:rsidP="00E87E26">
            <w:pPr>
              <w:pStyle w:val="Style5"/>
              <w:widowControl/>
              <w:spacing w:after="120" w:line="240" w:lineRule="auto"/>
              <w:rPr>
                <w:rStyle w:val="FontStyle11"/>
                <w:rFonts w:ascii="Arial" w:hAnsi="Arial" w:cs="Arial"/>
                <w:color w:val="000000" w:themeColor="text1"/>
                <w:lang w:eastAsia="en-US"/>
              </w:rPr>
            </w:pPr>
            <w:r w:rsidRPr="008072AE">
              <w:rPr>
                <w:rStyle w:val="FontStyle13"/>
                <w:rFonts w:ascii="Arial" w:hAnsi="Arial" w:cs="Arial"/>
                <w:color w:val="000000" w:themeColor="text1"/>
                <w:sz w:val="22"/>
                <w:lang w:val="ru-RU" w:eastAsia="en-US"/>
              </w:rPr>
              <w:t>Главный руководитель</w:t>
            </w:r>
            <w:r w:rsidRPr="008072AE">
              <w:rPr>
                <w:rStyle w:val="FontStyle13"/>
                <w:rFonts w:ascii="Arial" w:hAnsi="Arial" w:cs="Arial"/>
                <w:color w:val="000000" w:themeColor="text1"/>
                <w:sz w:val="22"/>
                <w:lang w:val="ru-RU" w:eastAsia="en-US"/>
              </w:rPr>
              <w:br/>
              <w:t>Группа управления правами ИС и бизнес-процессов</w:t>
            </w:r>
          </w:p>
        </w:tc>
      </w:tr>
      <w:tr w:rsidR="00E87E26" w:rsidRPr="008072AE" w:rsidTr="00E87E26">
        <w:tc>
          <w:tcPr>
            <w:tcW w:w="4727" w:type="dxa"/>
          </w:tcPr>
          <w:p w:rsidR="00E87E26" w:rsidRPr="008072AE" w:rsidRDefault="00E87E26" w:rsidP="00E87E26">
            <w:pPr>
              <w:pStyle w:val="Style1"/>
              <w:widowControl/>
              <w:spacing w:after="120"/>
              <w:rPr>
                <w:rStyle w:val="FontStyle11"/>
                <w:rFonts w:ascii="Arial" w:hAnsi="Arial" w:cs="Arial"/>
                <w:color w:val="000000" w:themeColor="text1"/>
                <w:lang w:eastAsia="en-US"/>
              </w:rPr>
            </w:pPr>
            <w:r w:rsidRPr="008072AE">
              <w:rPr>
                <w:rStyle w:val="FontStyle15"/>
                <w:rFonts w:ascii="Arial" w:hAnsi="Arial" w:cs="Arial"/>
                <w:color w:val="000000" w:themeColor="text1"/>
                <w:sz w:val="22"/>
                <w:lang w:eastAsia="en-US"/>
              </w:rPr>
              <w:t xml:space="preserve">Deputy Director General </w:t>
            </w:r>
            <w:r w:rsidRPr="008072AE">
              <w:rPr>
                <w:rStyle w:val="FontStyle15"/>
                <w:rFonts w:ascii="Arial" w:hAnsi="Arial" w:cs="Arial"/>
                <w:color w:val="000000" w:themeColor="text1"/>
                <w:sz w:val="22"/>
                <w:lang w:eastAsia="en-US"/>
              </w:rPr>
              <w:br/>
              <w:t>IP Rights Division (DDG IPRD)</w:t>
            </w:r>
          </w:p>
        </w:tc>
        <w:tc>
          <w:tcPr>
            <w:tcW w:w="4618" w:type="dxa"/>
          </w:tcPr>
          <w:p w:rsidR="00E87E26" w:rsidRPr="008072AE" w:rsidRDefault="00E87E26" w:rsidP="00E87E26">
            <w:pPr>
              <w:pStyle w:val="Style1"/>
              <w:widowControl/>
              <w:spacing w:after="120"/>
              <w:rPr>
                <w:rStyle w:val="FontStyle11"/>
                <w:rFonts w:ascii="Arial" w:hAnsi="Arial" w:cs="Arial"/>
                <w:color w:val="000000" w:themeColor="text1"/>
                <w:lang w:eastAsia="en-US"/>
              </w:rPr>
            </w:pPr>
            <w:r w:rsidRPr="008072AE">
              <w:rPr>
                <w:rStyle w:val="FontStyle15"/>
                <w:rFonts w:ascii="Arial" w:hAnsi="Arial" w:cs="Arial"/>
                <w:color w:val="000000" w:themeColor="text1"/>
                <w:sz w:val="22"/>
                <w:lang w:val="ru-RU" w:eastAsia="en-US"/>
              </w:rPr>
              <w:t xml:space="preserve">Заместитель Генерального директора </w:t>
            </w:r>
            <w:r w:rsidRPr="008072AE">
              <w:rPr>
                <w:rStyle w:val="FontStyle15"/>
                <w:rFonts w:ascii="Arial" w:hAnsi="Arial" w:cs="Arial"/>
                <w:color w:val="000000" w:themeColor="text1"/>
                <w:sz w:val="22"/>
                <w:lang w:val="ru-RU" w:eastAsia="en-US"/>
              </w:rPr>
              <w:br/>
              <w:t>Департамент прав ИС</w:t>
            </w:r>
          </w:p>
        </w:tc>
      </w:tr>
      <w:tr w:rsidR="00E87E26" w:rsidRPr="008072AE" w:rsidTr="00E87E26">
        <w:tc>
          <w:tcPr>
            <w:tcW w:w="4727" w:type="dxa"/>
          </w:tcPr>
          <w:p w:rsidR="00E87E26" w:rsidRPr="008072AE" w:rsidRDefault="00E87E26" w:rsidP="00E87E26">
            <w:pPr>
              <w:pStyle w:val="Style6"/>
              <w:widowControl/>
              <w:spacing w:after="120" w:line="240" w:lineRule="auto"/>
              <w:jc w:val="left"/>
              <w:rPr>
                <w:rStyle w:val="FontStyle11"/>
                <w:rFonts w:ascii="Arial" w:hAnsi="Arial" w:cs="Arial"/>
                <w:color w:val="000000" w:themeColor="text1"/>
                <w:lang w:eastAsia="en-US"/>
              </w:rPr>
            </w:pPr>
            <w:r w:rsidRPr="008072AE">
              <w:rPr>
                <w:rStyle w:val="FontStyle13"/>
                <w:rFonts w:ascii="Arial" w:hAnsi="Arial" w:cs="Arial"/>
                <w:color w:val="000000" w:themeColor="text1"/>
                <w:sz w:val="22"/>
                <w:lang w:eastAsia="en-US"/>
              </w:rPr>
              <w:t>General Manager</w:t>
            </w:r>
            <w:r w:rsidRPr="008072AE">
              <w:rPr>
                <w:rStyle w:val="FontStyle13"/>
                <w:rFonts w:ascii="Arial" w:hAnsi="Arial" w:cs="Arial"/>
                <w:color w:val="000000" w:themeColor="text1"/>
                <w:sz w:val="22"/>
                <w:lang w:eastAsia="en-US"/>
              </w:rPr>
              <w:br/>
              <w:t>Trade Marks and Designs Group (GM TMDG)</w:t>
            </w:r>
          </w:p>
        </w:tc>
        <w:tc>
          <w:tcPr>
            <w:tcW w:w="4618" w:type="dxa"/>
          </w:tcPr>
          <w:p w:rsidR="00E87E26" w:rsidRPr="008072AE" w:rsidRDefault="00E87E26" w:rsidP="00E87E26">
            <w:pPr>
              <w:pStyle w:val="Style6"/>
              <w:widowControl/>
              <w:spacing w:after="120" w:line="240" w:lineRule="auto"/>
              <w:jc w:val="left"/>
              <w:rPr>
                <w:rStyle w:val="FontStyle11"/>
                <w:rFonts w:ascii="Arial" w:hAnsi="Arial" w:cs="Arial"/>
                <w:color w:val="000000" w:themeColor="text1"/>
                <w:lang w:eastAsia="en-US"/>
              </w:rPr>
            </w:pPr>
            <w:r w:rsidRPr="008072AE">
              <w:rPr>
                <w:rStyle w:val="FontStyle13"/>
                <w:rFonts w:ascii="Arial" w:hAnsi="Arial" w:cs="Arial"/>
                <w:color w:val="000000" w:themeColor="text1"/>
                <w:sz w:val="22"/>
                <w:lang w:val="ru-RU" w:eastAsia="en-US"/>
              </w:rPr>
              <w:t>Главный руководитель</w:t>
            </w:r>
            <w:r w:rsidRPr="008072AE">
              <w:rPr>
                <w:rStyle w:val="FontStyle13"/>
                <w:rFonts w:ascii="Arial" w:hAnsi="Arial" w:cs="Arial"/>
                <w:color w:val="000000" w:themeColor="text1"/>
                <w:sz w:val="22"/>
                <w:lang w:val="ru-RU" w:eastAsia="en-US"/>
              </w:rPr>
              <w:br/>
              <w:t>Группа товарных знаков и промышленных образцов</w:t>
            </w:r>
          </w:p>
        </w:tc>
      </w:tr>
      <w:tr w:rsidR="00E87E26" w:rsidRPr="008072AE" w:rsidTr="00E87E26">
        <w:tc>
          <w:tcPr>
            <w:tcW w:w="4727" w:type="dxa"/>
          </w:tcPr>
          <w:p w:rsidR="00E87E26" w:rsidRPr="008072AE" w:rsidRDefault="00E87E26" w:rsidP="00E87E26">
            <w:pPr>
              <w:pStyle w:val="Style6"/>
              <w:widowControl/>
              <w:spacing w:after="120" w:line="240" w:lineRule="auto"/>
              <w:jc w:val="left"/>
              <w:rPr>
                <w:rStyle w:val="FontStyle11"/>
                <w:rFonts w:ascii="Arial" w:hAnsi="Arial" w:cs="Arial"/>
                <w:color w:val="000000" w:themeColor="text1"/>
                <w:lang w:eastAsia="en-US"/>
              </w:rPr>
            </w:pPr>
            <w:r w:rsidRPr="008072AE">
              <w:rPr>
                <w:rStyle w:val="FontStyle13"/>
                <w:rFonts w:ascii="Arial" w:hAnsi="Arial" w:cs="Arial"/>
                <w:color w:val="000000" w:themeColor="text1"/>
                <w:sz w:val="22"/>
                <w:lang w:eastAsia="en-US"/>
              </w:rPr>
              <w:t>General Manager</w:t>
            </w:r>
            <w:r w:rsidRPr="008072AE">
              <w:rPr>
                <w:rStyle w:val="FontStyle13"/>
                <w:rFonts w:ascii="Arial" w:hAnsi="Arial" w:cs="Arial"/>
                <w:color w:val="000000" w:themeColor="text1"/>
                <w:sz w:val="22"/>
                <w:lang w:eastAsia="en-US"/>
              </w:rPr>
              <w:br/>
              <w:t>Patents Chemical, Plant Breeder's Rights and Electrical Group (GM PCPEG)</w:t>
            </w:r>
          </w:p>
        </w:tc>
        <w:tc>
          <w:tcPr>
            <w:tcW w:w="4618" w:type="dxa"/>
          </w:tcPr>
          <w:p w:rsidR="00E87E26" w:rsidRPr="008072AE" w:rsidRDefault="00E87E26" w:rsidP="00E87E26">
            <w:pPr>
              <w:pStyle w:val="Style6"/>
              <w:widowControl/>
              <w:spacing w:after="120" w:line="240" w:lineRule="auto"/>
              <w:jc w:val="left"/>
              <w:rPr>
                <w:rStyle w:val="FontStyle11"/>
                <w:rFonts w:ascii="Arial" w:hAnsi="Arial" w:cs="Arial"/>
                <w:color w:val="000000" w:themeColor="text1"/>
                <w:lang w:eastAsia="en-US"/>
              </w:rPr>
            </w:pPr>
            <w:r w:rsidRPr="008072AE">
              <w:rPr>
                <w:rStyle w:val="FontStyle13"/>
                <w:rFonts w:ascii="Arial" w:hAnsi="Arial" w:cs="Arial"/>
                <w:color w:val="000000" w:themeColor="text1"/>
                <w:sz w:val="22"/>
                <w:lang w:val="ru-RU" w:eastAsia="en-US"/>
              </w:rPr>
              <w:t>Главный руководитель</w:t>
            </w:r>
            <w:r w:rsidRPr="008072AE">
              <w:rPr>
                <w:rStyle w:val="FontStyle13"/>
                <w:rFonts w:ascii="Arial" w:hAnsi="Arial" w:cs="Arial"/>
                <w:color w:val="000000" w:themeColor="text1"/>
                <w:sz w:val="22"/>
                <w:lang w:val="ru-RU" w:eastAsia="en-US"/>
              </w:rPr>
              <w:br/>
              <w:t>Группа патентов в области химии и электротехники и прав растениеводов</w:t>
            </w:r>
          </w:p>
        </w:tc>
      </w:tr>
      <w:tr w:rsidR="00E87E26" w:rsidRPr="008072AE" w:rsidTr="00E87E26">
        <w:tc>
          <w:tcPr>
            <w:tcW w:w="4727" w:type="dxa"/>
          </w:tcPr>
          <w:p w:rsidR="00E87E26" w:rsidRPr="008072AE" w:rsidRDefault="00E87E26" w:rsidP="00E87E26">
            <w:pPr>
              <w:pStyle w:val="Style1"/>
              <w:widowControl/>
              <w:spacing w:after="120"/>
              <w:rPr>
                <w:rStyle w:val="FontStyle11"/>
                <w:rFonts w:ascii="Arial" w:hAnsi="Arial" w:cs="Arial"/>
                <w:color w:val="000000" w:themeColor="text1"/>
                <w:lang w:eastAsia="en-US"/>
              </w:rPr>
            </w:pPr>
            <w:r w:rsidRPr="008072AE">
              <w:rPr>
                <w:rStyle w:val="FontStyle13"/>
                <w:rFonts w:ascii="Arial" w:hAnsi="Arial" w:cs="Arial"/>
                <w:color w:val="000000" w:themeColor="text1"/>
                <w:sz w:val="22"/>
                <w:lang w:eastAsia="en-US"/>
              </w:rPr>
              <w:t xml:space="preserve">General Manager </w:t>
            </w:r>
            <w:r w:rsidRPr="008072AE">
              <w:rPr>
                <w:rStyle w:val="FontStyle13"/>
                <w:rFonts w:ascii="Arial" w:hAnsi="Arial" w:cs="Arial"/>
                <w:color w:val="000000" w:themeColor="text1"/>
                <w:sz w:val="22"/>
                <w:lang w:eastAsia="en-US"/>
              </w:rPr>
              <w:br/>
              <w:t>Patents Mechanical and Oppositions Group (GM PMOG)</w:t>
            </w:r>
          </w:p>
        </w:tc>
        <w:tc>
          <w:tcPr>
            <w:tcW w:w="4618" w:type="dxa"/>
          </w:tcPr>
          <w:p w:rsidR="00E87E26" w:rsidRPr="008072AE" w:rsidRDefault="00E87E26" w:rsidP="00E87E26">
            <w:pPr>
              <w:pStyle w:val="Style1"/>
              <w:widowControl/>
              <w:spacing w:after="120"/>
              <w:rPr>
                <w:rStyle w:val="FontStyle11"/>
                <w:rFonts w:ascii="Arial" w:hAnsi="Arial" w:cs="Arial"/>
                <w:color w:val="000000" w:themeColor="text1"/>
                <w:lang w:eastAsia="en-US"/>
              </w:rPr>
            </w:pPr>
            <w:r w:rsidRPr="008072AE">
              <w:rPr>
                <w:rStyle w:val="FontStyle13"/>
                <w:rFonts w:ascii="Arial" w:hAnsi="Arial" w:cs="Arial"/>
                <w:color w:val="000000" w:themeColor="text1"/>
                <w:sz w:val="22"/>
                <w:lang w:val="ru-RU" w:eastAsia="en-US"/>
              </w:rPr>
              <w:t xml:space="preserve">Главный руководитель </w:t>
            </w:r>
            <w:r w:rsidRPr="008072AE">
              <w:rPr>
                <w:rStyle w:val="FontStyle13"/>
                <w:rFonts w:ascii="Arial" w:hAnsi="Arial" w:cs="Arial"/>
                <w:color w:val="000000" w:themeColor="text1"/>
                <w:sz w:val="22"/>
                <w:lang w:val="ru-RU" w:eastAsia="en-US"/>
              </w:rPr>
              <w:br/>
              <w:t>Группа патентов в области машиностроения и процедур возражения</w:t>
            </w:r>
          </w:p>
        </w:tc>
      </w:tr>
      <w:tr w:rsidR="00E87E26" w:rsidRPr="008072AE" w:rsidTr="00E87E26">
        <w:tc>
          <w:tcPr>
            <w:tcW w:w="4727" w:type="dxa"/>
          </w:tcPr>
          <w:p w:rsidR="00E87E26" w:rsidRPr="008072AE" w:rsidRDefault="00E87E26" w:rsidP="00E87E26">
            <w:pPr>
              <w:pStyle w:val="Style4"/>
              <w:widowControl/>
              <w:spacing w:after="120"/>
              <w:rPr>
                <w:rStyle w:val="FontStyle11"/>
                <w:rFonts w:ascii="Arial" w:hAnsi="Arial" w:cs="Arial"/>
                <w:color w:val="000000" w:themeColor="text1"/>
                <w:lang w:eastAsia="en-US"/>
              </w:rPr>
            </w:pPr>
            <w:r w:rsidRPr="008072AE">
              <w:rPr>
                <w:rStyle w:val="FontStyle13"/>
                <w:rFonts w:ascii="Arial" w:hAnsi="Arial" w:cs="Arial"/>
                <w:color w:val="000000" w:themeColor="text1"/>
                <w:sz w:val="22"/>
                <w:lang w:eastAsia="en-US"/>
              </w:rPr>
              <w:t>Manager</w:t>
            </w:r>
            <w:r w:rsidRPr="008072AE">
              <w:rPr>
                <w:rStyle w:val="FontStyle13"/>
                <w:rFonts w:ascii="Arial" w:hAnsi="Arial" w:cs="Arial"/>
                <w:color w:val="000000" w:themeColor="text1"/>
                <w:sz w:val="22"/>
                <w:lang w:eastAsia="en-US"/>
              </w:rPr>
              <w:br/>
              <w:t>Customer Operations Group (M COG)</w:t>
            </w:r>
          </w:p>
        </w:tc>
        <w:tc>
          <w:tcPr>
            <w:tcW w:w="4618" w:type="dxa"/>
          </w:tcPr>
          <w:p w:rsidR="00E87E26" w:rsidRPr="008072AE" w:rsidRDefault="00E87E26" w:rsidP="00E87E26">
            <w:pPr>
              <w:pStyle w:val="Style4"/>
              <w:widowControl/>
              <w:spacing w:after="120"/>
              <w:rPr>
                <w:rStyle w:val="FontStyle11"/>
                <w:rFonts w:ascii="Arial" w:hAnsi="Arial" w:cs="Arial"/>
                <w:color w:val="000000" w:themeColor="text1"/>
                <w:lang w:eastAsia="en-US"/>
              </w:rPr>
            </w:pPr>
            <w:r w:rsidRPr="008072AE">
              <w:rPr>
                <w:rStyle w:val="FontStyle13"/>
                <w:rFonts w:ascii="Arial" w:hAnsi="Arial" w:cs="Arial"/>
                <w:color w:val="000000" w:themeColor="text1"/>
                <w:sz w:val="22"/>
                <w:lang w:val="ru-RU" w:eastAsia="en-US"/>
              </w:rPr>
              <w:t xml:space="preserve">Руководитель </w:t>
            </w:r>
            <w:r w:rsidRPr="008072AE">
              <w:rPr>
                <w:rStyle w:val="FontStyle13"/>
                <w:rFonts w:ascii="Arial" w:hAnsi="Arial" w:cs="Arial"/>
                <w:color w:val="000000" w:themeColor="text1"/>
                <w:sz w:val="22"/>
                <w:lang w:val="ru-RU" w:eastAsia="en-US"/>
              </w:rPr>
              <w:br/>
              <w:t>Группа работы с клиентами</w:t>
            </w:r>
          </w:p>
        </w:tc>
      </w:tr>
    </w:tbl>
    <w:p w:rsidR="00E87E26" w:rsidRPr="0047034D" w:rsidRDefault="00E87E26" w:rsidP="00244145">
      <w:pPr>
        <w:rPr>
          <w:rFonts w:eastAsiaTheme="minorHAnsi" w:cs="Times New Roman"/>
          <w:i/>
          <w:lang w:val="ru-RU" w:eastAsia="en-US"/>
        </w:rPr>
      </w:pPr>
    </w:p>
    <w:p w:rsidR="00244145" w:rsidRPr="0047034D" w:rsidRDefault="00244145" w:rsidP="00244145">
      <w:pPr>
        <w:pStyle w:val="SectionHeading"/>
        <w:rPr>
          <w:lang w:val="ru-RU"/>
        </w:rPr>
      </w:pPr>
      <w:r w:rsidRPr="0047034D">
        <w:rPr>
          <w:lang w:val="ru-RU"/>
        </w:rPr>
        <w:t>8 – Оценка другими органами</w:t>
      </w:r>
    </w:p>
    <w:p w:rsidR="00244145" w:rsidRPr="0047034D" w:rsidRDefault="00244145" w:rsidP="00244145">
      <w:pPr>
        <w:keepNext/>
        <w:keepLines/>
        <w:autoSpaceDE w:val="0"/>
        <w:autoSpaceDN w:val="0"/>
        <w:rPr>
          <w:lang w:val="ru-RU" w:eastAsia="en-US"/>
        </w:rPr>
      </w:pPr>
      <w:r w:rsidRPr="0047034D">
        <w:rPr>
          <w:lang w:val="ru-RU" w:eastAsia="en-US"/>
        </w:rPr>
        <w:t xml:space="preserve">Сертификация </w:t>
      </w:r>
      <w:r w:rsidRPr="0047034D">
        <w:rPr>
          <w:lang w:val="en-GB" w:eastAsia="en-US"/>
        </w:rPr>
        <w:t>IP Australia</w:t>
      </w:r>
      <w:r w:rsidRPr="0047034D">
        <w:rPr>
          <w:lang w:val="ru-RU" w:eastAsia="en-US"/>
        </w:rPr>
        <w:t xml:space="preserve"> по стандарту ISO 9001:2008 служит внешним подтверждением нашего строгого подхода к обеспечению качества.</w:t>
      </w:r>
    </w:p>
    <w:p w:rsidR="00244145" w:rsidRPr="0047034D" w:rsidRDefault="00244145" w:rsidP="00244145">
      <w:pPr>
        <w:keepNext/>
        <w:keepLines/>
        <w:autoSpaceDE w:val="0"/>
        <w:autoSpaceDN w:val="0"/>
        <w:rPr>
          <w:lang w:val="ru-RU" w:eastAsia="en-US"/>
        </w:rPr>
      </w:pPr>
    </w:p>
    <w:p w:rsidR="00244145" w:rsidRPr="0047034D" w:rsidRDefault="00244145" w:rsidP="00244145">
      <w:pPr>
        <w:autoSpaceDE w:val="0"/>
        <w:autoSpaceDN w:val="0"/>
        <w:adjustRightInd w:val="0"/>
        <w:rPr>
          <w:lang w:val="ru-RU" w:eastAsia="en-US"/>
        </w:rPr>
      </w:pPr>
      <w:r w:rsidRPr="0047034D">
        <w:rPr>
          <w:lang w:val="ru-RU" w:eastAsia="en-US"/>
        </w:rPr>
        <w:t>Недавно в Подгрупп</w:t>
      </w:r>
      <w:r w:rsidR="001C12F9">
        <w:rPr>
          <w:lang w:val="ru-RU" w:eastAsia="en-US"/>
        </w:rPr>
        <w:t>е</w:t>
      </w:r>
      <w:r w:rsidRPr="0047034D">
        <w:rPr>
          <w:lang w:val="ru-RU" w:eastAsia="en-US"/>
        </w:rPr>
        <w:t xml:space="preserve"> обеспечения качества Заседания международных органов PCT наше ведомство приняло участие в парной оценке соблюдения требований главы 21 «Система управления качеством».  Это мероприятие заключалось в оценке системы, действующей в APO, другим ведомством (испанским) с предоставлением возможности ответить на любые вопросы.  Мнение о нашей СУК было положительным.  Эта оценка другим ведомством подтвердила правильность подхода APO к различным </w:t>
      </w:r>
      <w:r w:rsidR="000D7F14">
        <w:rPr>
          <w:lang w:val="ru-RU" w:eastAsia="en-US"/>
        </w:rPr>
        <w:t>аспектам СУК и показала, что она</w:t>
      </w:r>
      <w:r w:rsidRPr="0047034D">
        <w:rPr>
          <w:lang w:val="ru-RU" w:eastAsia="en-US"/>
        </w:rPr>
        <w:t xml:space="preserve"> во многих отношениях совпадает с системами обеспечения качества, действующими в других ведомствах.</w:t>
      </w:r>
    </w:p>
    <w:p w:rsidR="00244145" w:rsidRPr="0047034D" w:rsidRDefault="00244145" w:rsidP="00244145">
      <w:pPr>
        <w:pStyle w:val="ONUME"/>
        <w:numPr>
          <w:ilvl w:val="0"/>
          <w:numId w:val="0"/>
        </w:numPr>
        <w:rPr>
          <w:lang w:val="ru-RU"/>
        </w:rPr>
      </w:pPr>
    </w:p>
    <w:p w:rsidR="00244145" w:rsidRPr="0047034D" w:rsidRDefault="00244145" w:rsidP="00244145">
      <w:pPr>
        <w:pStyle w:val="Endofdocument-Annex"/>
        <w:rPr>
          <w:lang w:val="ru-RU"/>
        </w:rPr>
      </w:pPr>
      <w:r w:rsidRPr="0047034D">
        <w:rPr>
          <w:lang w:val="ru-RU"/>
        </w:rPr>
        <w:t>[Конец приложения и документа]</w:t>
      </w:r>
    </w:p>
    <w:sectPr w:rsidR="00244145" w:rsidRPr="0047034D" w:rsidSect="00244145">
      <w:headerReference w:type="default" r:id="rId14"/>
      <w:headerReference w:type="first" r:id="rId15"/>
      <w:pgSz w:w="11907" w:h="16840" w:code="9"/>
      <w:pgMar w:top="567" w:right="1134" w:bottom="1077"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C5A" w:rsidRDefault="00752C5A">
      <w:r>
        <w:separator/>
      </w:r>
    </w:p>
  </w:endnote>
  <w:endnote w:type="continuationSeparator" w:id="0">
    <w:p w:rsidR="00752C5A" w:rsidRDefault="00752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bold">
    <w:altName w:val="Arial"/>
    <w:panose1 w:val="020B0704020202020204"/>
    <w:charset w:val="00"/>
    <w:family w:val="auto"/>
    <w:pitch w:val="variable"/>
    <w:sig w:usb0="00000000"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C5A" w:rsidRDefault="00752C5A">
      <w:r>
        <w:separator/>
      </w:r>
    </w:p>
  </w:footnote>
  <w:footnote w:type="continuationSeparator" w:id="0">
    <w:p w:rsidR="00752C5A" w:rsidRDefault="00752C5A" w:rsidP="00244145">
      <w:r>
        <w:separator/>
      </w:r>
    </w:p>
    <w:p w:rsidR="00752C5A" w:rsidRPr="00ED77FB" w:rsidRDefault="00752C5A" w:rsidP="00244145">
      <w:pPr>
        <w:spacing w:after="60"/>
        <w:rPr>
          <w:sz w:val="17"/>
          <w:szCs w:val="17"/>
        </w:rPr>
      </w:pPr>
      <w:r w:rsidRPr="00ED77FB">
        <w:rPr>
          <w:sz w:val="17"/>
          <w:szCs w:val="17"/>
        </w:rPr>
        <w:t>[Footnote continued from previous page]</w:t>
      </w:r>
    </w:p>
  </w:footnote>
  <w:footnote w:id="1">
    <w:p w:rsidR="00244145" w:rsidRPr="00AD2807" w:rsidRDefault="00244145" w:rsidP="00244145">
      <w:pPr>
        <w:pStyle w:val="FootnoteText"/>
        <w:rPr>
          <w:rFonts w:eastAsiaTheme="minorHAnsi" w:cs="Times New Roman"/>
          <w:lang w:eastAsia="en-US"/>
        </w:rPr>
      </w:pPr>
      <w:r w:rsidRPr="00AD2807">
        <w:rPr>
          <w:rStyle w:val="FootnoteReference"/>
        </w:rPr>
        <w:footnoteRef/>
      </w:r>
      <w:r w:rsidRPr="00AD2807">
        <w:rPr>
          <w:lang w:val="ru-RU"/>
        </w:rPr>
        <w:t xml:space="preserve"> </w:t>
      </w:r>
      <w:r w:rsidRPr="00AD2807">
        <w:rPr>
          <w:lang w:val="ru-RU"/>
        </w:rPr>
        <w:tab/>
      </w:r>
      <w:r w:rsidRPr="00AD2807">
        <w:rPr>
          <w:rFonts w:eastAsiaTheme="minorHAnsi" w:cs="Times New Roman"/>
          <w:lang w:val="ru-RU" w:eastAsia="en-US"/>
        </w:rPr>
        <w:t xml:space="preserve">Австралийское патентное ведомство хотело бы продолжить </w:t>
      </w:r>
      <w:r>
        <w:rPr>
          <w:rFonts w:eastAsiaTheme="minorHAnsi" w:cs="Times New Roman"/>
          <w:lang w:val="ru-RU" w:eastAsia="en-US"/>
        </w:rPr>
        <w:t>выполнять функции международного органа</w:t>
      </w:r>
      <w:r w:rsidRPr="00AD2807">
        <w:rPr>
          <w:rFonts w:eastAsiaTheme="minorHAnsi" w:cs="Times New Roman"/>
          <w:lang w:val="ru-RU" w:eastAsia="en-US"/>
        </w:rPr>
        <w:t xml:space="preserve"> без перерыва.  Однако ввиду внутренних процессов ратификации договоров в Австралии ему может быть необходимо запросить</w:t>
      </w:r>
      <w:r w:rsidR="000D7F14">
        <w:rPr>
          <w:rFonts w:eastAsiaTheme="minorHAnsi" w:cs="Times New Roman"/>
          <w:lang w:val="ru-RU" w:eastAsia="en-US"/>
        </w:rPr>
        <w:t xml:space="preserve"> продление</w:t>
      </w:r>
      <w:r w:rsidRPr="00AD2807">
        <w:rPr>
          <w:rFonts w:eastAsiaTheme="minorHAnsi" w:cs="Times New Roman"/>
          <w:lang w:val="ru-RU" w:eastAsia="en-US"/>
        </w:rPr>
        <w:t xml:space="preserve"> срока действующего соглашения на один год.  После того, как по итогам обсуждений с другими органами будет принята обновленная модель, может быть подписано новое соглашение.</w:t>
      </w:r>
    </w:p>
  </w:footnote>
  <w:footnote w:id="2">
    <w:p w:rsidR="00244145" w:rsidRPr="0047034D" w:rsidRDefault="00244145" w:rsidP="00244145">
      <w:pPr>
        <w:pStyle w:val="FootnoteText"/>
        <w:rPr>
          <w:lang w:val="en-GB"/>
        </w:rPr>
      </w:pPr>
      <w:r w:rsidRPr="00AD2807">
        <w:rPr>
          <w:rStyle w:val="FootnoteReference"/>
        </w:rPr>
        <w:footnoteRef/>
      </w:r>
      <w:r w:rsidRPr="00AD2807">
        <w:rPr>
          <w:lang w:val="ru-RU"/>
        </w:rPr>
        <w:t xml:space="preserve"> </w:t>
      </w:r>
      <w:r w:rsidRPr="00AD2807">
        <w:rPr>
          <w:lang w:val="ru-RU"/>
        </w:rPr>
        <w:tab/>
        <w:t xml:space="preserve">См., например:  </w:t>
      </w:r>
      <w:hyperlink r:id="rId1" w:history="1">
        <w:r w:rsidRPr="0047034D">
          <w:rPr>
            <w:rStyle w:val="Hyperlink"/>
            <w:bCs/>
            <w:lang w:val="en-GB"/>
          </w:rPr>
          <w:t>https://www.ipaustralia.gov.au/tools-resources/publications---reports</w:t>
        </w:r>
      </w:hyperlink>
      <w:r w:rsidRPr="0047034D">
        <w:rPr>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145" w:rsidRDefault="00244145" w:rsidP="00244145">
    <w:pPr>
      <w:jc w:val="right"/>
    </w:pPr>
    <w:bookmarkStart w:id="6" w:name="Code2"/>
    <w:bookmarkEnd w:id="6"/>
    <w:r>
      <w:rPr>
        <w:lang w:val="ru-RU"/>
      </w:rPr>
      <w:t>PCT/CTC/30/4</w:t>
    </w:r>
  </w:p>
  <w:p w:rsidR="00244145" w:rsidRDefault="00244145" w:rsidP="00244145">
    <w:pPr>
      <w:jc w:val="right"/>
    </w:pPr>
    <w:r>
      <w:rPr>
        <w:lang w:val="ru-RU"/>
      </w:rPr>
      <w:t xml:space="preserve">стр. </w:t>
    </w:r>
    <w:r>
      <w:fldChar w:fldCharType="begin"/>
    </w:r>
    <w:r>
      <w:instrText xml:space="preserve"> PAGE  \* MERGEFORMAT </w:instrText>
    </w:r>
    <w:r>
      <w:fldChar w:fldCharType="separate"/>
    </w:r>
    <w:r>
      <w:rPr>
        <w:noProof/>
      </w:rPr>
      <w:t>2</w:t>
    </w:r>
    <w:r>
      <w:fldChar w:fldCharType="end"/>
    </w:r>
  </w:p>
  <w:p w:rsidR="00244145" w:rsidRDefault="00244145" w:rsidP="00244145">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145" w:rsidRPr="00113AA1" w:rsidRDefault="00244145" w:rsidP="00244145">
    <w:pPr>
      <w:jc w:val="right"/>
      <w:rPr>
        <w:lang w:val="en-GB"/>
      </w:rPr>
    </w:pPr>
    <w:r w:rsidRPr="00AA5F79">
      <w:rPr>
        <w:lang w:val="ru-RU"/>
      </w:rPr>
      <w:t>PCT/CTC/30/4</w:t>
    </w:r>
  </w:p>
  <w:p w:rsidR="00244145" w:rsidRPr="00AA5F79" w:rsidRDefault="00244145" w:rsidP="00244145">
    <w:pPr>
      <w:jc w:val="right"/>
      <w:rPr>
        <w:lang w:val="fr-FR"/>
      </w:rPr>
    </w:pPr>
    <w:r w:rsidRPr="00113AA1">
      <w:rPr>
        <w:lang w:val="ru-RU"/>
      </w:rPr>
      <w:t xml:space="preserve">Приложение, стр. </w:t>
    </w:r>
    <w:r>
      <w:fldChar w:fldCharType="begin"/>
    </w:r>
    <w:r w:rsidRPr="00AA5F79">
      <w:rPr>
        <w:lang w:val="fr-FR"/>
      </w:rPr>
      <w:instrText xml:space="preserve"> PAGE  \* MERGEFORMAT </w:instrText>
    </w:r>
    <w:r>
      <w:fldChar w:fldCharType="separate"/>
    </w:r>
    <w:r w:rsidR="002A2FCA">
      <w:rPr>
        <w:noProof/>
        <w:lang w:val="fr-FR"/>
      </w:rPr>
      <w:t>3</w:t>
    </w:r>
    <w:r>
      <w:fldChar w:fldCharType="end"/>
    </w:r>
  </w:p>
  <w:p w:rsidR="00244145" w:rsidRPr="00AA5F79" w:rsidRDefault="00244145" w:rsidP="00244145">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145" w:rsidRDefault="00244145" w:rsidP="00244145">
    <w:pPr>
      <w:pStyle w:val="Header"/>
      <w:jc w:val="right"/>
    </w:pPr>
    <w:r>
      <w:rPr>
        <w:lang w:val="ru-RU"/>
      </w:rPr>
      <w:t>PCT/CTC/30/4</w:t>
    </w:r>
  </w:p>
  <w:p w:rsidR="00244145" w:rsidRDefault="00244145" w:rsidP="00244145">
    <w:pPr>
      <w:pStyle w:val="Header"/>
      <w:jc w:val="right"/>
    </w:pPr>
    <w:r>
      <w:rPr>
        <w:lang w:val="ru-RU"/>
      </w:rPr>
      <w:t>ПРИЛОЖЕНИЕ</w:t>
    </w:r>
  </w:p>
  <w:p w:rsidR="00244145" w:rsidRDefault="002441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045BBE"/>
    <w:multiLevelType w:val="hybridMultilevel"/>
    <w:tmpl w:val="9B3A6E14"/>
    <w:lvl w:ilvl="0" w:tplc="5A0616EE">
      <w:start w:val="1"/>
      <w:numFmt w:val="bullet"/>
      <w:lvlText w:val=""/>
      <w:lvlJc w:val="left"/>
      <w:pPr>
        <w:ind w:left="720" w:hanging="360"/>
      </w:pPr>
      <w:rPr>
        <w:rFonts w:ascii="Symbol" w:hAnsi="Symbol" w:hint="default"/>
      </w:rPr>
    </w:lvl>
    <w:lvl w:ilvl="1" w:tplc="FA16B12A" w:tentative="1">
      <w:start w:val="1"/>
      <w:numFmt w:val="bullet"/>
      <w:lvlText w:val="o"/>
      <w:lvlJc w:val="left"/>
      <w:pPr>
        <w:ind w:left="1440" w:hanging="360"/>
      </w:pPr>
      <w:rPr>
        <w:rFonts w:ascii="Courier New" w:hAnsi="Courier New" w:cs="Courier New" w:hint="default"/>
      </w:rPr>
    </w:lvl>
    <w:lvl w:ilvl="2" w:tplc="0508681E" w:tentative="1">
      <w:start w:val="1"/>
      <w:numFmt w:val="bullet"/>
      <w:lvlText w:val=""/>
      <w:lvlJc w:val="left"/>
      <w:pPr>
        <w:ind w:left="2160" w:hanging="360"/>
      </w:pPr>
      <w:rPr>
        <w:rFonts w:ascii="Wingdings" w:hAnsi="Wingdings" w:hint="default"/>
      </w:rPr>
    </w:lvl>
    <w:lvl w:ilvl="3" w:tplc="A7FCED40" w:tentative="1">
      <w:start w:val="1"/>
      <w:numFmt w:val="bullet"/>
      <w:lvlText w:val=""/>
      <w:lvlJc w:val="left"/>
      <w:pPr>
        <w:ind w:left="2880" w:hanging="360"/>
      </w:pPr>
      <w:rPr>
        <w:rFonts w:ascii="Symbol" w:hAnsi="Symbol" w:hint="default"/>
      </w:rPr>
    </w:lvl>
    <w:lvl w:ilvl="4" w:tplc="77964572" w:tentative="1">
      <w:start w:val="1"/>
      <w:numFmt w:val="bullet"/>
      <w:lvlText w:val="o"/>
      <w:lvlJc w:val="left"/>
      <w:pPr>
        <w:ind w:left="3600" w:hanging="360"/>
      </w:pPr>
      <w:rPr>
        <w:rFonts w:ascii="Courier New" w:hAnsi="Courier New" w:cs="Courier New" w:hint="default"/>
      </w:rPr>
    </w:lvl>
    <w:lvl w:ilvl="5" w:tplc="8020D926" w:tentative="1">
      <w:start w:val="1"/>
      <w:numFmt w:val="bullet"/>
      <w:lvlText w:val=""/>
      <w:lvlJc w:val="left"/>
      <w:pPr>
        <w:ind w:left="4320" w:hanging="360"/>
      </w:pPr>
      <w:rPr>
        <w:rFonts w:ascii="Wingdings" w:hAnsi="Wingdings" w:hint="default"/>
      </w:rPr>
    </w:lvl>
    <w:lvl w:ilvl="6" w:tplc="17C8AAD0" w:tentative="1">
      <w:start w:val="1"/>
      <w:numFmt w:val="bullet"/>
      <w:lvlText w:val=""/>
      <w:lvlJc w:val="left"/>
      <w:pPr>
        <w:ind w:left="5040" w:hanging="360"/>
      </w:pPr>
      <w:rPr>
        <w:rFonts w:ascii="Symbol" w:hAnsi="Symbol" w:hint="default"/>
      </w:rPr>
    </w:lvl>
    <w:lvl w:ilvl="7" w:tplc="942E2384" w:tentative="1">
      <w:start w:val="1"/>
      <w:numFmt w:val="bullet"/>
      <w:lvlText w:val="o"/>
      <w:lvlJc w:val="left"/>
      <w:pPr>
        <w:ind w:left="5760" w:hanging="360"/>
      </w:pPr>
      <w:rPr>
        <w:rFonts w:ascii="Courier New" w:hAnsi="Courier New" w:cs="Courier New" w:hint="default"/>
      </w:rPr>
    </w:lvl>
    <w:lvl w:ilvl="8" w:tplc="D454575C" w:tentative="1">
      <w:start w:val="1"/>
      <w:numFmt w:val="bullet"/>
      <w:lvlText w:val=""/>
      <w:lvlJc w:val="left"/>
      <w:pPr>
        <w:ind w:left="6480" w:hanging="360"/>
      </w:pPr>
      <w:rPr>
        <w:rFonts w:ascii="Wingdings" w:hAnsi="Wingdings" w:hint="default"/>
      </w:rPr>
    </w:lvl>
  </w:abstractNum>
  <w:abstractNum w:abstractNumId="3">
    <w:nsid w:val="14C45C73"/>
    <w:multiLevelType w:val="hybridMultilevel"/>
    <w:tmpl w:val="FA38FB9C"/>
    <w:lvl w:ilvl="0" w:tplc="F940C224">
      <w:start w:val="9"/>
      <w:numFmt w:val="bullet"/>
      <w:lvlText w:val="-"/>
      <w:lvlJc w:val="left"/>
      <w:pPr>
        <w:ind w:left="720" w:hanging="360"/>
      </w:pPr>
      <w:rPr>
        <w:rFonts w:ascii="Arial" w:eastAsia="SimSun" w:hAnsi="Arial" w:cs="Arial" w:hint="default"/>
      </w:rPr>
    </w:lvl>
    <w:lvl w:ilvl="1" w:tplc="851E3EBE" w:tentative="1">
      <w:start w:val="1"/>
      <w:numFmt w:val="bullet"/>
      <w:lvlText w:val="o"/>
      <w:lvlJc w:val="left"/>
      <w:pPr>
        <w:ind w:left="1440" w:hanging="360"/>
      </w:pPr>
      <w:rPr>
        <w:rFonts w:ascii="Courier New" w:hAnsi="Courier New" w:cs="Courier New" w:hint="default"/>
      </w:rPr>
    </w:lvl>
    <w:lvl w:ilvl="2" w:tplc="5D70FBB8" w:tentative="1">
      <w:start w:val="1"/>
      <w:numFmt w:val="bullet"/>
      <w:lvlText w:val=""/>
      <w:lvlJc w:val="left"/>
      <w:pPr>
        <w:ind w:left="2160" w:hanging="360"/>
      </w:pPr>
      <w:rPr>
        <w:rFonts w:ascii="Wingdings" w:hAnsi="Wingdings" w:hint="default"/>
      </w:rPr>
    </w:lvl>
    <w:lvl w:ilvl="3" w:tplc="5C5834EA" w:tentative="1">
      <w:start w:val="1"/>
      <w:numFmt w:val="bullet"/>
      <w:lvlText w:val=""/>
      <w:lvlJc w:val="left"/>
      <w:pPr>
        <w:ind w:left="2880" w:hanging="360"/>
      </w:pPr>
      <w:rPr>
        <w:rFonts w:ascii="Symbol" w:hAnsi="Symbol" w:hint="default"/>
      </w:rPr>
    </w:lvl>
    <w:lvl w:ilvl="4" w:tplc="47C840BA" w:tentative="1">
      <w:start w:val="1"/>
      <w:numFmt w:val="bullet"/>
      <w:lvlText w:val="o"/>
      <w:lvlJc w:val="left"/>
      <w:pPr>
        <w:ind w:left="3600" w:hanging="360"/>
      </w:pPr>
      <w:rPr>
        <w:rFonts w:ascii="Courier New" w:hAnsi="Courier New" w:cs="Courier New" w:hint="default"/>
      </w:rPr>
    </w:lvl>
    <w:lvl w:ilvl="5" w:tplc="7B26D672" w:tentative="1">
      <w:start w:val="1"/>
      <w:numFmt w:val="bullet"/>
      <w:lvlText w:val=""/>
      <w:lvlJc w:val="left"/>
      <w:pPr>
        <w:ind w:left="4320" w:hanging="360"/>
      </w:pPr>
      <w:rPr>
        <w:rFonts w:ascii="Wingdings" w:hAnsi="Wingdings" w:hint="default"/>
      </w:rPr>
    </w:lvl>
    <w:lvl w:ilvl="6" w:tplc="66426220" w:tentative="1">
      <w:start w:val="1"/>
      <w:numFmt w:val="bullet"/>
      <w:lvlText w:val=""/>
      <w:lvlJc w:val="left"/>
      <w:pPr>
        <w:ind w:left="5040" w:hanging="360"/>
      </w:pPr>
      <w:rPr>
        <w:rFonts w:ascii="Symbol" w:hAnsi="Symbol" w:hint="default"/>
      </w:rPr>
    </w:lvl>
    <w:lvl w:ilvl="7" w:tplc="B9C42D68" w:tentative="1">
      <w:start w:val="1"/>
      <w:numFmt w:val="bullet"/>
      <w:lvlText w:val="o"/>
      <w:lvlJc w:val="left"/>
      <w:pPr>
        <w:ind w:left="5760" w:hanging="360"/>
      </w:pPr>
      <w:rPr>
        <w:rFonts w:ascii="Courier New" w:hAnsi="Courier New" w:cs="Courier New" w:hint="default"/>
      </w:rPr>
    </w:lvl>
    <w:lvl w:ilvl="8" w:tplc="75EE9E18" w:tentative="1">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BBC24C4"/>
    <w:multiLevelType w:val="hybridMultilevel"/>
    <w:tmpl w:val="55727DB2"/>
    <w:lvl w:ilvl="0" w:tplc="57EEABF4">
      <w:start w:val="1"/>
      <w:numFmt w:val="bullet"/>
      <w:lvlText w:val=""/>
      <w:lvlJc w:val="left"/>
      <w:pPr>
        <w:ind w:left="720" w:hanging="360"/>
      </w:pPr>
      <w:rPr>
        <w:rFonts w:ascii="Symbol" w:hAnsi="Symbol" w:hint="default"/>
      </w:rPr>
    </w:lvl>
    <w:lvl w:ilvl="1" w:tplc="44980AA0" w:tentative="1">
      <w:start w:val="1"/>
      <w:numFmt w:val="bullet"/>
      <w:lvlText w:val="o"/>
      <w:lvlJc w:val="left"/>
      <w:pPr>
        <w:ind w:left="1440" w:hanging="360"/>
      </w:pPr>
      <w:rPr>
        <w:rFonts w:ascii="Courier New" w:hAnsi="Courier New" w:cs="Courier New" w:hint="default"/>
      </w:rPr>
    </w:lvl>
    <w:lvl w:ilvl="2" w:tplc="F26CB1FE" w:tentative="1">
      <w:start w:val="1"/>
      <w:numFmt w:val="bullet"/>
      <w:lvlText w:val=""/>
      <w:lvlJc w:val="left"/>
      <w:pPr>
        <w:ind w:left="2160" w:hanging="360"/>
      </w:pPr>
      <w:rPr>
        <w:rFonts w:ascii="Wingdings" w:hAnsi="Wingdings" w:hint="default"/>
      </w:rPr>
    </w:lvl>
    <w:lvl w:ilvl="3" w:tplc="01FC6A4A" w:tentative="1">
      <w:start w:val="1"/>
      <w:numFmt w:val="bullet"/>
      <w:lvlText w:val=""/>
      <w:lvlJc w:val="left"/>
      <w:pPr>
        <w:ind w:left="2880" w:hanging="360"/>
      </w:pPr>
      <w:rPr>
        <w:rFonts w:ascii="Symbol" w:hAnsi="Symbol" w:hint="default"/>
      </w:rPr>
    </w:lvl>
    <w:lvl w:ilvl="4" w:tplc="1DF2411A" w:tentative="1">
      <w:start w:val="1"/>
      <w:numFmt w:val="bullet"/>
      <w:lvlText w:val="o"/>
      <w:lvlJc w:val="left"/>
      <w:pPr>
        <w:ind w:left="3600" w:hanging="360"/>
      </w:pPr>
      <w:rPr>
        <w:rFonts w:ascii="Courier New" w:hAnsi="Courier New" w:cs="Courier New" w:hint="default"/>
      </w:rPr>
    </w:lvl>
    <w:lvl w:ilvl="5" w:tplc="FBC69B5C" w:tentative="1">
      <w:start w:val="1"/>
      <w:numFmt w:val="bullet"/>
      <w:lvlText w:val=""/>
      <w:lvlJc w:val="left"/>
      <w:pPr>
        <w:ind w:left="4320" w:hanging="360"/>
      </w:pPr>
      <w:rPr>
        <w:rFonts w:ascii="Wingdings" w:hAnsi="Wingdings" w:hint="default"/>
      </w:rPr>
    </w:lvl>
    <w:lvl w:ilvl="6" w:tplc="B7EA1EAC" w:tentative="1">
      <w:start w:val="1"/>
      <w:numFmt w:val="bullet"/>
      <w:lvlText w:val=""/>
      <w:lvlJc w:val="left"/>
      <w:pPr>
        <w:ind w:left="5040" w:hanging="360"/>
      </w:pPr>
      <w:rPr>
        <w:rFonts w:ascii="Symbol" w:hAnsi="Symbol" w:hint="default"/>
      </w:rPr>
    </w:lvl>
    <w:lvl w:ilvl="7" w:tplc="10E8E57C" w:tentative="1">
      <w:start w:val="1"/>
      <w:numFmt w:val="bullet"/>
      <w:lvlText w:val="o"/>
      <w:lvlJc w:val="left"/>
      <w:pPr>
        <w:ind w:left="5760" w:hanging="360"/>
      </w:pPr>
      <w:rPr>
        <w:rFonts w:ascii="Courier New" w:hAnsi="Courier New" w:cs="Courier New" w:hint="default"/>
      </w:rPr>
    </w:lvl>
    <w:lvl w:ilvl="8" w:tplc="4EC40A1C" w:tentative="1">
      <w:start w:val="1"/>
      <w:numFmt w:val="bullet"/>
      <w:lvlText w:val=""/>
      <w:lvlJc w:val="left"/>
      <w:pPr>
        <w:ind w:left="6480" w:hanging="360"/>
      </w:pPr>
      <w:rPr>
        <w:rFonts w:ascii="Wingdings" w:hAnsi="Wingdings" w:hint="default"/>
      </w:rPr>
    </w:lvl>
  </w:abstractNum>
  <w:abstractNum w:abstractNumId="6">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52E74E9"/>
    <w:multiLevelType w:val="hybridMultilevel"/>
    <w:tmpl w:val="A268130A"/>
    <w:lvl w:ilvl="0" w:tplc="47785792">
      <w:start w:val="1"/>
      <w:numFmt w:val="bullet"/>
      <w:lvlText w:val=""/>
      <w:lvlJc w:val="left"/>
      <w:pPr>
        <w:ind w:left="720" w:hanging="360"/>
      </w:pPr>
      <w:rPr>
        <w:rFonts w:ascii="Symbol" w:hAnsi="Symbol" w:hint="default"/>
      </w:rPr>
    </w:lvl>
    <w:lvl w:ilvl="1" w:tplc="D7380240" w:tentative="1">
      <w:start w:val="1"/>
      <w:numFmt w:val="bullet"/>
      <w:lvlText w:val="o"/>
      <w:lvlJc w:val="left"/>
      <w:pPr>
        <w:ind w:left="1440" w:hanging="360"/>
      </w:pPr>
      <w:rPr>
        <w:rFonts w:ascii="Courier New" w:hAnsi="Courier New" w:cs="Courier New" w:hint="default"/>
      </w:rPr>
    </w:lvl>
    <w:lvl w:ilvl="2" w:tplc="CF2C7332" w:tentative="1">
      <w:start w:val="1"/>
      <w:numFmt w:val="bullet"/>
      <w:lvlText w:val=""/>
      <w:lvlJc w:val="left"/>
      <w:pPr>
        <w:ind w:left="2160" w:hanging="360"/>
      </w:pPr>
      <w:rPr>
        <w:rFonts w:ascii="Wingdings" w:hAnsi="Wingdings" w:hint="default"/>
      </w:rPr>
    </w:lvl>
    <w:lvl w:ilvl="3" w:tplc="D8EC81D6" w:tentative="1">
      <w:start w:val="1"/>
      <w:numFmt w:val="bullet"/>
      <w:lvlText w:val=""/>
      <w:lvlJc w:val="left"/>
      <w:pPr>
        <w:ind w:left="2880" w:hanging="360"/>
      </w:pPr>
      <w:rPr>
        <w:rFonts w:ascii="Symbol" w:hAnsi="Symbol" w:hint="default"/>
      </w:rPr>
    </w:lvl>
    <w:lvl w:ilvl="4" w:tplc="52FC1B40" w:tentative="1">
      <w:start w:val="1"/>
      <w:numFmt w:val="bullet"/>
      <w:lvlText w:val="o"/>
      <w:lvlJc w:val="left"/>
      <w:pPr>
        <w:ind w:left="3600" w:hanging="360"/>
      </w:pPr>
      <w:rPr>
        <w:rFonts w:ascii="Courier New" w:hAnsi="Courier New" w:cs="Courier New" w:hint="default"/>
      </w:rPr>
    </w:lvl>
    <w:lvl w:ilvl="5" w:tplc="BC188928" w:tentative="1">
      <w:start w:val="1"/>
      <w:numFmt w:val="bullet"/>
      <w:lvlText w:val=""/>
      <w:lvlJc w:val="left"/>
      <w:pPr>
        <w:ind w:left="4320" w:hanging="360"/>
      </w:pPr>
      <w:rPr>
        <w:rFonts w:ascii="Wingdings" w:hAnsi="Wingdings" w:hint="default"/>
      </w:rPr>
    </w:lvl>
    <w:lvl w:ilvl="6" w:tplc="2C66D09C" w:tentative="1">
      <w:start w:val="1"/>
      <w:numFmt w:val="bullet"/>
      <w:lvlText w:val=""/>
      <w:lvlJc w:val="left"/>
      <w:pPr>
        <w:ind w:left="5040" w:hanging="360"/>
      </w:pPr>
      <w:rPr>
        <w:rFonts w:ascii="Symbol" w:hAnsi="Symbol" w:hint="default"/>
      </w:rPr>
    </w:lvl>
    <w:lvl w:ilvl="7" w:tplc="80C0DDD0" w:tentative="1">
      <w:start w:val="1"/>
      <w:numFmt w:val="bullet"/>
      <w:lvlText w:val="o"/>
      <w:lvlJc w:val="left"/>
      <w:pPr>
        <w:ind w:left="5760" w:hanging="360"/>
      </w:pPr>
      <w:rPr>
        <w:rFonts w:ascii="Courier New" w:hAnsi="Courier New" w:cs="Courier New" w:hint="default"/>
      </w:rPr>
    </w:lvl>
    <w:lvl w:ilvl="8" w:tplc="ED7C4276" w:tentative="1">
      <w:start w:val="1"/>
      <w:numFmt w:val="bullet"/>
      <w:lvlText w:val=""/>
      <w:lvlJc w:val="left"/>
      <w:pPr>
        <w:ind w:left="6480" w:hanging="360"/>
      </w:pPr>
      <w:rPr>
        <w:rFonts w:ascii="Wingdings" w:hAnsi="Wingdings" w:hint="default"/>
      </w:rPr>
    </w:lvl>
  </w:abstractNum>
  <w:abstractNum w:abstractNumId="8">
    <w:nsid w:val="429B0425"/>
    <w:multiLevelType w:val="hybridMultilevel"/>
    <w:tmpl w:val="4C0012F4"/>
    <w:lvl w:ilvl="0" w:tplc="BA4EDB94">
      <w:start w:val="1"/>
      <w:numFmt w:val="decimal"/>
      <w:lvlText w:val="%1."/>
      <w:lvlJc w:val="left"/>
      <w:pPr>
        <w:ind w:left="360" w:hanging="360"/>
      </w:pPr>
    </w:lvl>
    <w:lvl w:ilvl="1" w:tplc="369ED498" w:tentative="1">
      <w:start w:val="1"/>
      <w:numFmt w:val="lowerLetter"/>
      <w:lvlText w:val="%2."/>
      <w:lvlJc w:val="left"/>
      <w:pPr>
        <w:ind w:left="1080" w:hanging="360"/>
      </w:pPr>
    </w:lvl>
    <w:lvl w:ilvl="2" w:tplc="47528C3E" w:tentative="1">
      <w:start w:val="1"/>
      <w:numFmt w:val="lowerRoman"/>
      <w:lvlText w:val="%3."/>
      <w:lvlJc w:val="right"/>
      <w:pPr>
        <w:ind w:left="1800" w:hanging="180"/>
      </w:pPr>
    </w:lvl>
    <w:lvl w:ilvl="3" w:tplc="C428E210" w:tentative="1">
      <w:start w:val="1"/>
      <w:numFmt w:val="decimal"/>
      <w:lvlText w:val="%4."/>
      <w:lvlJc w:val="left"/>
      <w:pPr>
        <w:ind w:left="2520" w:hanging="360"/>
      </w:pPr>
    </w:lvl>
    <w:lvl w:ilvl="4" w:tplc="4514A608" w:tentative="1">
      <w:start w:val="1"/>
      <w:numFmt w:val="lowerLetter"/>
      <w:lvlText w:val="%5."/>
      <w:lvlJc w:val="left"/>
      <w:pPr>
        <w:ind w:left="3240" w:hanging="360"/>
      </w:pPr>
    </w:lvl>
    <w:lvl w:ilvl="5" w:tplc="14C634AC" w:tentative="1">
      <w:start w:val="1"/>
      <w:numFmt w:val="lowerRoman"/>
      <w:lvlText w:val="%6."/>
      <w:lvlJc w:val="right"/>
      <w:pPr>
        <w:ind w:left="3960" w:hanging="180"/>
      </w:pPr>
    </w:lvl>
    <w:lvl w:ilvl="6" w:tplc="2E46978E" w:tentative="1">
      <w:start w:val="1"/>
      <w:numFmt w:val="decimal"/>
      <w:lvlText w:val="%7."/>
      <w:lvlJc w:val="left"/>
      <w:pPr>
        <w:ind w:left="4680" w:hanging="360"/>
      </w:pPr>
    </w:lvl>
    <w:lvl w:ilvl="7" w:tplc="B14C22A2" w:tentative="1">
      <w:start w:val="1"/>
      <w:numFmt w:val="lowerLetter"/>
      <w:lvlText w:val="%8."/>
      <w:lvlJc w:val="left"/>
      <w:pPr>
        <w:ind w:left="5400" w:hanging="360"/>
      </w:pPr>
    </w:lvl>
    <w:lvl w:ilvl="8" w:tplc="08E48A8C" w:tentative="1">
      <w:start w:val="1"/>
      <w:numFmt w:val="lowerRoman"/>
      <w:lvlText w:val="%9."/>
      <w:lvlJc w:val="right"/>
      <w:pPr>
        <w:ind w:left="612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4B04DB2"/>
    <w:multiLevelType w:val="hybridMultilevel"/>
    <w:tmpl w:val="DC8C7F8C"/>
    <w:lvl w:ilvl="0" w:tplc="BE08D0F2">
      <w:start w:val="1"/>
      <w:numFmt w:val="lowerLetter"/>
      <w:lvlText w:val="%1."/>
      <w:lvlJc w:val="left"/>
      <w:pPr>
        <w:ind w:left="720" w:hanging="360"/>
      </w:pPr>
      <w:rPr>
        <w:rFonts w:hint="default"/>
      </w:rPr>
    </w:lvl>
    <w:lvl w:ilvl="1" w:tplc="4926CC0E" w:tentative="1">
      <w:start w:val="1"/>
      <w:numFmt w:val="lowerLetter"/>
      <w:lvlText w:val="%2."/>
      <w:lvlJc w:val="left"/>
      <w:pPr>
        <w:ind w:left="1440" w:hanging="360"/>
      </w:pPr>
    </w:lvl>
    <w:lvl w:ilvl="2" w:tplc="B464DEDA" w:tentative="1">
      <w:start w:val="1"/>
      <w:numFmt w:val="lowerRoman"/>
      <w:lvlText w:val="%3."/>
      <w:lvlJc w:val="right"/>
      <w:pPr>
        <w:ind w:left="2160" w:hanging="180"/>
      </w:pPr>
    </w:lvl>
    <w:lvl w:ilvl="3" w:tplc="F3443A60" w:tentative="1">
      <w:start w:val="1"/>
      <w:numFmt w:val="decimal"/>
      <w:lvlText w:val="%4."/>
      <w:lvlJc w:val="left"/>
      <w:pPr>
        <w:ind w:left="2880" w:hanging="360"/>
      </w:pPr>
    </w:lvl>
    <w:lvl w:ilvl="4" w:tplc="F384B044" w:tentative="1">
      <w:start w:val="1"/>
      <w:numFmt w:val="lowerLetter"/>
      <w:lvlText w:val="%5."/>
      <w:lvlJc w:val="left"/>
      <w:pPr>
        <w:ind w:left="3600" w:hanging="360"/>
      </w:pPr>
    </w:lvl>
    <w:lvl w:ilvl="5" w:tplc="AA005A7E" w:tentative="1">
      <w:start w:val="1"/>
      <w:numFmt w:val="lowerRoman"/>
      <w:lvlText w:val="%6."/>
      <w:lvlJc w:val="right"/>
      <w:pPr>
        <w:ind w:left="4320" w:hanging="180"/>
      </w:pPr>
    </w:lvl>
    <w:lvl w:ilvl="6" w:tplc="055CE0FC" w:tentative="1">
      <w:start w:val="1"/>
      <w:numFmt w:val="decimal"/>
      <w:lvlText w:val="%7."/>
      <w:lvlJc w:val="left"/>
      <w:pPr>
        <w:ind w:left="5040" w:hanging="360"/>
      </w:pPr>
    </w:lvl>
    <w:lvl w:ilvl="7" w:tplc="E0FA94D0" w:tentative="1">
      <w:start w:val="1"/>
      <w:numFmt w:val="lowerLetter"/>
      <w:lvlText w:val="%8."/>
      <w:lvlJc w:val="left"/>
      <w:pPr>
        <w:ind w:left="5760" w:hanging="360"/>
      </w:pPr>
    </w:lvl>
    <w:lvl w:ilvl="8" w:tplc="6EEA9D36" w:tentative="1">
      <w:start w:val="1"/>
      <w:numFmt w:val="lowerRoman"/>
      <w:lvlText w:val="%9."/>
      <w:lvlJc w:val="right"/>
      <w:pPr>
        <w:ind w:left="6480" w:hanging="180"/>
      </w:pPr>
    </w:lvl>
  </w:abstractNum>
  <w:abstractNum w:abstractNumId="11">
    <w:nsid w:val="4C8B3C46"/>
    <w:multiLevelType w:val="hybridMultilevel"/>
    <w:tmpl w:val="799E19C6"/>
    <w:lvl w:ilvl="0" w:tplc="6B44727E">
      <w:start w:val="1"/>
      <w:numFmt w:val="decimal"/>
      <w:pStyle w:val="ListNumber"/>
      <w:lvlText w:val="03.%1."/>
      <w:lvlJc w:val="left"/>
      <w:pPr>
        <w:tabs>
          <w:tab w:val="num" w:pos="567"/>
        </w:tabs>
        <w:ind w:left="0" w:firstLine="0"/>
      </w:pPr>
      <w:rPr>
        <w:rFonts w:hint="default"/>
      </w:rPr>
    </w:lvl>
    <w:lvl w:ilvl="1" w:tplc="CEFAD440" w:tentative="1">
      <w:start w:val="1"/>
      <w:numFmt w:val="lowerLetter"/>
      <w:lvlText w:val="%2."/>
      <w:lvlJc w:val="left"/>
      <w:pPr>
        <w:tabs>
          <w:tab w:val="num" w:pos="1440"/>
        </w:tabs>
        <w:ind w:left="1440" w:hanging="360"/>
      </w:pPr>
    </w:lvl>
    <w:lvl w:ilvl="2" w:tplc="191E17A6" w:tentative="1">
      <w:start w:val="1"/>
      <w:numFmt w:val="lowerRoman"/>
      <w:lvlText w:val="%3."/>
      <w:lvlJc w:val="right"/>
      <w:pPr>
        <w:tabs>
          <w:tab w:val="num" w:pos="2160"/>
        </w:tabs>
        <w:ind w:left="2160" w:hanging="180"/>
      </w:pPr>
    </w:lvl>
    <w:lvl w:ilvl="3" w:tplc="A134DD82" w:tentative="1">
      <w:start w:val="1"/>
      <w:numFmt w:val="decimal"/>
      <w:lvlText w:val="%4."/>
      <w:lvlJc w:val="left"/>
      <w:pPr>
        <w:tabs>
          <w:tab w:val="num" w:pos="2880"/>
        </w:tabs>
        <w:ind w:left="2880" w:hanging="360"/>
      </w:pPr>
    </w:lvl>
    <w:lvl w:ilvl="4" w:tplc="5FF6B7AA" w:tentative="1">
      <w:start w:val="1"/>
      <w:numFmt w:val="lowerLetter"/>
      <w:lvlText w:val="%5."/>
      <w:lvlJc w:val="left"/>
      <w:pPr>
        <w:tabs>
          <w:tab w:val="num" w:pos="3600"/>
        </w:tabs>
        <w:ind w:left="3600" w:hanging="360"/>
      </w:pPr>
    </w:lvl>
    <w:lvl w:ilvl="5" w:tplc="A8ECD720" w:tentative="1">
      <w:start w:val="1"/>
      <w:numFmt w:val="lowerRoman"/>
      <w:lvlText w:val="%6."/>
      <w:lvlJc w:val="right"/>
      <w:pPr>
        <w:tabs>
          <w:tab w:val="num" w:pos="4320"/>
        </w:tabs>
        <w:ind w:left="4320" w:hanging="180"/>
      </w:pPr>
    </w:lvl>
    <w:lvl w:ilvl="6" w:tplc="68F4CD9C" w:tentative="1">
      <w:start w:val="1"/>
      <w:numFmt w:val="decimal"/>
      <w:lvlText w:val="%7."/>
      <w:lvlJc w:val="left"/>
      <w:pPr>
        <w:tabs>
          <w:tab w:val="num" w:pos="5040"/>
        </w:tabs>
        <w:ind w:left="5040" w:hanging="360"/>
      </w:pPr>
    </w:lvl>
    <w:lvl w:ilvl="7" w:tplc="98EC3A8E" w:tentative="1">
      <w:start w:val="1"/>
      <w:numFmt w:val="lowerLetter"/>
      <w:lvlText w:val="%8."/>
      <w:lvlJc w:val="left"/>
      <w:pPr>
        <w:tabs>
          <w:tab w:val="num" w:pos="5760"/>
        </w:tabs>
        <w:ind w:left="5760" w:hanging="360"/>
      </w:pPr>
    </w:lvl>
    <w:lvl w:ilvl="8" w:tplc="D4AE9A6C" w:tentative="1">
      <w:start w:val="1"/>
      <w:numFmt w:val="lowerRoman"/>
      <w:lvlText w:val="%9."/>
      <w:lvlJc w:val="right"/>
      <w:pPr>
        <w:tabs>
          <w:tab w:val="num" w:pos="6480"/>
        </w:tabs>
        <w:ind w:left="6480" w:hanging="180"/>
      </w:pPr>
    </w:lvl>
  </w:abstractNum>
  <w:abstractNum w:abstractNumId="12">
    <w:nsid w:val="511029D1"/>
    <w:multiLevelType w:val="hybridMultilevel"/>
    <w:tmpl w:val="E9421D42"/>
    <w:lvl w:ilvl="0" w:tplc="4BFA097E">
      <w:start w:val="1"/>
      <w:numFmt w:val="bullet"/>
      <w:lvlText w:val=""/>
      <w:lvlJc w:val="left"/>
      <w:pPr>
        <w:ind w:left="720" w:hanging="360"/>
      </w:pPr>
      <w:rPr>
        <w:rFonts w:ascii="Symbol" w:hAnsi="Symbol" w:hint="default"/>
      </w:rPr>
    </w:lvl>
    <w:lvl w:ilvl="1" w:tplc="9A5C5820" w:tentative="1">
      <w:start w:val="1"/>
      <w:numFmt w:val="bullet"/>
      <w:lvlText w:val="o"/>
      <w:lvlJc w:val="left"/>
      <w:pPr>
        <w:ind w:left="1440" w:hanging="360"/>
      </w:pPr>
      <w:rPr>
        <w:rFonts w:ascii="Courier New" w:hAnsi="Courier New" w:cs="Courier New" w:hint="default"/>
      </w:rPr>
    </w:lvl>
    <w:lvl w:ilvl="2" w:tplc="1452D874" w:tentative="1">
      <w:start w:val="1"/>
      <w:numFmt w:val="bullet"/>
      <w:lvlText w:val=""/>
      <w:lvlJc w:val="left"/>
      <w:pPr>
        <w:ind w:left="2160" w:hanging="360"/>
      </w:pPr>
      <w:rPr>
        <w:rFonts w:ascii="Wingdings" w:hAnsi="Wingdings" w:hint="default"/>
      </w:rPr>
    </w:lvl>
    <w:lvl w:ilvl="3" w:tplc="6F2693C0" w:tentative="1">
      <w:start w:val="1"/>
      <w:numFmt w:val="bullet"/>
      <w:lvlText w:val=""/>
      <w:lvlJc w:val="left"/>
      <w:pPr>
        <w:ind w:left="2880" w:hanging="360"/>
      </w:pPr>
      <w:rPr>
        <w:rFonts w:ascii="Symbol" w:hAnsi="Symbol" w:hint="default"/>
      </w:rPr>
    </w:lvl>
    <w:lvl w:ilvl="4" w:tplc="CA50F654" w:tentative="1">
      <w:start w:val="1"/>
      <w:numFmt w:val="bullet"/>
      <w:lvlText w:val="o"/>
      <w:lvlJc w:val="left"/>
      <w:pPr>
        <w:ind w:left="3600" w:hanging="360"/>
      </w:pPr>
      <w:rPr>
        <w:rFonts w:ascii="Courier New" w:hAnsi="Courier New" w:cs="Courier New" w:hint="default"/>
      </w:rPr>
    </w:lvl>
    <w:lvl w:ilvl="5" w:tplc="ACBAF032" w:tentative="1">
      <w:start w:val="1"/>
      <w:numFmt w:val="bullet"/>
      <w:lvlText w:val=""/>
      <w:lvlJc w:val="left"/>
      <w:pPr>
        <w:ind w:left="4320" w:hanging="360"/>
      </w:pPr>
      <w:rPr>
        <w:rFonts w:ascii="Wingdings" w:hAnsi="Wingdings" w:hint="default"/>
      </w:rPr>
    </w:lvl>
    <w:lvl w:ilvl="6" w:tplc="3B6021C0" w:tentative="1">
      <w:start w:val="1"/>
      <w:numFmt w:val="bullet"/>
      <w:lvlText w:val=""/>
      <w:lvlJc w:val="left"/>
      <w:pPr>
        <w:ind w:left="5040" w:hanging="360"/>
      </w:pPr>
      <w:rPr>
        <w:rFonts w:ascii="Symbol" w:hAnsi="Symbol" w:hint="default"/>
      </w:rPr>
    </w:lvl>
    <w:lvl w:ilvl="7" w:tplc="10B200DA" w:tentative="1">
      <w:start w:val="1"/>
      <w:numFmt w:val="bullet"/>
      <w:lvlText w:val="o"/>
      <w:lvlJc w:val="left"/>
      <w:pPr>
        <w:ind w:left="5760" w:hanging="360"/>
      </w:pPr>
      <w:rPr>
        <w:rFonts w:ascii="Courier New" w:hAnsi="Courier New" w:cs="Courier New" w:hint="default"/>
      </w:rPr>
    </w:lvl>
    <w:lvl w:ilvl="8" w:tplc="1A56C560" w:tentative="1">
      <w:start w:val="1"/>
      <w:numFmt w:val="bullet"/>
      <w:lvlText w:val=""/>
      <w:lvlJc w:val="left"/>
      <w:pPr>
        <w:ind w:left="6480" w:hanging="360"/>
      </w:pPr>
      <w:rPr>
        <w:rFonts w:ascii="Wingdings" w:hAnsi="Wingdings" w:hint="default"/>
      </w:rPr>
    </w:lvl>
  </w:abstractNum>
  <w:abstractNum w:abstractNumId="13">
    <w:nsid w:val="5DB825B9"/>
    <w:multiLevelType w:val="hybridMultilevel"/>
    <w:tmpl w:val="DB4CA0AC"/>
    <w:lvl w:ilvl="0" w:tplc="05E685E0">
      <w:start w:val="1"/>
      <w:numFmt w:val="bullet"/>
      <w:lvlText w:val=""/>
      <w:lvlJc w:val="left"/>
      <w:pPr>
        <w:ind w:left="720" w:hanging="360"/>
      </w:pPr>
      <w:rPr>
        <w:rFonts w:ascii="Symbol" w:hAnsi="Symbol" w:hint="default"/>
      </w:rPr>
    </w:lvl>
    <w:lvl w:ilvl="1" w:tplc="5D865622" w:tentative="1">
      <w:start w:val="1"/>
      <w:numFmt w:val="bullet"/>
      <w:lvlText w:val="o"/>
      <w:lvlJc w:val="left"/>
      <w:pPr>
        <w:ind w:left="1440" w:hanging="360"/>
      </w:pPr>
      <w:rPr>
        <w:rFonts w:ascii="Courier New" w:hAnsi="Courier New" w:cs="Courier New" w:hint="default"/>
      </w:rPr>
    </w:lvl>
    <w:lvl w:ilvl="2" w:tplc="BB8220E8" w:tentative="1">
      <w:start w:val="1"/>
      <w:numFmt w:val="bullet"/>
      <w:lvlText w:val=""/>
      <w:lvlJc w:val="left"/>
      <w:pPr>
        <w:ind w:left="2160" w:hanging="360"/>
      </w:pPr>
      <w:rPr>
        <w:rFonts w:ascii="Wingdings" w:hAnsi="Wingdings" w:hint="default"/>
      </w:rPr>
    </w:lvl>
    <w:lvl w:ilvl="3" w:tplc="CE345E7C" w:tentative="1">
      <w:start w:val="1"/>
      <w:numFmt w:val="bullet"/>
      <w:lvlText w:val=""/>
      <w:lvlJc w:val="left"/>
      <w:pPr>
        <w:ind w:left="2880" w:hanging="360"/>
      </w:pPr>
      <w:rPr>
        <w:rFonts w:ascii="Symbol" w:hAnsi="Symbol" w:hint="default"/>
      </w:rPr>
    </w:lvl>
    <w:lvl w:ilvl="4" w:tplc="10D4EEAA" w:tentative="1">
      <w:start w:val="1"/>
      <w:numFmt w:val="bullet"/>
      <w:lvlText w:val="o"/>
      <w:lvlJc w:val="left"/>
      <w:pPr>
        <w:ind w:left="3600" w:hanging="360"/>
      </w:pPr>
      <w:rPr>
        <w:rFonts w:ascii="Courier New" w:hAnsi="Courier New" w:cs="Courier New" w:hint="default"/>
      </w:rPr>
    </w:lvl>
    <w:lvl w:ilvl="5" w:tplc="74A8C562" w:tentative="1">
      <w:start w:val="1"/>
      <w:numFmt w:val="bullet"/>
      <w:lvlText w:val=""/>
      <w:lvlJc w:val="left"/>
      <w:pPr>
        <w:ind w:left="4320" w:hanging="360"/>
      </w:pPr>
      <w:rPr>
        <w:rFonts w:ascii="Wingdings" w:hAnsi="Wingdings" w:hint="default"/>
      </w:rPr>
    </w:lvl>
    <w:lvl w:ilvl="6" w:tplc="F9028D7C" w:tentative="1">
      <w:start w:val="1"/>
      <w:numFmt w:val="bullet"/>
      <w:lvlText w:val=""/>
      <w:lvlJc w:val="left"/>
      <w:pPr>
        <w:ind w:left="5040" w:hanging="360"/>
      </w:pPr>
      <w:rPr>
        <w:rFonts w:ascii="Symbol" w:hAnsi="Symbol" w:hint="default"/>
      </w:rPr>
    </w:lvl>
    <w:lvl w:ilvl="7" w:tplc="5082E614" w:tentative="1">
      <w:start w:val="1"/>
      <w:numFmt w:val="bullet"/>
      <w:lvlText w:val="o"/>
      <w:lvlJc w:val="left"/>
      <w:pPr>
        <w:ind w:left="5760" w:hanging="360"/>
      </w:pPr>
      <w:rPr>
        <w:rFonts w:ascii="Courier New" w:hAnsi="Courier New" w:cs="Courier New" w:hint="default"/>
      </w:rPr>
    </w:lvl>
    <w:lvl w:ilvl="8" w:tplc="1C32FF88" w:tentative="1">
      <w:start w:val="1"/>
      <w:numFmt w:val="bullet"/>
      <w:lvlText w:val=""/>
      <w:lvlJc w:val="left"/>
      <w:pPr>
        <w:ind w:left="6480" w:hanging="360"/>
      </w:pPr>
      <w:rPr>
        <w:rFonts w:ascii="Wingdings" w:hAnsi="Wingdings" w:hint="default"/>
      </w:rPr>
    </w:lvl>
  </w:abstractNum>
  <w:abstractNum w:abstractNumId="14">
    <w:nsid w:val="70C46903"/>
    <w:multiLevelType w:val="multilevel"/>
    <w:tmpl w:val="C4CEA0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75F204FE"/>
    <w:multiLevelType w:val="hybridMultilevel"/>
    <w:tmpl w:val="851C0B3E"/>
    <w:lvl w:ilvl="0" w:tplc="16586E7C">
      <w:start w:val="1"/>
      <w:numFmt w:val="bullet"/>
      <w:lvlText w:val=""/>
      <w:lvlJc w:val="left"/>
      <w:pPr>
        <w:ind w:left="720" w:hanging="360"/>
      </w:pPr>
      <w:rPr>
        <w:rFonts w:ascii="Symbol" w:hAnsi="Symbol" w:hint="default"/>
      </w:rPr>
    </w:lvl>
    <w:lvl w:ilvl="1" w:tplc="E536F59A" w:tentative="1">
      <w:start w:val="1"/>
      <w:numFmt w:val="bullet"/>
      <w:lvlText w:val="o"/>
      <w:lvlJc w:val="left"/>
      <w:pPr>
        <w:ind w:left="1440" w:hanging="360"/>
      </w:pPr>
      <w:rPr>
        <w:rFonts w:ascii="Courier New" w:hAnsi="Courier New" w:cs="Courier New" w:hint="default"/>
      </w:rPr>
    </w:lvl>
    <w:lvl w:ilvl="2" w:tplc="DA6E3D94" w:tentative="1">
      <w:start w:val="1"/>
      <w:numFmt w:val="bullet"/>
      <w:lvlText w:val=""/>
      <w:lvlJc w:val="left"/>
      <w:pPr>
        <w:ind w:left="2160" w:hanging="360"/>
      </w:pPr>
      <w:rPr>
        <w:rFonts w:ascii="Wingdings" w:hAnsi="Wingdings" w:hint="default"/>
      </w:rPr>
    </w:lvl>
    <w:lvl w:ilvl="3" w:tplc="E5A6B3B2" w:tentative="1">
      <w:start w:val="1"/>
      <w:numFmt w:val="bullet"/>
      <w:lvlText w:val=""/>
      <w:lvlJc w:val="left"/>
      <w:pPr>
        <w:ind w:left="2880" w:hanging="360"/>
      </w:pPr>
      <w:rPr>
        <w:rFonts w:ascii="Symbol" w:hAnsi="Symbol" w:hint="default"/>
      </w:rPr>
    </w:lvl>
    <w:lvl w:ilvl="4" w:tplc="20B2BAD8" w:tentative="1">
      <w:start w:val="1"/>
      <w:numFmt w:val="bullet"/>
      <w:lvlText w:val="o"/>
      <w:lvlJc w:val="left"/>
      <w:pPr>
        <w:ind w:left="3600" w:hanging="360"/>
      </w:pPr>
      <w:rPr>
        <w:rFonts w:ascii="Courier New" w:hAnsi="Courier New" w:cs="Courier New" w:hint="default"/>
      </w:rPr>
    </w:lvl>
    <w:lvl w:ilvl="5" w:tplc="904C4316" w:tentative="1">
      <w:start w:val="1"/>
      <w:numFmt w:val="bullet"/>
      <w:lvlText w:val=""/>
      <w:lvlJc w:val="left"/>
      <w:pPr>
        <w:ind w:left="4320" w:hanging="360"/>
      </w:pPr>
      <w:rPr>
        <w:rFonts w:ascii="Wingdings" w:hAnsi="Wingdings" w:hint="default"/>
      </w:rPr>
    </w:lvl>
    <w:lvl w:ilvl="6" w:tplc="229046D6" w:tentative="1">
      <w:start w:val="1"/>
      <w:numFmt w:val="bullet"/>
      <w:lvlText w:val=""/>
      <w:lvlJc w:val="left"/>
      <w:pPr>
        <w:ind w:left="5040" w:hanging="360"/>
      </w:pPr>
      <w:rPr>
        <w:rFonts w:ascii="Symbol" w:hAnsi="Symbol" w:hint="default"/>
      </w:rPr>
    </w:lvl>
    <w:lvl w:ilvl="7" w:tplc="E23827D6" w:tentative="1">
      <w:start w:val="1"/>
      <w:numFmt w:val="bullet"/>
      <w:lvlText w:val="o"/>
      <w:lvlJc w:val="left"/>
      <w:pPr>
        <w:ind w:left="5760" w:hanging="360"/>
      </w:pPr>
      <w:rPr>
        <w:rFonts w:ascii="Courier New" w:hAnsi="Courier New" w:cs="Courier New" w:hint="default"/>
      </w:rPr>
    </w:lvl>
    <w:lvl w:ilvl="8" w:tplc="C846B114" w:tentative="1">
      <w:start w:val="1"/>
      <w:numFmt w:val="bullet"/>
      <w:lvlText w:val=""/>
      <w:lvlJc w:val="left"/>
      <w:pPr>
        <w:ind w:left="6480" w:hanging="360"/>
      </w:pPr>
      <w:rPr>
        <w:rFonts w:ascii="Wingdings" w:hAnsi="Wingdings" w:hint="default"/>
      </w:rPr>
    </w:lvl>
  </w:abstractNum>
  <w:abstractNum w:abstractNumId="16">
    <w:nsid w:val="788A130D"/>
    <w:multiLevelType w:val="hybridMultilevel"/>
    <w:tmpl w:val="0784A66A"/>
    <w:lvl w:ilvl="0" w:tplc="4DBC8D10">
      <w:start w:val="1"/>
      <w:numFmt w:val="bullet"/>
      <w:lvlText w:val=""/>
      <w:lvlJc w:val="left"/>
      <w:pPr>
        <w:ind w:left="720" w:hanging="360"/>
      </w:pPr>
      <w:rPr>
        <w:rFonts w:ascii="Symbol" w:hAnsi="Symbol" w:hint="default"/>
      </w:rPr>
    </w:lvl>
    <w:lvl w:ilvl="1" w:tplc="31BA2F36" w:tentative="1">
      <w:start w:val="1"/>
      <w:numFmt w:val="bullet"/>
      <w:lvlText w:val="o"/>
      <w:lvlJc w:val="left"/>
      <w:pPr>
        <w:ind w:left="1440" w:hanging="360"/>
      </w:pPr>
      <w:rPr>
        <w:rFonts w:ascii="Courier New" w:hAnsi="Courier New" w:cs="Courier New" w:hint="default"/>
      </w:rPr>
    </w:lvl>
    <w:lvl w:ilvl="2" w:tplc="9F5E5C26" w:tentative="1">
      <w:start w:val="1"/>
      <w:numFmt w:val="bullet"/>
      <w:lvlText w:val=""/>
      <w:lvlJc w:val="left"/>
      <w:pPr>
        <w:ind w:left="2160" w:hanging="360"/>
      </w:pPr>
      <w:rPr>
        <w:rFonts w:ascii="Wingdings" w:hAnsi="Wingdings" w:hint="default"/>
      </w:rPr>
    </w:lvl>
    <w:lvl w:ilvl="3" w:tplc="83F82BBA" w:tentative="1">
      <w:start w:val="1"/>
      <w:numFmt w:val="bullet"/>
      <w:lvlText w:val=""/>
      <w:lvlJc w:val="left"/>
      <w:pPr>
        <w:ind w:left="2880" w:hanging="360"/>
      </w:pPr>
      <w:rPr>
        <w:rFonts w:ascii="Symbol" w:hAnsi="Symbol" w:hint="default"/>
      </w:rPr>
    </w:lvl>
    <w:lvl w:ilvl="4" w:tplc="D020F3BE" w:tentative="1">
      <w:start w:val="1"/>
      <w:numFmt w:val="bullet"/>
      <w:lvlText w:val="o"/>
      <w:lvlJc w:val="left"/>
      <w:pPr>
        <w:ind w:left="3600" w:hanging="360"/>
      </w:pPr>
      <w:rPr>
        <w:rFonts w:ascii="Courier New" w:hAnsi="Courier New" w:cs="Courier New" w:hint="default"/>
      </w:rPr>
    </w:lvl>
    <w:lvl w:ilvl="5" w:tplc="56D0D752" w:tentative="1">
      <w:start w:val="1"/>
      <w:numFmt w:val="bullet"/>
      <w:lvlText w:val=""/>
      <w:lvlJc w:val="left"/>
      <w:pPr>
        <w:ind w:left="4320" w:hanging="360"/>
      </w:pPr>
      <w:rPr>
        <w:rFonts w:ascii="Wingdings" w:hAnsi="Wingdings" w:hint="default"/>
      </w:rPr>
    </w:lvl>
    <w:lvl w:ilvl="6" w:tplc="F668B500" w:tentative="1">
      <w:start w:val="1"/>
      <w:numFmt w:val="bullet"/>
      <w:lvlText w:val=""/>
      <w:lvlJc w:val="left"/>
      <w:pPr>
        <w:ind w:left="5040" w:hanging="360"/>
      </w:pPr>
      <w:rPr>
        <w:rFonts w:ascii="Symbol" w:hAnsi="Symbol" w:hint="default"/>
      </w:rPr>
    </w:lvl>
    <w:lvl w:ilvl="7" w:tplc="4796C89C" w:tentative="1">
      <w:start w:val="1"/>
      <w:numFmt w:val="bullet"/>
      <w:lvlText w:val="o"/>
      <w:lvlJc w:val="left"/>
      <w:pPr>
        <w:ind w:left="5760" w:hanging="360"/>
      </w:pPr>
      <w:rPr>
        <w:rFonts w:ascii="Courier New" w:hAnsi="Courier New" w:cs="Courier New" w:hint="default"/>
      </w:rPr>
    </w:lvl>
    <w:lvl w:ilvl="8" w:tplc="99083EE0" w:tentative="1">
      <w:start w:val="1"/>
      <w:numFmt w:val="bullet"/>
      <w:lvlText w:val=""/>
      <w:lvlJc w:val="left"/>
      <w:pPr>
        <w:ind w:left="6480" w:hanging="360"/>
      </w:pPr>
      <w:rPr>
        <w:rFonts w:ascii="Wingdings" w:hAnsi="Wingdings" w:hint="default"/>
      </w:rPr>
    </w:lvl>
  </w:abstractNum>
  <w:abstractNum w:abstractNumId="17">
    <w:nsid w:val="7BC0538A"/>
    <w:multiLevelType w:val="hybridMultilevel"/>
    <w:tmpl w:val="5B68001C"/>
    <w:lvl w:ilvl="0" w:tplc="912240B6">
      <w:start w:val="1"/>
      <w:numFmt w:val="bullet"/>
      <w:lvlText w:val=""/>
      <w:lvlJc w:val="left"/>
      <w:pPr>
        <w:ind w:left="720" w:hanging="360"/>
      </w:pPr>
      <w:rPr>
        <w:rFonts w:ascii="Symbol" w:hAnsi="Symbol" w:hint="default"/>
      </w:rPr>
    </w:lvl>
    <w:lvl w:ilvl="1" w:tplc="1BF036AE" w:tentative="1">
      <w:start w:val="1"/>
      <w:numFmt w:val="bullet"/>
      <w:lvlText w:val="o"/>
      <w:lvlJc w:val="left"/>
      <w:pPr>
        <w:ind w:left="1440" w:hanging="360"/>
      </w:pPr>
      <w:rPr>
        <w:rFonts w:ascii="Courier New" w:hAnsi="Courier New" w:cs="Courier New" w:hint="default"/>
      </w:rPr>
    </w:lvl>
    <w:lvl w:ilvl="2" w:tplc="FCC4712E" w:tentative="1">
      <w:start w:val="1"/>
      <w:numFmt w:val="bullet"/>
      <w:lvlText w:val=""/>
      <w:lvlJc w:val="left"/>
      <w:pPr>
        <w:ind w:left="2160" w:hanging="360"/>
      </w:pPr>
      <w:rPr>
        <w:rFonts w:ascii="Wingdings" w:hAnsi="Wingdings" w:hint="default"/>
      </w:rPr>
    </w:lvl>
    <w:lvl w:ilvl="3" w:tplc="699E6CBE" w:tentative="1">
      <w:start w:val="1"/>
      <w:numFmt w:val="bullet"/>
      <w:lvlText w:val=""/>
      <w:lvlJc w:val="left"/>
      <w:pPr>
        <w:ind w:left="2880" w:hanging="360"/>
      </w:pPr>
      <w:rPr>
        <w:rFonts w:ascii="Symbol" w:hAnsi="Symbol" w:hint="default"/>
      </w:rPr>
    </w:lvl>
    <w:lvl w:ilvl="4" w:tplc="15441E5A" w:tentative="1">
      <w:start w:val="1"/>
      <w:numFmt w:val="bullet"/>
      <w:lvlText w:val="o"/>
      <w:lvlJc w:val="left"/>
      <w:pPr>
        <w:ind w:left="3600" w:hanging="360"/>
      </w:pPr>
      <w:rPr>
        <w:rFonts w:ascii="Courier New" w:hAnsi="Courier New" w:cs="Courier New" w:hint="default"/>
      </w:rPr>
    </w:lvl>
    <w:lvl w:ilvl="5" w:tplc="EC2CE184" w:tentative="1">
      <w:start w:val="1"/>
      <w:numFmt w:val="bullet"/>
      <w:lvlText w:val=""/>
      <w:lvlJc w:val="left"/>
      <w:pPr>
        <w:ind w:left="4320" w:hanging="360"/>
      </w:pPr>
      <w:rPr>
        <w:rFonts w:ascii="Wingdings" w:hAnsi="Wingdings" w:hint="default"/>
      </w:rPr>
    </w:lvl>
    <w:lvl w:ilvl="6" w:tplc="33CECE68" w:tentative="1">
      <w:start w:val="1"/>
      <w:numFmt w:val="bullet"/>
      <w:lvlText w:val=""/>
      <w:lvlJc w:val="left"/>
      <w:pPr>
        <w:ind w:left="5040" w:hanging="360"/>
      </w:pPr>
      <w:rPr>
        <w:rFonts w:ascii="Symbol" w:hAnsi="Symbol" w:hint="default"/>
      </w:rPr>
    </w:lvl>
    <w:lvl w:ilvl="7" w:tplc="EE26A81E" w:tentative="1">
      <w:start w:val="1"/>
      <w:numFmt w:val="bullet"/>
      <w:lvlText w:val="o"/>
      <w:lvlJc w:val="left"/>
      <w:pPr>
        <w:ind w:left="5760" w:hanging="360"/>
      </w:pPr>
      <w:rPr>
        <w:rFonts w:ascii="Courier New" w:hAnsi="Courier New" w:cs="Courier New" w:hint="default"/>
      </w:rPr>
    </w:lvl>
    <w:lvl w:ilvl="8" w:tplc="2890892E"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11"/>
  </w:num>
  <w:num w:numId="5">
    <w:abstractNumId w:val="1"/>
  </w:num>
  <w:num w:numId="6">
    <w:abstractNumId w:val="6"/>
  </w:num>
  <w:num w:numId="7">
    <w:abstractNumId w:val="10"/>
  </w:num>
  <w:num w:numId="8">
    <w:abstractNumId w:val="3"/>
  </w:num>
  <w:num w:numId="9">
    <w:abstractNumId w:val="14"/>
  </w:num>
  <w:num w:numId="10">
    <w:abstractNumId w:val="8"/>
  </w:num>
  <w:num w:numId="11">
    <w:abstractNumId w:val="16"/>
  </w:num>
  <w:num w:numId="12">
    <w:abstractNumId w:val="15"/>
  </w:num>
  <w:num w:numId="13">
    <w:abstractNumId w:val="13"/>
  </w:num>
  <w:num w:numId="14">
    <w:abstractNumId w:val="17"/>
  </w:num>
  <w:num w:numId="15">
    <w:abstractNumId w:val="12"/>
  </w:num>
  <w:num w:numId="16">
    <w:abstractNumId w:val="5"/>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7F1"/>
    <w:rsid w:val="000D27D7"/>
    <w:rsid w:val="000D7F14"/>
    <w:rsid w:val="001C12F9"/>
    <w:rsid w:val="00244145"/>
    <w:rsid w:val="002627F1"/>
    <w:rsid w:val="002A2FCA"/>
    <w:rsid w:val="003B5F7E"/>
    <w:rsid w:val="004514D5"/>
    <w:rsid w:val="0047034D"/>
    <w:rsid w:val="004755B4"/>
    <w:rsid w:val="00646C23"/>
    <w:rsid w:val="00752C5A"/>
    <w:rsid w:val="00843CEF"/>
    <w:rsid w:val="009810FD"/>
    <w:rsid w:val="009A2336"/>
    <w:rsid w:val="009F3561"/>
    <w:rsid w:val="00BD02EF"/>
    <w:rsid w:val="00DE1CF2"/>
    <w:rsid w:val="00E867D6"/>
    <w:rsid w:val="00E87E26"/>
    <w:rsid w:val="00F40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E5F"/>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B40E5F"/>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FootnoteTextChar">
    <w:name w:val="Footnote Text Char"/>
    <w:basedOn w:val="DefaultParagraphFont"/>
    <w:link w:val="FootnoteText"/>
    <w:semiHidden/>
    <w:rsid w:val="00B40E5F"/>
    <w:rPr>
      <w:rFonts w:ascii="Arial" w:eastAsia="SimSun" w:hAnsi="Arial" w:cs="Arial"/>
      <w:lang w:eastAsia="zh-CN"/>
    </w:rPr>
  </w:style>
  <w:style w:type="character" w:styleId="Hyperlink">
    <w:name w:val="Hyperlink"/>
    <w:basedOn w:val="DefaultParagraphFont"/>
    <w:uiPriority w:val="99"/>
    <w:rsid w:val="00621DF1"/>
    <w:rPr>
      <w:rFonts w:eastAsiaTheme="minorHAnsi" w:cs="Times New Roman"/>
      <w:lang w:val="en-AU" w:eastAsia="en-US"/>
    </w:rPr>
  </w:style>
  <w:style w:type="character" w:styleId="FootnoteReference">
    <w:name w:val="footnote reference"/>
    <w:basedOn w:val="DefaultParagraphFont"/>
    <w:rsid w:val="006720DC"/>
    <w:rPr>
      <w:vertAlign w:val="superscript"/>
    </w:rPr>
  </w:style>
  <w:style w:type="character" w:customStyle="1" w:styleId="InsertedText">
    <w:name w:val="Inserted Text"/>
    <w:qFormat/>
    <w:rsid w:val="006720DC"/>
    <w:rPr>
      <w:color w:val="0000FF"/>
      <w:u w:val="single"/>
    </w:rPr>
  </w:style>
  <w:style w:type="paragraph" w:customStyle="1" w:styleId="SectionHeading">
    <w:name w:val="Section Heading"/>
    <w:basedOn w:val="Heading1"/>
    <w:link w:val="SectionHeadingChar"/>
    <w:qFormat/>
    <w:rsid w:val="006720DC"/>
    <w:pPr>
      <w:pBdr>
        <w:top w:val="single" w:sz="4" w:space="1" w:color="auto"/>
        <w:bottom w:val="single" w:sz="4" w:space="1" w:color="auto"/>
      </w:pBdr>
      <w:spacing w:before="360" w:after="200"/>
    </w:pPr>
  </w:style>
  <w:style w:type="character" w:customStyle="1" w:styleId="SectionHeadingChar">
    <w:name w:val="Section Heading Char"/>
    <w:basedOn w:val="DefaultParagraphFont"/>
    <w:link w:val="SectionHeading"/>
    <w:rsid w:val="006720DC"/>
    <w:rPr>
      <w:rFonts w:ascii="Arial" w:eastAsia="SimSun" w:hAnsi="Arial" w:cs="Arial"/>
      <w:b/>
      <w:bCs/>
      <w:caps/>
      <w:kern w:val="32"/>
      <w:sz w:val="22"/>
      <w:szCs w:val="32"/>
      <w:lang w:eastAsia="zh-CN"/>
    </w:rPr>
  </w:style>
  <w:style w:type="paragraph" w:styleId="ListParagraph">
    <w:name w:val="List Paragraph"/>
    <w:basedOn w:val="Normal"/>
    <w:uiPriority w:val="34"/>
    <w:qFormat/>
    <w:rsid w:val="006720DC"/>
    <w:pPr>
      <w:ind w:left="720"/>
      <w:contextualSpacing/>
    </w:pPr>
  </w:style>
  <w:style w:type="paragraph" w:customStyle="1" w:styleId="Style1">
    <w:name w:val="Style1"/>
    <w:basedOn w:val="Normal"/>
    <w:uiPriority w:val="99"/>
    <w:rsid w:val="00E87E26"/>
    <w:pPr>
      <w:widowControl w:val="0"/>
      <w:autoSpaceDE w:val="0"/>
      <w:autoSpaceDN w:val="0"/>
      <w:adjustRightInd w:val="0"/>
    </w:pPr>
    <w:rPr>
      <w:rFonts w:ascii="Franklin Gothic Heavy" w:eastAsiaTheme="minorEastAsia" w:hAnsi="Franklin Gothic Heavy" w:cstheme="minorBidi"/>
      <w:sz w:val="24"/>
      <w:szCs w:val="24"/>
      <w:lang w:val="en-GB" w:eastAsia="en-GB"/>
    </w:rPr>
  </w:style>
  <w:style w:type="paragraph" w:customStyle="1" w:styleId="Style4">
    <w:name w:val="Style4"/>
    <w:basedOn w:val="Normal"/>
    <w:uiPriority w:val="99"/>
    <w:rsid w:val="00E87E26"/>
    <w:pPr>
      <w:widowControl w:val="0"/>
      <w:autoSpaceDE w:val="0"/>
      <w:autoSpaceDN w:val="0"/>
      <w:adjustRightInd w:val="0"/>
    </w:pPr>
    <w:rPr>
      <w:rFonts w:ascii="Franklin Gothic Heavy" w:eastAsiaTheme="minorEastAsia" w:hAnsi="Franklin Gothic Heavy" w:cstheme="minorBidi"/>
      <w:sz w:val="24"/>
      <w:szCs w:val="24"/>
      <w:lang w:val="en-GB" w:eastAsia="en-GB"/>
    </w:rPr>
  </w:style>
  <w:style w:type="paragraph" w:customStyle="1" w:styleId="Style5">
    <w:name w:val="Style5"/>
    <w:basedOn w:val="Normal"/>
    <w:uiPriority w:val="99"/>
    <w:rsid w:val="00E87E26"/>
    <w:pPr>
      <w:widowControl w:val="0"/>
      <w:autoSpaceDE w:val="0"/>
      <w:autoSpaceDN w:val="0"/>
      <w:adjustRightInd w:val="0"/>
      <w:spacing w:line="165" w:lineRule="exact"/>
    </w:pPr>
    <w:rPr>
      <w:rFonts w:ascii="Franklin Gothic Heavy" w:eastAsiaTheme="minorEastAsia" w:hAnsi="Franklin Gothic Heavy" w:cstheme="minorBidi"/>
      <w:sz w:val="24"/>
      <w:szCs w:val="24"/>
      <w:lang w:val="en-GB" w:eastAsia="en-GB"/>
    </w:rPr>
  </w:style>
  <w:style w:type="paragraph" w:customStyle="1" w:styleId="Style6">
    <w:name w:val="Style6"/>
    <w:basedOn w:val="Normal"/>
    <w:uiPriority w:val="99"/>
    <w:rsid w:val="00E87E26"/>
    <w:pPr>
      <w:widowControl w:val="0"/>
      <w:autoSpaceDE w:val="0"/>
      <w:autoSpaceDN w:val="0"/>
      <w:adjustRightInd w:val="0"/>
      <w:spacing w:line="165" w:lineRule="exact"/>
      <w:jc w:val="right"/>
    </w:pPr>
    <w:rPr>
      <w:rFonts w:ascii="Franklin Gothic Heavy" w:eastAsiaTheme="minorEastAsia" w:hAnsi="Franklin Gothic Heavy" w:cstheme="minorBidi"/>
      <w:sz w:val="24"/>
      <w:szCs w:val="24"/>
      <w:lang w:val="en-GB" w:eastAsia="en-GB"/>
    </w:rPr>
  </w:style>
  <w:style w:type="character" w:customStyle="1" w:styleId="FontStyle11">
    <w:name w:val="Font Style11"/>
    <w:basedOn w:val="DefaultParagraphFont"/>
    <w:uiPriority w:val="99"/>
    <w:rsid w:val="00E87E26"/>
    <w:rPr>
      <w:rFonts w:ascii="Franklin Gothic Heavy" w:hAnsi="Franklin Gothic Heavy" w:cs="Franklin Gothic Heavy"/>
      <w:color w:val="000000"/>
      <w:spacing w:val="10"/>
      <w:sz w:val="22"/>
      <w:szCs w:val="22"/>
    </w:rPr>
  </w:style>
  <w:style w:type="character" w:customStyle="1" w:styleId="FontStyle12">
    <w:name w:val="Font Style12"/>
    <w:basedOn w:val="DefaultParagraphFont"/>
    <w:uiPriority w:val="99"/>
    <w:rsid w:val="00E87E26"/>
    <w:rPr>
      <w:rFonts w:ascii="Franklin Gothic Heavy" w:hAnsi="Franklin Gothic Heavy" w:cs="Franklin Gothic Heavy"/>
      <w:color w:val="000000"/>
      <w:sz w:val="18"/>
      <w:szCs w:val="18"/>
    </w:rPr>
  </w:style>
  <w:style w:type="character" w:customStyle="1" w:styleId="FontStyle13">
    <w:name w:val="Font Style13"/>
    <w:basedOn w:val="DefaultParagraphFont"/>
    <w:uiPriority w:val="99"/>
    <w:rsid w:val="00E87E26"/>
    <w:rPr>
      <w:rFonts w:ascii="Franklin Gothic Heavy" w:hAnsi="Franklin Gothic Heavy" w:cs="Franklin Gothic Heavy"/>
      <w:color w:val="000000"/>
      <w:sz w:val="14"/>
      <w:szCs w:val="14"/>
    </w:rPr>
  </w:style>
  <w:style w:type="character" w:customStyle="1" w:styleId="FontStyle14">
    <w:name w:val="Font Style14"/>
    <w:basedOn w:val="DefaultParagraphFont"/>
    <w:uiPriority w:val="99"/>
    <w:rsid w:val="00E87E26"/>
    <w:rPr>
      <w:rFonts w:ascii="Trebuchet MS" w:hAnsi="Trebuchet MS" w:cs="Trebuchet MS"/>
      <w:color w:val="000000"/>
      <w:spacing w:val="20"/>
      <w:sz w:val="10"/>
      <w:szCs w:val="10"/>
    </w:rPr>
  </w:style>
  <w:style w:type="character" w:customStyle="1" w:styleId="FontStyle15">
    <w:name w:val="Font Style15"/>
    <w:basedOn w:val="DefaultParagraphFont"/>
    <w:uiPriority w:val="99"/>
    <w:rsid w:val="00E87E26"/>
    <w:rPr>
      <w:rFonts w:ascii="Franklin Gothic Heavy" w:hAnsi="Franklin Gothic Heavy" w:cs="Franklin Gothic Heavy"/>
      <w:color w:val="000000"/>
      <w:sz w:val="16"/>
      <w:szCs w:val="16"/>
    </w:rPr>
  </w:style>
  <w:style w:type="table" w:styleId="TableGrid">
    <w:name w:val="Table Grid"/>
    <w:basedOn w:val="TableNormal"/>
    <w:uiPriority w:val="39"/>
    <w:rsid w:val="00E87E26"/>
    <w:rPr>
      <w:rFonts w:ascii="Franklin Gothic Heavy" w:eastAsiaTheme="minorEastAsia" w:hAnsiTheme="minorHAnsi" w:cstheme="minorBid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Web 1"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E5F"/>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B40E5F"/>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FootnoteTextChar">
    <w:name w:val="Footnote Text Char"/>
    <w:basedOn w:val="DefaultParagraphFont"/>
    <w:link w:val="FootnoteText"/>
    <w:semiHidden/>
    <w:rsid w:val="00B40E5F"/>
    <w:rPr>
      <w:rFonts w:ascii="Arial" w:eastAsia="SimSun" w:hAnsi="Arial" w:cs="Arial"/>
      <w:lang w:eastAsia="zh-CN"/>
    </w:rPr>
  </w:style>
  <w:style w:type="character" w:styleId="Hyperlink">
    <w:name w:val="Hyperlink"/>
    <w:basedOn w:val="DefaultParagraphFont"/>
    <w:uiPriority w:val="99"/>
    <w:rsid w:val="00621DF1"/>
    <w:rPr>
      <w:rFonts w:eastAsiaTheme="minorHAnsi" w:cs="Times New Roman"/>
      <w:lang w:val="en-AU" w:eastAsia="en-US"/>
    </w:rPr>
  </w:style>
  <w:style w:type="character" w:styleId="FootnoteReference">
    <w:name w:val="footnote reference"/>
    <w:basedOn w:val="DefaultParagraphFont"/>
    <w:rsid w:val="006720DC"/>
    <w:rPr>
      <w:vertAlign w:val="superscript"/>
    </w:rPr>
  </w:style>
  <w:style w:type="character" w:customStyle="1" w:styleId="InsertedText">
    <w:name w:val="Inserted Text"/>
    <w:qFormat/>
    <w:rsid w:val="006720DC"/>
    <w:rPr>
      <w:color w:val="0000FF"/>
      <w:u w:val="single"/>
    </w:rPr>
  </w:style>
  <w:style w:type="paragraph" w:customStyle="1" w:styleId="SectionHeading">
    <w:name w:val="Section Heading"/>
    <w:basedOn w:val="Heading1"/>
    <w:link w:val="SectionHeadingChar"/>
    <w:qFormat/>
    <w:rsid w:val="006720DC"/>
    <w:pPr>
      <w:pBdr>
        <w:top w:val="single" w:sz="4" w:space="1" w:color="auto"/>
        <w:bottom w:val="single" w:sz="4" w:space="1" w:color="auto"/>
      </w:pBdr>
      <w:spacing w:before="360" w:after="200"/>
    </w:pPr>
  </w:style>
  <w:style w:type="character" w:customStyle="1" w:styleId="SectionHeadingChar">
    <w:name w:val="Section Heading Char"/>
    <w:basedOn w:val="DefaultParagraphFont"/>
    <w:link w:val="SectionHeading"/>
    <w:rsid w:val="006720DC"/>
    <w:rPr>
      <w:rFonts w:ascii="Arial" w:eastAsia="SimSun" w:hAnsi="Arial" w:cs="Arial"/>
      <w:b/>
      <w:bCs/>
      <w:caps/>
      <w:kern w:val="32"/>
      <w:sz w:val="22"/>
      <w:szCs w:val="32"/>
      <w:lang w:eastAsia="zh-CN"/>
    </w:rPr>
  </w:style>
  <w:style w:type="paragraph" w:styleId="ListParagraph">
    <w:name w:val="List Paragraph"/>
    <w:basedOn w:val="Normal"/>
    <w:uiPriority w:val="34"/>
    <w:qFormat/>
    <w:rsid w:val="006720DC"/>
    <w:pPr>
      <w:ind w:left="720"/>
      <w:contextualSpacing/>
    </w:pPr>
  </w:style>
  <w:style w:type="paragraph" w:customStyle="1" w:styleId="Style1">
    <w:name w:val="Style1"/>
    <w:basedOn w:val="Normal"/>
    <w:uiPriority w:val="99"/>
    <w:rsid w:val="00E87E26"/>
    <w:pPr>
      <w:widowControl w:val="0"/>
      <w:autoSpaceDE w:val="0"/>
      <w:autoSpaceDN w:val="0"/>
      <w:adjustRightInd w:val="0"/>
    </w:pPr>
    <w:rPr>
      <w:rFonts w:ascii="Franklin Gothic Heavy" w:eastAsiaTheme="minorEastAsia" w:hAnsi="Franklin Gothic Heavy" w:cstheme="minorBidi"/>
      <w:sz w:val="24"/>
      <w:szCs w:val="24"/>
      <w:lang w:val="en-GB" w:eastAsia="en-GB"/>
    </w:rPr>
  </w:style>
  <w:style w:type="paragraph" w:customStyle="1" w:styleId="Style4">
    <w:name w:val="Style4"/>
    <w:basedOn w:val="Normal"/>
    <w:uiPriority w:val="99"/>
    <w:rsid w:val="00E87E26"/>
    <w:pPr>
      <w:widowControl w:val="0"/>
      <w:autoSpaceDE w:val="0"/>
      <w:autoSpaceDN w:val="0"/>
      <w:adjustRightInd w:val="0"/>
    </w:pPr>
    <w:rPr>
      <w:rFonts w:ascii="Franklin Gothic Heavy" w:eastAsiaTheme="minorEastAsia" w:hAnsi="Franklin Gothic Heavy" w:cstheme="minorBidi"/>
      <w:sz w:val="24"/>
      <w:szCs w:val="24"/>
      <w:lang w:val="en-GB" w:eastAsia="en-GB"/>
    </w:rPr>
  </w:style>
  <w:style w:type="paragraph" w:customStyle="1" w:styleId="Style5">
    <w:name w:val="Style5"/>
    <w:basedOn w:val="Normal"/>
    <w:uiPriority w:val="99"/>
    <w:rsid w:val="00E87E26"/>
    <w:pPr>
      <w:widowControl w:val="0"/>
      <w:autoSpaceDE w:val="0"/>
      <w:autoSpaceDN w:val="0"/>
      <w:adjustRightInd w:val="0"/>
      <w:spacing w:line="165" w:lineRule="exact"/>
    </w:pPr>
    <w:rPr>
      <w:rFonts w:ascii="Franklin Gothic Heavy" w:eastAsiaTheme="minorEastAsia" w:hAnsi="Franklin Gothic Heavy" w:cstheme="minorBidi"/>
      <w:sz w:val="24"/>
      <w:szCs w:val="24"/>
      <w:lang w:val="en-GB" w:eastAsia="en-GB"/>
    </w:rPr>
  </w:style>
  <w:style w:type="paragraph" w:customStyle="1" w:styleId="Style6">
    <w:name w:val="Style6"/>
    <w:basedOn w:val="Normal"/>
    <w:uiPriority w:val="99"/>
    <w:rsid w:val="00E87E26"/>
    <w:pPr>
      <w:widowControl w:val="0"/>
      <w:autoSpaceDE w:val="0"/>
      <w:autoSpaceDN w:val="0"/>
      <w:adjustRightInd w:val="0"/>
      <w:spacing w:line="165" w:lineRule="exact"/>
      <w:jc w:val="right"/>
    </w:pPr>
    <w:rPr>
      <w:rFonts w:ascii="Franklin Gothic Heavy" w:eastAsiaTheme="minorEastAsia" w:hAnsi="Franklin Gothic Heavy" w:cstheme="minorBidi"/>
      <w:sz w:val="24"/>
      <w:szCs w:val="24"/>
      <w:lang w:val="en-GB" w:eastAsia="en-GB"/>
    </w:rPr>
  </w:style>
  <w:style w:type="character" w:customStyle="1" w:styleId="FontStyle11">
    <w:name w:val="Font Style11"/>
    <w:basedOn w:val="DefaultParagraphFont"/>
    <w:uiPriority w:val="99"/>
    <w:rsid w:val="00E87E26"/>
    <w:rPr>
      <w:rFonts w:ascii="Franklin Gothic Heavy" w:hAnsi="Franklin Gothic Heavy" w:cs="Franklin Gothic Heavy"/>
      <w:color w:val="000000"/>
      <w:spacing w:val="10"/>
      <w:sz w:val="22"/>
      <w:szCs w:val="22"/>
    </w:rPr>
  </w:style>
  <w:style w:type="character" w:customStyle="1" w:styleId="FontStyle12">
    <w:name w:val="Font Style12"/>
    <w:basedOn w:val="DefaultParagraphFont"/>
    <w:uiPriority w:val="99"/>
    <w:rsid w:val="00E87E26"/>
    <w:rPr>
      <w:rFonts w:ascii="Franklin Gothic Heavy" w:hAnsi="Franklin Gothic Heavy" w:cs="Franklin Gothic Heavy"/>
      <w:color w:val="000000"/>
      <w:sz w:val="18"/>
      <w:szCs w:val="18"/>
    </w:rPr>
  </w:style>
  <w:style w:type="character" w:customStyle="1" w:styleId="FontStyle13">
    <w:name w:val="Font Style13"/>
    <w:basedOn w:val="DefaultParagraphFont"/>
    <w:uiPriority w:val="99"/>
    <w:rsid w:val="00E87E26"/>
    <w:rPr>
      <w:rFonts w:ascii="Franklin Gothic Heavy" w:hAnsi="Franklin Gothic Heavy" w:cs="Franklin Gothic Heavy"/>
      <w:color w:val="000000"/>
      <w:sz w:val="14"/>
      <w:szCs w:val="14"/>
    </w:rPr>
  </w:style>
  <w:style w:type="character" w:customStyle="1" w:styleId="FontStyle14">
    <w:name w:val="Font Style14"/>
    <w:basedOn w:val="DefaultParagraphFont"/>
    <w:uiPriority w:val="99"/>
    <w:rsid w:val="00E87E26"/>
    <w:rPr>
      <w:rFonts w:ascii="Trebuchet MS" w:hAnsi="Trebuchet MS" w:cs="Trebuchet MS"/>
      <w:color w:val="000000"/>
      <w:spacing w:val="20"/>
      <w:sz w:val="10"/>
      <w:szCs w:val="10"/>
    </w:rPr>
  </w:style>
  <w:style w:type="character" w:customStyle="1" w:styleId="FontStyle15">
    <w:name w:val="Font Style15"/>
    <w:basedOn w:val="DefaultParagraphFont"/>
    <w:uiPriority w:val="99"/>
    <w:rsid w:val="00E87E26"/>
    <w:rPr>
      <w:rFonts w:ascii="Franklin Gothic Heavy" w:hAnsi="Franklin Gothic Heavy" w:cs="Franklin Gothic Heavy"/>
      <w:color w:val="000000"/>
      <w:sz w:val="16"/>
      <w:szCs w:val="16"/>
    </w:rPr>
  </w:style>
  <w:style w:type="table" w:styleId="TableGrid">
    <w:name w:val="Table Grid"/>
    <w:basedOn w:val="TableNormal"/>
    <w:uiPriority w:val="39"/>
    <w:rsid w:val="00E87E26"/>
    <w:rPr>
      <w:rFonts w:ascii="Franklin Gothic Heavy" w:eastAsiaTheme="minorEastAsia" w:hAnsiTheme="minorHAnsi" w:cstheme="minorBid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pct/en/quality/authoritie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tin.devlin@ipaustralia.gov.au"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ipaustralia.gov.au/tools-resources/publications---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D705C-7496-403F-BFB1-2958DCA29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4748</Words>
  <Characters>27065</Characters>
  <Application>Microsoft Office Word</Application>
  <DocSecurity>0</DocSecurity>
  <Lines>225</Lines>
  <Paragraphs>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PCT/CTC/30/4</vt:lpstr>
      <vt:lpstr>PCT/CTC/30/4</vt:lpstr>
    </vt:vector>
  </TitlesOfParts>
  <Company>WIPO</Company>
  <LinksUpToDate>false</LinksUpToDate>
  <CharactersWithSpaces>31750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PCT/CTC/30/4</dc:title>
  <dc:subject>Extension of Appointment of the Australian Patent Office as an International Searching and Preliminary Examining Authority Under the PCT</dc:subject>
  <dc:creator>MARLOW Thomas</dc:creator>
  <cp:lastModifiedBy>MARLOW Thomas</cp:lastModifiedBy>
  <cp:revision>2</cp:revision>
  <cp:lastPrinted>2017-02-28T14:25:00Z</cp:lastPrinted>
  <dcterms:created xsi:type="dcterms:W3CDTF">2017-04-04T07:37:00Z</dcterms:created>
  <dcterms:modified xsi:type="dcterms:W3CDTF">2017-04-04T07:37:00Z</dcterms:modified>
</cp:coreProperties>
</file>