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475AF" w:rsidP="00916EE2">
            <w:r>
              <w:rPr>
                <w:noProof/>
                <w:lang w:val="en-US" w:eastAsia="en-US"/>
              </w:rPr>
              <w:drawing>
                <wp:inline distT="0" distB="0" distL="0" distR="0" wp14:anchorId="7C7EF786" wp14:editId="23F0E5F4">
                  <wp:extent cx="1809750" cy="1343025"/>
                  <wp:effectExtent l="0" t="0" r="0" b="9525"/>
                  <wp:docPr id="1" name="Picture 1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IPO-R-BW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D078D" w:rsidP="00BD078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PCT/CTC/30/15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FF2C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16 марта 2017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BD078D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Договор о патентной кооперации (PCT)</w:t>
      </w:r>
    </w:p>
    <w:p w:rsidR="00BD078D" w:rsidRPr="003845C1" w:rsidRDefault="00BD078D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техническому сотрудничеству</w:t>
      </w:r>
    </w:p>
    <w:p w:rsidR="003845C1" w:rsidRDefault="003845C1" w:rsidP="003845C1"/>
    <w:p w:rsidR="003845C1" w:rsidRDefault="003845C1" w:rsidP="003845C1"/>
    <w:p w:rsidR="008B2CC1" w:rsidRPr="003845C1" w:rsidRDefault="00BD078D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Тридцатая сессия</w:t>
      </w:r>
    </w:p>
    <w:p w:rsidR="008B2CC1" w:rsidRPr="003845C1" w:rsidRDefault="00BD078D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Женева, 8–12 мая 2017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650A4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ПРОДЛЕНИЕ НАЗНАЧЕНИЯ ЯПОНСКОГО ПАТЕНТНОГО ВЕДОМСТВА В КАЧЕСТВЕ МЕЖДУНАРОДНОГО ПОИСКОВОГО ОРГАНА И ОРГАНА МЕЖДУНАРОДНОЙ ПРЕДВАРИТЕЛЬНОЙ ЭКСПЕРТИЗЫ В РАМКАХ PCT</w:t>
      </w:r>
    </w:p>
    <w:p w:rsidR="008B2CC1" w:rsidRPr="008B2CC1" w:rsidRDefault="008B2CC1" w:rsidP="008B2CC1"/>
    <w:p w:rsidR="008B2CC1" w:rsidRPr="008B2CC1" w:rsidRDefault="00C650A4" w:rsidP="008B2CC1">
      <w:pPr>
        <w:rPr>
          <w:i/>
        </w:rPr>
      </w:pPr>
      <w:bookmarkStart w:id="4" w:name="Prepared"/>
      <w:bookmarkEnd w:id="4"/>
      <w:r>
        <w:rPr>
          <w:i/>
        </w:rPr>
        <w:t>Документ подготовлен Международным бюро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5C40A3" w:rsidRDefault="00A93FC2" w:rsidP="005C40A3">
      <w:pPr>
        <w:pStyle w:val="ONUME"/>
      </w:pPr>
      <w:bookmarkStart w:id="5" w:name="_Ref447032909"/>
      <w:r>
        <w:t xml:space="preserve">Все действующие международные органы были назначены </w:t>
      </w:r>
      <w:r w:rsidRPr="0008006D">
        <w:t>Ассамблеей</w:t>
      </w:r>
      <w:r w:rsidR="00633446" w:rsidRPr="0008006D">
        <w:t xml:space="preserve"> </w:t>
      </w:r>
      <w:r w:rsidR="00633446" w:rsidRPr="0008006D">
        <w:rPr>
          <w:lang w:val="en-US"/>
        </w:rPr>
        <w:t>PCT</w:t>
      </w:r>
      <w:r w:rsidRPr="0008006D">
        <w:t xml:space="preserve"> на</w:t>
      </w:r>
      <w:r>
        <w:t xml:space="preserve"> срок, заканчивающийся 31 декабря 2017 г.  Как следствие, в 2017 г. Ассамблея должна будет принять решение о продлении назначения каждого из действующих международных органов, который пожелает получить продление срока своего назначения, и для этого предварительно запросить мнение Комитета (см. статьи PCT 16(3)(e) и 32(3)).</w:t>
      </w:r>
      <w:bookmarkEnd w:id="5"/>
      <w:r>
        <w:t xml:space="preserve">  Информация о данной процедуре и роли Комитета приводится в документе PCT/CTC/30/INF/1.</w:t>
      </w:r>
    </w:p>
    <w:p w:rsidR="005C40A3" w:rsidRDefault="00AA5F79" w:rsidP="005C40A3">
      <w:pPr>
        <w:pStyle w:val="ONUME"/>
      </w:pPr>
      <w:r>
        <w:t>8 марта 2017 г. Японское патентное ведомство подало заявление о продлении своего назначения в качестве Международного поискового органа и Органа международной предварительной экспертизы в рамках PCT.  Данное заявление воспроизводится в приложении к настоящему документу.</w:t>
      </w:r>
    </w:p>
    <w:p w:rsidR="005C40A3" w:rsidRPr="00AA5F79" w:rsidRDefault="00AA5F79" w:rsidP="0035027E">
      <w:pPr>
        <w:pStyle w:val="ONUME"/>
        <w:tabs>
          <w:tab w:val="left" w:pos="6096"/>
        </w:tabs>
        <w:ind w:left="5533"/>
        <w:rPr>
          <w:i/>
        </w:rPr>
      </w:pPr>
      <w:r>
        <w:rPr>
          <w:i/>
        </w:rPr>
        <w:t>Комитету предлагается высказать свое мнение по данному вопросу.</w:t>
      </w:r>
    </w:p>
    <w:p w:rsidR="00AA5F79" w:rsidRDefault="00AA5F79" w:rsidP="00AA5F79">
      <w:pPr>
        <w:pStyle w:val="ONUME"/>
        <w:numPr>
          <w:ilvl w:val="0"/>
          <w:numId w:val="0"/>
        </w:numPr>
      </w:pPr>
    </w:p>
    <w:p w:rsidR="00AA5F79" w:rsidRDefault="00AA5F79" w:rsidP="00AA5F79">
      <w:pPr>
        <w:pStyle w:val="ONUME"/>
        <w:numPr>
          <w:ilvl w:val="0"/>
          <w:numId w:val="0"/>
        </w:numPr>
        <w:ind w:left="5533"/>
        <w:sectPr w:rsidR="00AA5F79" w:rsidSect="00C650A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[Приложение следует]</w:t>
      </w:r>
    </w:p>
    <w:p w:rsidR="00AA5F79" w:rsidRPr="00AA5F79" w:rsidRDefault="00AA5F79" w:rsidP="00AA5F79">
      <w:pPr>
        <w:pStyle w:val="ONUME"/>
        <w:numPr>
          <w:ilvl w:val="0"/>
          <w:numId w:val="0"/>
        </w:numPr>
        <w:jc w:val="center"/>
        <w:rPr>
          <w:caps/>
        </w:rPr>
      </w:pPr>
      <w:r>
        <w:rPr>
          <w:caps/>
        </w:rPr>
        <w:lastRenderedPageBreak/>
        <w:t>ЗАЯВЛЕНИЕ ЯПОНСКОГО ПАТЕНТНОГО ВЕДОМСТВА О ПРОДЛЕНИИ ЕГО НАЗНАЧЕНИЯ В КАЧЕСТВЕ МЕЖДУНАРОДНОГО ПОИСКОВОГО ОРГАНА И ОРГАНА МЕЖДУНАРОДНОЙ ПРЕДВАРИТЕЛЬНОЙ ЭКСПЕРТИЗЫ В РАМКАХ PCT</w:t>
      </w:r>
    </w:p>
    <w:p w:rsidR="00AA5F79" w:rsidRPr="00F241A3" w:rsidRDefault="00AA5F79" w:rsidP="00F241A3"/>
    <w:p w:rsidR="002F15F0" w:rsidRPr="002F15F0" w:rsidRDefault="002F15F0" w:rsidP="002F15F0">
      <w:pPr>
        <w:pStyle w:val="SectionHeading"/>
      </w:pPr>
      <w:r>
        <w:t>1 – ОБЩИЕ СВЕДЕНИЯ</w:t>
      </w:r>
    </w:p>
    <w:p w:rsidR="002F15F0" w:rsidRPr="00C40657" w:rsidRDefault="002F15F0" w:rsidP="002F15F0">
      <w:pPr>
        <w:rPr>
          <w:b/>
          <w:bCs/>
          <w:szCs w:val="22"/>
        </w:rPr>
      </w:pPr>
      <w:r>
        <w:rPr>
          <w:b/>
          <w:bCs/>
          <w:szCs w:val="22"/>
        </w:rPr>
        <w:t xml:space="preserve">Название ведомства: </w:t>
      </w:r>
      <w:r>
        <w:t>Японское патентное ведомство</w:t>
      </w:r>
    </w:p>
    <w:p w:rsidR="002F15F0" w:rsidRPr="00C40657" w:rsidRDefault="002F15F0" w:rsidP="002F15F0">
      <w:pPr>
        <w:rPr>
          <w:szCs w:val="22"/>
        </w:rPr>
      </w:pPr>
    </w:p>
    <w:p w:rsidR="002F15F0" w:rsidRPr="00C40657" w:rsidRDefault="002F15F0" w:rsidP="002F15F0">
      <w:pPr>
        <w:rPr>
          <w:szCs w:val="22"/>
        </w:rPr>
      </w:pPr>
      <w:r>
        <w:rPr>
          <w:b/>
          <w:bCs/>
          <w:szCs w:val="22"/>
        </w:rPr>
        <w:t>Сессия Ассамблеи, на которой будет рассмотрен вопрос о повторном назначении:</w:t>
      </w:r>
      <w:r>
        <w:t xml:space="preserve"> 49-я. </w:t>
      </w:r>
    </w:p>
    <w:p w:rsidR="002F15F0" w:rsidRPr="00C40657" w:rsidRDefault="002F15F0" w:rsidP="002F15F0">
      <w:pPr>
        <w:rPr>
          <w:szCs w:val="22"/>
        </w:rPr>
      </w:pPr>
    </w:p>
    <w:p w:rsidR="002F15F0" w:rsidRPr="00C40657" w:rsidRDefault="002F15F0" w:rsidP="002F15F0">
      <w:pPr>
        <w:rPr>
          <w:szCs w:val="22"/>
        </w:rPr>
      </w:pPr>
      <w:r>
        <w:rPr>
          <w:b/>
          <w:bCs/>
          <w:szCs w:val="22"/>
        </w:rPr>
        <w:t>Предполагаемая дата возможного начала деятельности в качестве МПО/ОМПЭ:</w:t>
      </w:r>
      <w:r w:rsidR="0008006D">
        <w:t xml:space="preserve"> 1 января 2018 </w:t>
      </w:r>
      <w:r>
        <w:t xml:space="preserve">г. </w:t>
      </w:r>
    </w:p>
    <w:p w:rsidR="002F15F0" w:rsidRPr="00C40657" w:rsidRDefault="002F15F0" w:rsidP="002F15F0">
      <w:pPr>
        <w:rPr>
          <w:szCs w:val="22"/>
        </w:rPr>
      </w:pPr>
    </w:p>
    <w:p w:rsidR="002F15F0" w:rsidRPr="00C40657" w:rsidRDefault="002F15F0" w:rsidP="002F15F0">
      <w:pPr>
        <w:rPr>
          <w:szCs w:val="22"/>
        </w:rPr>
      </w:pPr>
      <w:r>
        <w:rPr>
          <w:b/>
          <w:bCs/>
          <w:szCs w:val="22"/>
        </w:rPr>
        <w:t xml:space="preserve">Контактное официальное лицо:  </w:t>
      </w:r>
      <w:r>
        <w:t>Тацуо Такэсиг</w:t>
      </w:r>
      <w:r w:rsidR="00633446">
        <w:t>э</w:t>
      </w:r>
      <w:r>
        <w:t>, директор отдела многосторонней политики, отделение международной политики</w:t>
      </w:r>
    </w:p>
    <w:p w:rsidR="002F15F0" w:rsidRPr="00C40657" w:rsidRDefault="002F15F0" w:rsidP="002F15F0">
      <w:pPr>
        <w:rPr>
          <w:szCs w:val="22"/>
        </w:rPr>
      </w:pPr>
    </w:p>
    <w:p w:rsidR="002F15F0" w:rsidRPr="00C40657" w:rsidRDefault="00633446" w:rsidP="002F15F0">
      <w:pPr>
        <w:rPr>
          <w:b/>
          <w:szCs w:val="22"/>
        </w:rPr>
      </w:pPr>
      <w:r>
        <w:rPr>
          <w:b/>
          <w:szCs w:val="22"/>
        </w:rPr>
        <w:t>Обоснование заявления</w:t>
      </w:r>
    </w:p>
    <w:p w:rsidR="002F15F0" w:rsidRPr="00C40657" w:rsidRDefault="002F15F0" w:rsidP="002F15F0">
      <w:pPr>
        <w:rPr>
          <w:szCs w:val="22"/>
        </w:rPr>
      </w:pPr>
    </w:p>
    <w:p w:rsidR="002F15F0" w:rsidRPr="002F15F0" w:rsidRDefault="002F15F0" w:rsidP="002F15F0">
      <w:r>
        <w:t xml:space="preserve">С момента присоединения к PCT и одновременного назначения в качестве МПО/ОМПЭ в 1978 г. Японское патентное ведомство (ЯПВ) является единственным </w:t>
      </w:r>
      <w:r w:rsidR="004B6EC4">
        <w:t xml:space="preserve">компетентным </w:t>
      </w:r>
      <w:r>
        <w:t>МПО/ОМПЭ, котор</w:t>
      </w:r>
      <w:r w:rsidR="004B6EC4">
        <w:t>ый</w:t>
      </w:r>
      <w:r>
        <w:t xml:space="preserve"> способ</w:t>
      </w:r>
      <w:r w:rsidR="004B6EC4">
        <w:t>е</w:t>
      </w:r>
      <w:r>
        <w:t>н проводить международный поиск и международную предварительную экспертизу на японском языке.  Кроме того, в 2001 г. ЯПВ начало проводить международный поиск на английском языке.  В настоящее время ведомство функционирует как компетентный МПО/ОМПЭ для международных заявок от резидентов и граждан Японии, а также для международных заявок, подаваемых в других 11 государствах-членах.</w:t>
      </w:r>
    </w:p>
    <w:p w:rsidR="002F15F0" w:rsidRPr="002F15F0" w:rsidRDefault="002F15F0" w:rsidP="002F15F0"/>
    <w:p w:rsidR="002F15F0" w:rsidRPr="002F15F0" w:rsidRDefault="002F15F0" w:rsidP="002F15F0">
      <w:r>
        <w:t>При проведении международного поиска и международной предварительной экспертизы по большому числу заявок PCT ЯПВ может обеспечить их своевременную обработку.  Пользователи, принимавшие участие в проводимых ЯПВ опросах по определению уровня удовлетворенности пользователей, неизменно высоко оценивали качество ОМП, которые готовит ЯПВ, и других результатов работы ведомства.</w:t>
      </w:r>
    </w:p>
    <w:p w:rsidR="002F15F0" w:rsidRPr="002F15F0" w:rsidRDefault="002F15F0" w:rsidP="002F15F0"/>
    <w:p w:rsidR="002F15F0" w:rsidRPr="002F15F0" w:rsidRDefault="002F15F0" w:rsidP="002F15F0">
      <w:r>
        <w:t>Более того, учитывая актуальн</w:t>
      </w:r>
      <w:r w:rsidR="00C37A54">
        <w:t>ость</w:t>
      </w:r>
      <w:r>
        <w:t xml:space="preserve"> задач</w:t>
      </w:r>
      <w:r w:rsidR="00C37A54">
        <w:t>и</w:t>
      </w:r>
      <w:r>
        <w:t xml:space="preserve"> </w:t>
      </w:r>
      <w:r w:rsidR="00C37A54">
        <w:t xml:space="preserve">по </w:t>
      </w:r>
      <w:r>
        <w:t>повышени</w:t>
      </w:r>
      <w:r w:rsidR="00C37A54">
        <w:t>ю</w:t>
      </w:r>
      <w:r>
        <w:t xml:space="preserve"> качества результатов работы на международной фазе PCT, ЯПВ активно занимается разработкой мер для достижения этой цели.  </w:t>
      </w:r>
    </w:p>
    <w:p w:rsidR="002F15F0" w:rsidRPr="002F15F0" w:rsidRDefault="002F15F0" w:rsidP="002F15F0"/>
    <w:p w:rsidR="002F15F0" w:rsidRPr="002F15F0" w:rsidRDefault="002F15F0" w:rsidP="002F15F0">
      <w:r>
        <w:t xml:space="preserve">Например, в 2015 г. ЯПВ выпустило </w:t>
      </w:r>
      <w:r w:rsidR="00C37A54">
        <w:t xml:space="preserve">для своих экспертов </w:t>
      </w:r>
      <w:r>
        <w:t>«Руководство по международному поиску и предварительной экспертизе PCT», чтобы оптимизировать процесс международного поиска и международной предварительной экспертизы, а также сделать сво</w:t>
      </w:r>
      <w:r w:rsidR="00664AE3">
        <w:t>ю</w:t>
      </w:r>
      <w:r>
        <w:t xml:space="preserve"> </w:t>
      </w:r>
      <w:r w:rsidR="00664AE3">
        <w:t xml:space="preserve">деятельность </w:t>
      </w:r>
      <w:r>
        <w:t>более прозрачн</w:t>
      </w:r>
      <w:r w:rsidR="00664AE3">
        <w:t>ой</w:t>
      </w:r>
      <w:r>
        <w:t xml:space="preserve"> для пользователей.  </w:t>
      </w:r>
    </w:p>
    <w:p w:rsidR="002F15F0" w:rsidRPr="002F15F0" w:rsidRDefault="002F15F0" w:rsidP="002F15F0"/>
    <w:p w:rsidR="002F15F0" w:rsidRPr="002F15F0" w:rsidRDefault="002F15F0" w:rsidP="002F15F0">
      <w:r>
        <w:t xml:space="preserve">Что касается взаимодействия с другими странами, то ЯПВ продолжало участвовать в различных мероприятиях по налаживанию сотрудничества, проводимых не только ВОИС, но и другими ведомствами ИС в рамках двусторонних и многосторонних механизмов, в том числе в рамках группы «IP5».  ЯПВ делилось своим опытом </w:t>
      </w:r>
      <w:r w:rsidR="00526B3F">
        <w:t xml:space="preserve">надлежащей организации работы в качестве МПО/ОМПЭ </w:t>
      </w:r>
      <w:r>
        <w:t xml:space="preserve">с ведомствами, которые недавно </w:t>
      </w:r>
      <w:r w:rsidR="00526B3F">
        <w:t>получили аналогичн</w:t>
      </w:r>
      <w:r w:rsidR="0008006D">
        <w:t>ое назначение.</w:t>
      </w:r>
    </w:p>
    <w:p w:rsidR="002F15F0" w:rsidRPr="002F15F0" w:rsidRDefault="002F15F0" w:rsidP="002F15F0"/>
    <w:p w:rsidR="002F15F0" w:rsidRPr="002F15F0" w:rsidRDefault="002F15F0" w:rsidP="002F15F0">
      <w:r>
        <w:t xml:space="preserve">По указанным выше причинам ЯПВ подает заявление на переназначение в качестве МПО/ОМПЭ.  ЯПВ </w:t>
      </w:r>
      <w:r w:rsidR="00BD5696">
        <w:t xml:space="preserve">рассчитывает на </w:t>
      </w:r>
      <w:r>
        <w:t>переназначени</w:t>
      </w:r>
      <w:r w:rsidR="00BD5696">
        <w:t>е</w:t>
      </w:r>
      <w:r>
        <w:t xml:space="preserve"> в качестве компетентного МПО/ОМПЭ и </w:t>
      </w:r>
      <w:r w:rsidR="00BD5696">
        <w:t xml:space="preserve">активно </w:t>
      </w:r>
      <w:r>
        <w:t>стремится продолжать проводимую им работу по дальнейшему развитию системы PCT.</w:t>
      </w:r>
    </w:p>
    <w:p w:rsidR="002F15F0" w:rsidRPr="00C40657" w:rsidRDefault="002F15F0" w:rsidP="002F15F0">
      <w:pPr>
        <w:pStyle w:val="SectionHeading"/>
      </w:pPr>
      <w:r>
        <w:t>2 – ОСНОВНЫЕ КРИТЕРИИ: МИНИМУМ ТРЕБОВАНИЙ ДЛЯ НАЗНАЧЕНИЯ</w:t>
      </w:r>
    </w:p>
    <w:p w:rsidR="002F15F0" w:rsidRPr="00C40657" w:rsidRDefault="002F15F0" w:rsidP="002F15F0">
      <w:pPr>
        <w:keepNext/>
      </w:pPr>
    </w:p>
    <w:p w:rsidR="002F15F0" w:rsidRPr="00C40657" w:rsidRDefault="002F15F0" w:rsidP="002F15F0">
      <w:pPr>
        <w:pStyle w:val="SectionHeading"/>
        <w:spacing w:before="0"/>
      </w:pPr>
      <w:r>
        <w:t>2.1 – ВОЗМОЖНОСТИ ДЛЯ ПРОВЕДЕНИЯ ПОИСКА И ЭКСПЕРТИЗЫ</w:t>
      </w:r>
    </w:p>
    <w:p w:rsidR="002F15F0" w:rsidRPr="00C40657" w:rsidRDefault="002F15F0" w:rsidP="002F15F0">
      <w:pPr>
        <w:rPr>
          <w:b/>
          <w:bCs/>
          <w:i/>
          <w:iCs/>
        </w:rPr>
      </w:pPr>
      <w:r>
        <w:rPr>
          <w:b/>
          <w:bCs/>
          <w:i/>
          <w:iCs/>
        </w:rPr>
        <w:t>Правила 36.1(i) и 63.1(i): национальное ведомство или межправительственная организация должна иметь, по крайней мере, 100 сотрудников, занятых полную рабочую неделю и обладающих достаточной технической квалификацией для проведения поиска и экспертизы.</w:t>
      </w:r>
    </w:p>
    <w:p w:rsidR="002F15F0" w:rsidRPr="00C40657" w:rsidRDefault="002F15F0" w:rsidP="002F15F0">
      <w:pPr>
        <w:rPr>
          <w:b/>
          <w:bCs/>
          <w:i/>
          <w:iCs/>
        </w:rPr>
      </w:pPr>
    </w:p>
    <w:p w:rsidR="002F15F0" w:rsidRPr="002F15F0" w:rsidRDefault="002F15F0" w:rsidP="002F15F0">
      <w:pPr>
        <w:keepNext/>
        <w:keepLines/>
        <w:rPr>
          <w:b/>
          <w:bCs/>
          <w:szCs w:val="22"/>
        </w:rPr>
      </w:pPr>
      <w:r>
        <w:rPr>
          <w:b/>
          <w:bCs/>
          <w:szCs w:val="22"/>
        </w:rPr>
        <w:t>Количество сотрудников, обладающих квалификацией для проведения поиска и экспертизы</w:t>
      </w:r>
      <w:r>
        <w:t xml:space="preserve">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1695"/>
        <w:gridCol w:w="1670"/>
        <w:gridCol w:w="3347"/>
      </w:tblGrid>
      <w:tr w:rsidR="002F15F0" w:rsidRPr="00C40657" w:rsidTr="00B0386D">
        <w:trPr>
          <w:cantSplit/>
        </w:trPr>
        <w:tc>
          <w:tcPr>
            <w:tcW w:w="2405" w:type="dxa"/>
            <w:shd w:val="clear" w:color="auto" w:fill="auto"/>
          </w:tcPr>
          <w:p w:rsidR="002F15F0" w:rsidRPr="00C40657" w:rsidRDefault="002F15F0" w:rsidP="00B0386D">
            <w:pPr>
              <w:keepNext/>
              <w:keepLines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Область техники</w:t>
            </w:r>
          </w:p>
        </w:tc>
        <w:tc>
          <w:tcPr>
            <w:tcW w:w="1701" w:type="dxa"/>
            <w:shd w:val="clear" w:color="auto" w:fill="auto"/>
          </w:tcPr>
          <w:p w:rsidR="002F15F0" w:rsidRPr="00C40657" w:rsidRDefault="002F15F0" w:rsidP="00B0386D">
            <w:pPr>
              <w:keepNext/>
              <w:keepLines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Количество сотрудников (в пересчете на занятых полную рабочую неделю)</w:t>
            </w:r>
          </w:p>
        </w:tc>
        <w:tc>
          <w:tcPr>
            <w:tcW w:w="1701" w:type="dxa"/>
          </w:tcPr>
          <w:p w:rsidR="002F15F0" w:rsidRPr="00C40657" w:rsidRDefault="002F15F0" w:rsidP="00B0386D">
            <w:pPr>
              <w:rPr>
                <w:b/>
                <w:bCs/>
              </w:rPr>
            </w:pPr>
            <w:r>
              <w:rPr>
                <w:b/>
                <w:bCs/>
              </w:rPr>
              <w:t>Средний стаж работы экспертов</w:t>
            </w:r>
          </w:p>
        </w:tc>
        <w:tc>
          <w:tcPr>
            <w:tcW w:w="3260" w:type="dxa"/>
          </w:tcPr>
          <w:p w:rsidR="002F15F0" w:rsidRPr="00C40657" w:rsidRDefault="002F15F0" w:rsidP="00B0386D">
            <w:pPr>
              <w:rPr>
                <w:b/>
                <w:bCs/>
              </w:rPr>
            </w:pPr>
            <w:r>
              <w:rPr>
                <w:b/>
                <w:bCs/>
              </w:rPr>
              <w:t>Профессиональная специализация</w:t>
            </w:r>
          </w:p>
        </w:tc>
      </w:tr>
      <w:tr w:rsidR="002F15F0" w:rsidRPr="00C40657" w:rsidTr="00B0386D">
        <w:trPr>
          <w:cantSplit/>
        </w:trPr>
        <w:tc>
          <w:tcPr>
            <w:tcW w:w="2405" w:type="dxa"/>
            <w:shd w:val="clear" w:color="auto" w:fill="auto"/>
          </w:tcPr>
          <w:p w:rsidR="002F15F0" w:rsidRPr="00C40657" w:rsidRDefault="002F15F0" w:rsidP="00B0386D">
            <w:pPr>
              <w:keepNext/>
              <w:keepLines/>
              <w:rPr>
                <w:szCs w:val="22"/>
              </w:rPr>
            </w:pPr>
            <w:r>
              <w:t>Механика</w:t>
            </w:r>
          </w:p>
        </w:tc>
        <w:tc>
          <w:tcPr>
            <w:tcW w:w="1701" w:type="dxa"/>
            <w:shd w:val="clear" w:color="auto" w:fill="auto"/>
          </w:tcPr>
          <w:p w:rsidR="002F15F0" w:rsidRPr="00C40657" w:rsidRDefault="002F15F0" w:rsidP="00B0386D">
            <w:pPr>
              <w:keepNext/>
              <w:keepLines/>
              <w:rPr>
                <w:szCs w:val="22"/>
              </w:rPr>
            </w:pPr>
            <w:r>
              <w:t>662</w:t>
            </w:r>
          </w:p>
        </w:tc>
        <w:tc>
          <w:tcPr>
            <w:tcW w:w="1701" w:type="dxa"/>
          </w:tcPr>
          <w:p w:rsidR="002F15F0" w:rsidRPr="00C40657" w:rsidRDefault="002F15F0" w:rsidP="00B0386D">
            <w:pPr>
              <w:keepNext/>
              <w:keepLines/>
              <w:rPr>
                <w:rFonts w:eastAsiaTheme="minorEastAsia"/>
                <w:szCs w:val="22"/>
              </w:rPr>
            </w:pPr>
            <w:r>
              <w:t>12,7</w:t>
            </w:r>
          </w:p>
        </w:tc>
        <w:tc>
          <w:tcPr>
            <w:tcW w:w="3260" w:type="dxa"/>
            <w:vMerge w:val="restart"/>
          </w:tcPr>
          <w:p w:rsidR="002F15F0" w:rsidRPr="00C40657" w:rsidRDefault="002F15F0" w:rsidP="00B0386D">
            <w:pPr>
              <w:keepNext/>
              <w:keepLines/>
              <w:rPr>
                <w:rFonts w:eastAsiaTheme="minorEastAsia"/>
                <w:szCs w:val="22"/>
              </w:rPr>
            </w:pPr>
            <w:r>
              <w:t>Минимальные квалификационные требования:</w:t>
            </w:r>
          </w:p>
          <w:p w:rsidR="002F15F0" w:rsidRPr="00C40657" w:rsidRDefault="002F15F0" w:rsidP="00B0386D">
            <w:pPr>
              <w:keepNext/>
              <w:keepLines/>
              <w:rPr>
                <w:rFonts w:eastAsiaTheme="minorEastAsia"/>
                <w:szCs w:val="22"/>
              </w:rPr>
            </w:pPr>
            <w:r>
              <w:t>(1)</w:t>
            </w:r>
            <w:r>
              <w:tab/>
              <w:t>сдача экзамена общей службы (для выпускников университетов/магистратуры), проводимый Национальным кадровым управлением; или</w:t>
            </w:r>
          </w:p>
          <w:p w:rsidR="002F15F0" w:rsidRPr="00C40657" w:rsidRDefault="002F15F0" w:rsidP="00B0386D">
            <w:pPr>
              <w:keepNext/>
              <w:keepLines/>
              <w:rPr>
                <w:rFonts w:eastAsiaTheme="minorEastAsia"/>
                <w:szCs w:val="22"/>
              </w:rPr>
            </w:pPr>
            <w:r>
              <w:t>(2)</w:t>
            </w:r>
            <w:r>
              <w:tab/>
              <w:t xml:space="preserve">наличие степени бакалавра (или выше) по техническим специальностям, а также наличие не менее 4 лет опыта в области НИОКР или в области интеллектуальной собственности в частном секторе или в университетах. </w:t>
            </w:r>
          </w:p>
        </w:tc>
      </w:tr>
      <w:tr w:rsidR="002F15F0" w:rsidRPr="00C40657" w:rsidTr="00B0386D">
        <w:trPr>
          <w:cantSplit/>
        </w:trPr>
        <w:tc>
          <w:tcPr>
            <w:tcW w:w="2405" w:type="dxa"/>
            <w:shd w:val="clear" w:color="auto" w:fill="auto"/>
          </w:tcPr>
          <w:p w:rsidR="002F15F0" w:rsidRPr="00C40657" w:rsidRDefault="002F15F0" w:rsidP="00B0386D">
            <w:pPr>
              <w:keepNext/>
              <w:keepLines/>
              <w:rPr>
                <w:szCs w:val="22"/>
              </w:rPr>
            </w:pPr>
            <w:r>
              <w:t>Электричество/</w:t>
            </w:r>
            <w:r>
              <w:br/>
              <w:t>электроника</w:t>
            </w:r>
          </w:p>
        </w:tc>
        <w:tc>
          <w:tcPr>
            <w:tcW w:w="1701" w:type="dxa"/>
            <w:shd w:val="clear" w:color="auto" w:fill="auto"/>
          </w:tcPr>
          <w:p w:rsidR="002F15F0" w:rsidRPr="00C40657" w:rsidRDefault="002F15F0" w:rsidP="00B0386D">
            <w:pPr>
              <w:keepNext/>
              <w:keepLines/>
              <w:rPr>
                <w:rFonts w:eastAsiaTheme="minorEastAsia"/>
                <w:szCs w:val="22"/>
              </w:rPr>
            </w:pPr>
            <w:r>
              <w:t>595</w:t>
            </w:r>
          </w:p>
        </w:tc>
        <w:tc>
          <w:tcPr>
            <w:tcW w:w="1701" w:type="dxa"/>
          </w:tcPr>
          <w:p w:rsidR="002F15F0" w:rsidRPr="00C40657" w:rsidRDefault="002F15F0" w:rsidP="00B0386D">
            <w:pPr>
              <w:keepNext/>
              <w:keepLines/>
              <w:rPr>
                <w:rFonts w:eastAsiaTheme="minorEastAsia"/>
                <w:szCs w:val="22"/>
              </w:rPr>
            </w:pPr>
            <w:r>
              <w:t>12,6</w:t>
            </w:r>
          </w:p>
        </w:tc>
        <w:tc>
          <w:tcPr>
            <w:tcW w:w="3260" w:type="dxa"/>
            <w:vMerge/>
          </w:tcPr>
          <w:p w:rsidR="002F15F0" w:rsidRPr="00C40657" w:rsidRDefault="002F15F0" w:rsidP="00B0386D">
            <w:pPr>
              <w:keepNext/>
              <w:keepLines/>
              <w:rPr>
                <w:szCs w:val="22"/>
              </w:rPr>
            </w:pPr>
          </w:p>
        </w:tc>
      </w:tr>
      <w:tr w:rsidR="002F15F0" w:rsidRPr="00C40657" w:rsidTr="00B0386D">
        <w:trPr>
          <w:cantSplit/>
        </w:trPr>
        <w:tc>
          <w:tcPr>
            <w:tcW w:w="2405" w:type="dxa"/>
            <w:shd w:val="clear" w:color="auto" w:fill="auto"/>
          </w:tcPr>
          <w:p w:rsidR="002F15F0" w:rsidRPr="00C40657" w:rsidRDefault="002F15F0" w:rsidP="00B0386D">
            <w:pPr>
              <w:keepNext/>
              <w:keepLines/>
              <w:rPr>
                <w:szCs w:val="22"/>
              </w:rPr>
            </w:pPr>
            <w: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2F15F0" w:rsidRPr="00C40657" w:rsidRDefault="002F15F0" w:rsidP="00B0386D">
            <w:pPr>
              <w:keepNext/>
              <w:keepLines/>
              <w:rPr>
                <w:rFonts w:eastAsiaTheme="minorEastAsia"/>
                <w:szCs w:val="22"/>
              </w:rPr>
            </w:pPr>
            <w:r>
              <w:t>266</w:t>
            </w:r>
          </w:p>
        </w:tc>
        <w:tc>
          <w:tcPr>
            <w:tcW w:w="1701" w:type="dxa"/>
          </w:tcPr>
          <w:p w:rsidR="002F15F0" w:rsidRPr="00C40657" w:rsidRDefault="002F15F0" w:rsidP="00B0386D">
            <w:pPr>
              <w:keepNext/>
              <w:keepLines/>
              <w:rPr>
                <w:rFonts w:eastAsiaTheme="minorEastAsia"/>
                <w:szCs w:val="22"/>
              </w:rPr>
            </w:pPr>
            <w:r>
              <w:t>11,8</w:t>
            </w:r>
          </w:p>
        </w:tc>
        <w:tc>
          <w:tcPr>
            <w:tcW w:w="3260" w:type="dxa"/>
            <w:vMerge/>
          </w:tcPr>
          <w:p w:rsidR="002F15F0" w:rsidRPr="00C40657" w:rsidRDefault="002F15F0" w:rsidP="00B0386D">
            <w:pPr>
              <w:keepNext/>
              <w:keepLines/>
              <w:rPr>
                <w:szCs w:val="22"/>
              </w:rPr>
            </w:pPr>
          </w:p>
        </w:tc>
      </w:tr>
      <w:tr w:rsidR="002F15F0" w:rsidRPr="00C40657" w:rsidTr="00B0386D">
        <w:trPr>
          <w:cantSplit/>
        </w:trPr>
        <w:tc>
          <w:tcPr>
            <w:tcW w:w="2405" w:type="dxa"/>
            <w:shd w:val="clear" w:color="auto" w:fill="auto"/>
          </w:tcPr>
          <w:p w:rsidR="002F15F0" w:rsidRPr="00C40657" w:rsidRDefault="002F15F0" w:rsidP="00B0386D">
            <w:pPr>
              <w:keepNext/>
              <w:keepLines/>
              <w:rPr>
                <w:szCs w:val="22"/>
              </w:rPr>
            </w:pPr>
            <w:r>
              <w:t>Биотехнологии</w:t>
            </w:r>
          </w:p>
        </w:tc>
        <w:tc>
          <w:tcPr>
            <w:tcW w:w="1701" w:type="dxa"/>
            <w:shd w:val="clear" w:color="auto" w:fill="auto"/>
          </w:tcPr>
          <w:p w:rsidR="002F15F0" w:rsidRPr="00C40657" w:rsidRDefault="002F15F0" w:rsidP="00B0386D">
            <w:pPr>
              <w:keepNext/>
              <w:keepLines/>
              <w:rPr>
                <w:rFonts w:eastAsiaTheme="minorEastAsia"/>
                <w:szCs w:val="22"/>
              </w:rPr>
            </w:pPr>
            <w:r>
              <w:t>179</w:t>
            </w:r>
          </w:p>
        </w:tc>
        <w:tc>
          <w:tcPr>
            <w:tcW w:w="1701" w:type="dxa"/>
          </w:tcPr>
          <w:p w:rsidR="002F15F0" w:rsidRPr="00C40657" w:rsidRDefault="002F15F0" w:rsidP="00B0386D">
            <w:pPr>
              <w:keepNext/>
              <w:keepLines/>
              <w:rPr>
                <w:rFonts w:eastAsiaTheme="minorEastAsia"/>
                <w:szCs w:val="22"/>
              </w:rPr>
            </w:pPr>
            <w:r>
              <w:t>11,0</w:t>
            </w:r>
          </w:p>
        </w:tc>
        <w:tc>
          <w:tcPr>
            <w:tcW w:w="3260" w:type="dxa"/>
            <w:vMerge/>
          </w:tcPr>
          <w:p w:rsidR="002F15F0" w:rsidRPr="00C40657" w:rsidRDefault="002F15F0" w:rsidP="00B0386D">
            <w:pPr>
              <w:keepNext/>
              <w:keepLines/>
              <w:rPr>
                <w:szCs w:val="22"/>
              </w:rPr>
            </w:pPr>
          </w:p>
        </w:tc>
      </w:tr>
      <w:tr w:rsidR="002F15F0" w:rsidRPr="00C40657" w:rsidTr="00B0386D">
        <w:trPr>
          <w:cantSplit/>
        </w:trPr>
        <w:tc>
          <w:tcPr>
            <w:tcW w:w="2405" w:type="dxa"/>
            <w:shd w:val="clear" w:color="auto" w:fill="auto"/>
          </w:tcPr>
          <w:p w:rsidR="002F15F0" w:rsidRPr="00C40657" w:rsidRDefault="002F15F0" w:rsidP="00B0386D">
            <w:pPr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F15F0" w:rsidRPr="00C40657" w:rsidRDefault="002F15F0" w:rsidP="00B0386D">
            <w:pPr>
              <w:rPr>
                <w:iCs/>
                <w:szCs w:val="22"/>
              </w:rPr>
            </w:pPr>
            <w:r>
              <w:t>1 702</w:t>
            </w:r>
          </w:p>
        </w:tc>
        <w:tc>
          <w:tcPr>
            <w:tcW w:w="1701" w:type="dxa"/>
          </w:tcPr>
          <w:p w:rsidR="002F15F0" w:rsidRPr="00C40657" w:rsidRDefault="002F15F0" w:rsidP="00B0386D">
            <w:pPr>
              <w:rPr>
                <w:rFonts w:eastAsiaTheme="minorEastAsia"/>
                <w:iCs/>
                <w:szCs w:val="22"/>
              </w:rPr>
            </w:pPr>
            <w:r>
              <w:t>12,2</w:t>
            </w:r>
          </w:p>
        </w:tc>
        <w:tc>
          <w:tcPr>
            <w:tcW w:w="3260" w:type="dxa"/>
          </w:tcPr>
          <w:p w:rsidR="002F15F0" w:rsidRPr="00C40657" w:rsidRDefault="002F15F0" w:rsidP="00B0386D">
            <w:pPr>
              <w:rPr>
                <w:i/>
                <w:iCs/>
                <w:szCs w:val="22"/>
              </w:rPr>
            </w:pPr>
          </w:p>
        </w:tc>
      </w:tr>
    </w:tbl>
    <w:p w:rsidR="002F15F0" w:rsidRPr="00C40657" w:rsidRDefault="002F15F0" w:rsidP="002F15F0">
      <w:pPr>
        <w:rPr>
          <w:szCs w:val="22"/>
        </w:rPr>
      </w:pPr>
    </w:p>
    <w:p w:rsidR="002F15F0" w:rsidRPr="00C40657" w:rsidRDefault="002F15F0" w:rsidP="002F15F0">
      <w:pPr>
        <w:rPr>
          <w:b/>
          <w:bCs/>
        </w:rPr>
      </w:pPr>
      <w:r>
        <w:rPr>
          <w:b/>
          <w:bCs/>
        </w:rPr>
        <w:t>Учебные программы</w:t>
      </w:r>
    </w:p>
    <w:p w:rsidR="002F15F0" w:rsidRPr="00C40657" w:rsidRDefault="002F15F0" w:rsidP="002F15F0">
      <w:pPr>
        <w:rPr>
          <w:szCs w:val="22"/>
        </w:rPr>
      </w:pPr>
    </w:p>
    <w:p w:rsidR="002F15F0" w:rsidRPr="00C40657" w:rsidRDefault="002F15F0" w:rsidP="002F15F0">
      <w:pPr>
        <w:pStyle w:val="ListParagraph"/>
      </w:pPr>
      <w:r>
        <w:t>Курсы (для недавно принятых на работу экспертов)</w:t>
      </w:r>
    </w:p>
    <w:p w:rsidR="002F15F0" w:rsidRDefault="002F15F0" w:rsidP="002F15F0"/>
    <w:p w:rsidR="002F15F0" w:rsidRPr="002F15F0" w:rsidRDefault="00C03F3B" w:rsidP="002F15F0">
      <w:r>
        <w:t xml:space="preserve">В соответствии с японскими патентными правилами </w:t>
      </w:r>
      <w:r w:rsidR="00D973BE">
        <w:t>для получения квалификации патентного эксперта необходимо у</w:t>
      </w:r>
      <w:r w:rsidR="002F15F0">
        <w:t xml:space="preserve">спешно </w:t>
      </w:r>
      <w:r w:rsidR="00D973BE">
        <w:t xml:space="preserve">пройти соответствующие учебные </w:t>
      </w:r>
      <w:r w:rsidR="002F15F0">
        <w:t>курс</w:t>
      </w:r>
      <w:r w:rsidR="00D973BE">
        <w:t>ы.</w:t>
      </w:r>
    </w:p>
    <w:p w:rsidR="002F15F0" w:rsidRDefault="002F15F0" w:rsidP="002F15F0"/>
    <w:p w:rsidR="002F15F0" w:rsidRPr="002F15F0" w:rsidRDefault="002F15F0" w:rsidP="002F15F0">
      <w:r>
        <w:t>Сотрудник, принятый на работу в ЯПВ, должен пройти два учебных курса и сдать несколько экзаменов.  Общая длительность двух курсов составляет 250 часов.  Преподавателями на этих учебных программах являются профессора университетов, патентные поверенные и опытные эксперты.  Учебный план содержит занятия по изучению международных положений и связанных с ними правил, включая Договор о патентной кооперации и Руководство РСТ по проведению международного поиска и международной предварительной экспертизы, а также предполагает рассмотрение практики международного поиска и предварительной экспертизы.</w:t>
      </w:r>
    </w:p>
    <w:p w:rsidR="002F15F0" w:rsidRPr="00C40657" w:rsidRDefault="002F15F0" w:rsidP="002F15F0">
      <w:pPr>
        <w:rPr>
          <w:szCs w:val="22"/>
        </w:rPr>
      </w:pPr>
      <w:r>
        <w:t xml:space="preserve"> </w:t>
      </w:r>
    </w:p>
    <w:p w:rsidR="002F15F0" w:rsidRPr="00C40657" w:rsidRDefault="002F15F0" w:rsidP="002F15F0">
      <w:pPr>
        <w:pStyle w:val="ListParagraph"/>
      </w:pPr>
      <w:r>
        <w:t xml:space="preserve">Подготовка </w:t>
      </w:r>
      <w:r w:rsidR="00D973BE">
        <w:t xml:space="preserve">на рабочем месте </w:t>
      </w:r>
      <w:r>
        <w:t>под контролем старших экспертов (для помощников экспертов)</w:t>
      </w:r>
    </w:p>
    <w:p w:rsidR="002F15F0" w:rsidRDefault="002F15F0" w:rsidP="002F15F0"/>
    <w:p w:rsidR="002F15F0" w:rsidRPr="00C40657" w:rsidRDefault="002F15F0" w:rsidP="002F15F0">
      <w:r>
        <w:t xml:space="preserve">Сотрудник, принятый на работу в ЯПВ, проходит подготовку </w:t>
      </w:r>
      <w:r w:rsidR="00D973BE">
        <w:t xml:space="preserve">по месту занятости </w:t>
      </w:r>
      <w:r>
        <w:t>в качестве помощника эксперта под руководством старшего эксперта в течение 2–4 лет (в зависимости от опыта работы).</w:t>
      </w:r>
    </w:p>
    <w:p w:rsidR="002F15F0" w:rsidRPr="00C40657" w:rsidRDefault="002F15F0" w:rsidP="002F15F0">
      <w:pPr>
        <w:rPr>
          <w:szCs w:val="22"/>
        </w:rPr>
      </w:pPr>
    </w:p>
    <w:p w:rsidR="002F15F0" w:rsidRPr="00C40657" w:rsidRDefault="002F15F0" w:rsidP="002F15F0">
      <w:pPr>
        <w:pStyle w:val="ListParagraph"/>
      </w:pPr>
      <w:r>
        <w:t>Техническое обучение, посещение предприятий, стажировки, обучение в местных и иностранных университетах (для экспертов)</w:t>
      </w:r>
    </w:p>
    <w:p w:rsidR="002F15F0" w:rsidRDefault="002F15F0" w:rsidP="002F15F0">
      <w:pPr>
        <w:keepNext/>
      </w:pPr>
    </w:p>
    <w:p w:rsidR="002F15F0" w:rsidRPr="00C40657" w:rsidRDefault="002F15F0" w:rsidP="002F15F0">
      <w:r>
        <w:t>Экспертам предоставляются возможности для изучения наиболее современных технологий, в частности, посредством участия в технологических тренингах, посещения предприятий, прохождения стажировок и обучения в местных и иностранных университетах.</w:t>
      </w:r>
    </w:p>
    <w:p w:rsidR="002F15F0" w:rsidRPr="00C40657" w:rsidRDefault="002F15F0" w:rsidP="002F15F0">
      <w:pPr>
        <w:rPr>
          <w:szCs w:val="22"/>
        </w:rPr>
      </w:pPr>
    </w:p>
    <w:p w:rsidR="002F15F0" w:rsidRPr="00C40657" w:rsidRDefault="002F15F0" w:rsidP="002F15F0">
      <w:pPr>
        <w:pStyle w:val="ListParagraph"/>
      </w:pPr>
      <w:r>
        <w:t>Языковая подготовка (для экспертов)</w:t>
      </w:r>
    </w:p>
    <w:p w:rsidR="002F15F0" w:rsidRDefault="002F15F0" w:rsidP="002F15F0"/>
    <w:p w:rsidR="002F15F0" w:rsidRPr="00C40657" w:rsidRDefault="002F15F0" w:rsidP="002F15F0">
      <w:r>
        <w:t>По мере необходимости экспертам предоставляются возможности изучения английского и других иностранных языков.</w:t>
      </w:r>
    </w:p>
    <w:p w:rsidR="002F15F0" w:rsidRPr="00C40657" w:rsidRDefault="002F15F0" w:rsidP="002F15F0">
      <w:pPr>
        <w:rPr>
          <w:szCs w:val="22"/>
        </w:rPr>
      </w:pPr>
    </w:p>
    <w:p w:rsidR="002F15F0" w:rsidRPr="00C40657" w:rsidRDefault="002F15F0" w:rsidP="002F15F0">
      <w:pPr>
        <w:rPr>
          <w:szCs w:val="22"/>
        </w:rPr>
      </w:pPr>
    </w:p>
    <w:p w:rsidR="002F15F0" w:rsidRPr="002F15F0" w:rsidRDefault="002F15F0" w:rsidP="002F15F0">
      <w:pPr>
        <w:rPr>
          <w:b/>
          <w:bCs/>
          <w:i/>
        </w:rPr>
      </w:pPr>
      <w:r>
        <w:rPr>
          <w:b/>
          <w:bCs/>
          <w:i/>
        </w:rPr>
        <w:t>Правила 36.1(ii) и 63.1(ii): это ведомство или организация должна иметь в своем распоряжении или иметь доступ, по крайней мере, к минимуму документации, упомянутому в правиле 34 и подобранному соответствующим образом для целей поиска на бумаге, в микроформах или на электронных носителях.</w:t>
      </w:r>
    </w:p>
    <w:p w:rsidR="002F15F0" w:rsidRPr="00C40657" w:rsidRDefault="002F15F0" w:rsidP="002F15F0">
      <w:pPr>
        <w:rPr>
          <w:szCs w:val="22"/>
        </w:rPr>
      </w:pPr>
    </w:p>
    <w:p w:rsidR="002F15F0" w:rsidRPr="00C40657" w:rsidRDefault="002F15F0" w:rsidP="002F15F0">
      <w:pPr>
        <w:keepNext/>
        <w:rPr>
          <w:b/>
          <w:bCs/>
          <w:szCs w:val="22"/>
        </w:rPr>
      </w:pPr>
      <w:r>
        <w:rPr>
          <w:b/>
          <w:bCs/>
          <w:szCs w:val="22"/>
        </w:rPr>
        <w:t>Доступ к минимуму документации для целей поиска:</w:t>
      </w:r>
      <w:r>
        <w:t xml:space="preserve">  </w:t>
      </w:r>
    </w:p>
    <w:p w:rsidR="002F15F0" w:rsidRPr="00C40657" w:rsidRDefault="002F15F0" w:rsidP="002F15F0">
      <w:pPr>
        <w:rPr>
          <w:szCs w:val="22"/>
        </w:rPr>
      </w:pPr>
      <w:r>
        <w:t>(</w:t>
      </w:r>
      <w:r>
        <w:rPr>
          <w:rFonts w:ascii="Segoe UI Symbol" w:hAnsi="Segoe UI Symbol"/>
          <w:szCs w:val="22"/>
        </w:rPr>
        <w:t>✓</w:t>
      </w:r>
      <w:r>
        <w:t>)</w:t>
      </w:r>
      <w:r>
        <w:tab/>
      </w:r>
      <w:r w:rsidR="000B1CF6">
        <w:t>п</w:t>
      </w:r>
      <w:r>
        <w:t>олный доступ</w:t>
      </w:r>
    </w:p>
    <w:p w:rsidR="002F15F0" w:rsidRPr="00C40657" w:rsidRDefault="002F15F0" w:rsidP="002F15F0">
      <w:pPr>
        <w:rPr>
          <w:szCs w:val="22"/>
        </w:rPr>
      </w:pPr>
    </w:p>
    <w:p w:rsidR="002F15F0" w:rsidRPr="00C40657" w:rsidRDefault="002F15F0" w:rsidP="002F15F0">
      <w:pPr>
        <w:rPr>
          <w:szCs w:val="22"/>
        </w:rPr>
      </w:pPr>
      <w:r>
        <w:rPr>
          <w:b/>
          <w:bCs/>
          <w:szCs w:val="22"/>
        </w:rPr>
        <w:t>Поисковые системы</w:t>
      </w:r>
      <w:r>
        <w:t xml:space="preserve">  </w:t>
      </w:r>
    </w:p>
    <w:p w:rsidR="002F15F0" w:rsidRPr="00C40657" w:rsidRDefault="002F15F0" w:rsidP="002F15F0">
      <w:pPr>
        <w:rPr>
          <w:szCs w:val="22"/>
        </w:rPr>
      </w:pPr>
    </w:p>
    <w:p w:rsidR="002F15F0" w:rsidRPr="002F15F0" w:rsidRDefault="002F15F0" w:rsidP="002F15F0">
      <w:r>
        <w:t xml:space="preserve">ЯПВ обладает большим объемом документации, охватывающей как патентную, так и непатентную литературу. </w:t>
      </w:r>
      <w:r w:rsidR="0036387D">
        <w:t>С помощью внутренних систем поиска и коммерческих баз данных</w:t>
      </w:r>
      <w:r>
        <w:t xml:space="preserve"> </w:t>
      </w:r>
      <w:r w:rsidR="0036387D">
        <w:t>э</w:t>
      </w:r>
      <w:r>
        <w:t xml:space="preserve">ксперты ЯПВ </w:t>
      </w:r>
      <w:r w:rsidR="0036387D">
        <w:t xml:space="preserve">могут находить </w:t>
      </w:r>
      <w:r>
        <w:t>патентные публикации, соответствующие минимуму документации</w:t>
      </w:r>
      <w:r w:rsidR="0036387D">
        <w:t>.</w:t>
      </w:r>
    </w:p>
    <w:p w:rsidR="002F15F0" w:rsidRPr="002F15F0" w:rsidRDefault="002F15F0" w:rsidP="002F15F0"/>
    <w:p w:rsidR="002F15F0" w:rsidRPr="002F15F0" w:rsidRDefault="002F15F0" w:rsidP="002F15F0">
      <w:r>
        <w:t xml:space="preserve">Что касается непатентной литературы, то эксперты ЯПВ могут </w:t>
      </w:r>
      <w:r w:rsidR="0036387D">
        <w:t xml:space="preserve">пользоваться </w:t>
      </w:r>
      <w:r>
        <w:t>документ</w:t>
      </w:r>
      <w:r w:rsidR="0036387D">
        <w:t>ами</w:t>
      </w:r>
      <w:r>
        <w:t>, которыми располагает ЯПВ, и коммерчески</w:t>
      </w:r>
      <w:r w:rsidR="0036387D">
        <w:t>ми</w:t>
      </w:r>
      <w:r>
        <w:t xml:space="preserve"> баз</w:t>
      </w:r>
      <w:r w:rsidR="0036387D">
        <w:t>ами</w:t>
      </w:r>
      <w:r>
        <w:t xml:space="preserve"> данных.  Таким образом, обеспечивается доступ к непатентной литературе, соответствующей минимуму документации, благодаря чему соблюдаются требования в области проведения поиска по минимуму документации, предъявляемые к МПО.</w:t>
      </w:r>
    </w:p>
    <w:p w:rsidR="002F15F0" w:rsidRPr="002F15F0" w:rsidRDefault="002F15F0" w:rsidP="002F15F0"/>
    <w:p w:rsidR="002F15F0" w:rsidRPr="00C40657" w:rsidRDefault="002F15F0" w:rsidP="002F15F0">
      <w:pPr>
        <w:pStyle w:val="Note-mainpara"/>
        <w:numPr>
          <w:ilvl w:val="0"/>
          <w:numId w:val="8"/>
        </w:numPr>
        <w:spacing w:after="100" w:afterAutospacing="1"/>
        <w:rPr>
          <w:rFonts w:ascii="Arial" w:eastAsia="MS PGothic" w:hAnsi="Arial" w:cs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Программное и аппаратное обеспечение</w:t>
      </w:r>
      <w:r w:rsidR="0036387D">
        <w:rPr>
          <w:rFonts w:ascii="Arial" w:hAnsi="Arial"/>
          <w:sz w:val="21"/>
          <w:szCs w:val="21"/>
          <w:u w:val="single"/>
        </w:rPr>
        <w:t xml:space="preserve"> для </w:t>
      </w:r>
      <w:r>
        <w:rPr>
          <w:rFonts w:ascii="Arial" w:hAnsi="Arial"/>
          <w:sz w:val="21"/>
          <w:szCs w:val="21"/>
          <w:u w:val="single"/>
        </w:rPr>
        <w:t>поиск</w:t>
      </w:r>
      <w:r w:rsidR="0036387D">
        <w:rPr>
          <w:rFonts w:ascii="Arial" w:hAnsi="Arial"/>
          <w:sz w:val="21"/>
          <w:szCs w:val="21"/>
          <w:u w:val="single"/>
        </w:rPr>
        <w:t>а</w:t>
      </w:r>
      <w:r>
        <w:rPr>
          <w:rFonts w:ascii="Arial" w:hAnsi="Arial"/>
          <w:sz w:val="21"/>
          <w:szCs w:val="21"/>
          <w:u w:val="single"/>
        </w:rPr>
        <w:t xml:space="preserve"> и экспертиз</w:t>
      </w:r>
      <w:r w:rsidR="0036387D">
        <w:rPr>
          <w:rFonts w:ascii="Arial" w:hAnsi="Arial"/>
          <w:sz w:val="21"/>
          <w:szCs w:val="21"/>
          <w:u w:val="single"/>
        </w:rPr>
        <w:t>ы</w:t>
      </w:r>
    </w:p>
    <w:p w:rsidR="002F15F0" w:rsidRPr="002F15F0" w:rsidRDefault="002F15F0" w:rsidP="002F15F0">
      <w:r>
        <w:t xml:space="preserve">Имеющиеся ресурсы включают в себя </w:t>
      </w:r>
      <w:r w:rsidR="00874C4D">
        <w:t xml:space="preserve">эффективную </w:t>
      </w:r>
      <w:r>
        <w:t xml:space="preserve">систему поиска по документам по известному уровню техники, таким как минимум документации, и систему подготовки ОМП и ЗМПЭ.  Эти ресурсы очень важны для экспертов; </w:t>
      </w:r>
      <w:r w:rsidR="00AE61B2">
        <w:t xml:space="preserve">периодически </w:t>
      </w:r>
      <w:r>
        <w:t>они обновляются</w:t>
      </w:r>
      <w:r w:rsidR="00AE61B2">
        <w:t>, а</w:t>
      </w:r>
      <w:r>
        <w:t xml:space="preserve"> по мере необходимости и по запросу экспертов</w:t>
      </w:r>
      <w:r w:rsidR="00AE61B2">
        <w:t xml:space="preserve"> модернизируются</w:t>
      </w:r>
      <w:r>
        <w:t xml:space="preserve">.  Экспертам также </w:t>
      </w:r>
      <w:r w:rsidR="00AE61B2">
        <w:t xml:space="preserve">предоставляется </w:t>
      </w:r>
      <w:r>
        <w:t>техническая поддержка, что позволяет поддерживать наилучшие условия работы.</w:t>
      </w:r>
    </w:p>
    <w:p w:rsidR="002F15F0" w:rsidRPr="002F15F0" w:rsidRDefault="002F15F0" w:rsidP="002F15F0"/>
    <w:p w:rsidR="002F15F0" w:rsidRPr="002F15F0" w:rsidRDefault="002F15F0" w:rsidP="002F15F0">
      <w:r>
        <w:t xml:space="preserve">ЯПВ использует собственную поисковую систему, которая обеспечивает доступ к внутренней/иностранной патентной и непатентной литературе.  Кроме того, ЯПВ заключило соглашения почти с 40 сторонними поставщиками коммерческих баз данных, которые </w:t>
      </w:r>
      <w:r w:rsidR="00290870">
        <w:t xml:space="preserve">применяются </w:t>
      </w:r>
      <w:r>
        <w:t xml:space="preserve">для установления известного уровня техники.  Существует возможность автоматической </w:t>
      </w:r>
      <w:r w:rsidR="00290870">
        <w:t xml:space="preserve">регистрации </w:t>
      </w:r>
      <w:r w:rsidR="00295706">
        <w:t>алгоритма выборки</w:t>
      </w:r>
      <w:r>
        <w:t xml:space="preserve"> и полученного в результате набора документов.  Это позволяет экспертам обмениваться информацией о поиске, что полезно с точки зрения проверки качества.</w:t>
      </w:r>
    </w:p>
    <w:p w:rsidR="002F15F0" w:rsidRDefault="002F15F0" w:rsidP="002F15F0"/>
    <w:p w:rsidR="002F15F0" w:rsidRPr="002F15F0" w:rsidRDefault="002F15F0" w:rsidP="002F15F0">
      <w:r>
        <w:t xml:space="preserve">В ЯПВ была внедрена система помощи экспертам в подготовке ОМП и ЗМПЭ.  Эта система позволяет, в частности, составлять необходимые документы, автоматически импортировать в документы, над которыми ведется работа, </w:t>
      </w:r>
      <w:r w:rsidR="00295706">
        <w:t xml:space="preserve">библиографические данные </w:t>
      </w:r>
      <w:r>
        <w:t>и проверять содержание отчет</w:t>
      </w:r>
      <w:r w:rsidR="00295706">
        <w:t>ов</w:t>
      </w:r>
      <w:r>
        <w:t>.  Кроме того, есть возможность осуществления и утверждения процедур для заявок PCT</w:t>
      </w:r>
      <w:r w:rsidR="00295706">
        <w:t xml:space="preserve"> в электронном виде</w:t>
      </w:r>
      <w:r>
        <w:t>.</w:t>
      </w:r>
    </w:p>
    <w:p w:rsidR="002F15F0" w:rsidRDefault="002F15F0" w:rsidP="002F15F0"/>
    <w:p w:rsidR="002F15F0" w:rsidRPr="002F15F0" w:rsidRDefault="002F15F0" w:rsidP="002F15F0">
      <w:r>
        <w:t>В распоряжении каждого эксперта находятся два больших монитора, что упрощает просмотр патентной и непатентной литературы.</w:t>
      </w:r>
    </w:p>
    <w:p w:rsidR="002F15F0" w:rsidRPr="002F15F0" w:rsidRDefault="002F15F0" w:rsidP="002F15F0"/>
    <w:p w:rsidR="002F15F0" w:rsidRPr="00C40657" w:rsidRDefault="002F15F0" w:rsidP="002F15F0">
      <w:pPr>
        <w:pStyle w:val="ListParagraph"/>
      </w:pPr>
      <w:r>
        <w:t>Поисковые индексы для поиска по патентной литературе</w:t>
      </w:r>
    </w:p>
    <w:p w:rsidR="002F15F0" w:rsidRPr="00C40657" w:rsidRDefault="002F15F0" w:rsidP="002F15F0">
      <w:pPr>
        <w:rPr>
          <w:rFonts w:eastAsia="MS PGothic"/>
          <w:sz w:val="21"/>
          <w:szCs w:val="21"/>
          <w:lang w:eastAsia="ja-JP"/>
        </w:rPr>
      </w:pPr>
    </w:p>
    <w:p w:rsidR="002F15F0" w:rsidRPr="002F15F0" w:rsidRDefault="0022404A" w:rsidP="002F15F0">
      <w:r>
        <w:t>Эффективный</w:t>
      </w:r>
      <w:r w:rsidRPr="0022404A">
        <w:t xml:space="preserve"> </w:t>
      </w:r>
      <w:r>
        <w:t>поиск</w:t>
      </w:r>
      <w:r w:rsidRPr="0022404A">
        <w:t xml:space="preserve"> </w:t>
      </w:r>
      <w:r>
        <w:t>по</w:t>
      </w:r>
      <w:r w:rsidRPr="0022404A">
        <w:t xml:space="preserve"> </w:t>
      </w:r>
      <w:r>
        <w:t>японской</w:t>
      </w:r>
      <w:r w:rsidRPr="0022404A">
        <w:t xml:space="preserve"> </w:t>
      </w:r>
      <w:r>
        <w:t>патентной</w:t>
      </w:r>
      <w:r w:rsidRPr="0022404A">
        <w:t xml:space="preserve"> </w:t>
      </w:r>
      <w:r>
        <w:t>литературе</w:t>
      </w:r>
      <w:r w:rsidRPr="0022404A">
        <w:t xml:space="preserve"> </w:t>
      </w:r>
      <w:r>
        <w:t>обеспечивается</w:t>
      </w:r>
      <w:r w:rsidRPr="0022404A">
        <w:t xml:space="preserve"> </w:t>
      </w:r>
      <w:r>
        <w:t>классификацией</w:t>
      </w:r>
      <w:r w:rsidRPr="0022404A">
        <w:t xml:space="preserve"> </w:t>
      </w:r>
      <w:r>
        <w:t>«</w:t>
      </w:r>
      <w:r w:rsidR="002F15F0" w:rsidRPr="00B475AF">
        <w:rPr>
          <w:lang w:val="en-GB"/>
        </w:rPr>
        <w:t>File</w:t>
      </w:r>
      <w:r w:rsidR="002F15F0" w:rsidRPr="0008006D">
        <w:t xml:space="preserve"> </w:t>
      </w:r>
      <w:r w:rsidR="002F15F0" w:rsidRPr="00B475AF">
        <w:rPr>
          <w:lang w:val="en-GB"/>
        </w:rPr>
        <w:t>Index</w:t>
      </w:r>
      <w:r>
        <w:t>»</w:t>
      </w:r>
      <w:r w:rsidR="002F15F0" w:rsidRPr="0008006D">
        <w:t xml:space="preserve"> (</w:t>
      </w:r>
      <w:r w:rsidR="002F15F0" w:rsidRPr="00B475AF">
        <w:rPr>
          <w:lang w:val="en-GB"/>
        </w:rPr>
        <w:t>FI</w:t>
      </w:r>
      <w:r w:rsidR="002F15F0" w:rsidRPr="0008006D">
        <w:t xml:space="preserve">) </w:t>
      </w:r>
      <w:r>
        <w:t>и поисковым индексом «</w:t>
      </w:r>
      <w:r w:rsidR="002F15F0" w:rsidRPr="00B475AF">
        <w:rPr>
          <w:lang w:val="en-GB"/>
        </w:rPr>
        <w:t>F</w:t>
      </w:r>
      <w:r w:rsidR="002F15F0" w:rsidRPr="0008006D">
        <w:t xml:space="preserve"> </w:t>
      </w:r>
      <w:r w:rsidR="002F15F0" w:rsidRPr="00B475AF">
        <w:rPr>
          <w:lang w:val="en-GB"/>
        </w:rPr>
        <w:t>term</w:t>
      </w:r>
      <w:r>
        <w:t>»</w:t>
      </w:r>
      <w:r w:rsidR="002F15F0" w:rsidRPr="0008006D">
        <w:t xml:space="preserve">.  </w:t>
      </w:r>
      <w:r w:rsidR="002F15F0">
        <w:t>FI является часть</w:t>
      </w:r>
      <w:r>
        <w:t>ю</w:t>
      </w:r>
      <w:r w:rsidR="002F15F0">
        <w:t xml:space="preserve"> МПК для японской патентной литературы.  «F term» – это поисковый индекс, в которо</w:t>
      </w:r>
      <w:r>
        <w:t>м</w:t>
      </w:r>
      <w:r w:rsidR="002F15F0">
        <w:t xml:space="preserve"> </w:t>
      </w:r>
      <w:r>
        <w:t xml:space="preserve">на основе FI </w:t>
      </w:r>
      <w:r w:rsidR="002F15F0">
        <w:t xml:space="preserve">каждой из примерно 2 600 технических групп </w:t>
      </w:r>
      <w:r w:rsidR="00980F11">
        <w:t>присваиваются совокупности атрибутов</w:t>
      </w:r>
      <w:r w:rsidR="002F15F0">
        <w:t xml:space="preserve">. </w:t>
      </w:r>
      <w:r w:rsidR="00A745F8">
        <w:t>При</w:t>
      </w:r>
      <w:r w:rsidR="00A745F8" w:rsidRPr="00A745F8">
        <w:t xml:space="preserve"> </w:t>
      </w:r>
      <w:r w:rsidR="00A745F8">
        <w:t>поиске</w:t>
      </w:r>
      <w:r w:rsidR="00A745F8" w:rsidRPr="00A745F8">
        <w:t xml:space="preserve"> </w:t>
      </w:r>
      <w:r w:rsidR="00A745F8">
        <w:t>по</w:t>
      </w:r>
      <w:r w:rsidR="00A745F8" w:rsidRPr="00A745F8">
        <w:t xml:space="preserve"> </w:t>
      </w:r>
      <w:r w:rsidR="00A745F8">
        <w:t>предыдущему</w:t>
      </w:r>
      <w:r w:rsidR="00A745F8" w:rsidRPr="00A745F8">
        <w:t xml:space="preserve"> </w:t>
      </w:r>
      <w:r w:rsidR="00A745F8">
        <w:t>уровню</w:t>
      </w:r>
      <w:r w:rsidR="00A745F8" w:rsidRPr="00A745F8">
        <w:t xml:space="preserve"> </w:t>
      </w:r>
      <w:r w:rsidR="00A745F8">
        <w:t>техники</w:t>
      </w:r>
      <w:r w:rsidR="00A745F8" w:rsidRPr="00A745F8">
        <w:t xml:space="preserve"> </w:t>
      </w:r>
      <w:r w:rsidR="00A745F8">
        <w:t>эксперты</w:t>
      </w:r>
      <w:r w:rsidR="00A745F8" w:rsidRPr="00A745F8">
        <w:t xml:space="preserve"> </w:t>
      </w:r>
      <w:r w:rsidR="00A745F8">
        <w:t>ЯПВ</w:t>
      </w:r>
      <w:r w:rsidR="00A745F8" w:rsidRPr="00A745F8">
        <w:t xml:space="preserve"> </w:t>
      </w:r>
      <w:r w:rsidR="00A745F8">
        <w:t>могут</w:t>
      </w:r>
      <w:r w:rsidR="00A745F8" w:rsidRPr="00A745F8">
        <w:t xml:space="preserve"> </w:t>
      </w:r>
      <w:r w:rsidR="00A745F8">
        <w:t>одновременно пользоваться полнотекстовым алгоритмом и</w:t>
      </w:r>
      <w:r w:rsidR="002F15F0" w:rsidRPr="00A745F8">
        <w:t xml:space="preserve"> </w:t>
      </w:r>
      <w:r w:rsidR="0008006D">
        <w:t>«</w:t>
      </w:r>
      <w:r w:rsidR="002F15F0" w:rsidRPr="00B475AF">
        <w:rPr>
          <w:lang w:val="en-GB"/>
        </w:rPr>
        <w:t>FI</w:t>
      </w:r>
      <w:r w:rsidR="002F15F0" w:rsidRPr="0008006D">
        <w:t>/</w:t>
      </w:r>
      <w:r w:rsidR="002F15F0" w:rsidRPr="00B475AF">
        <w:rPr>
          <w:lang w:val="en-GB"/>
        </w:rPr>
        <w:t>F</w:t>
      </w:r>
      <w:r w:rsidR="002F15F0" w:rsidRPr="0008006D">
        <w:t xml:space="preserve"> </w:t>
      </w:r>
      <w:r w:rsidR="002F15F0" w:rsidRPr="00B475AF">
        <w:rPr>
          <w:lang w:val="en-GB"/>
        </w:rPr>
        <w:t>term</w:t>
      </w:r>
      <w:r w:rsidR="0008006D">
        <w:t>»</w:t>
      </w:r>
      <w:r w:rsidR="002F15F0" w:rsidRPr="0008006D">
        <w:t xml:space="preserve">. </w:t>
      </w:r>
      <w:r w:rsidR="00A745F8">
        <w:t>Кроме того,</w:t>
      </w:r>
      <w:r w:rsidR="002F15F0" w:rsidRPr="0008006D">
        <w:t xml:space="preserve"> </w:t>
      </w:r>
      <w:r w:rsidR="00110530">
        <w:t>«</w:t>
      </w:r>
      <w:r w:rsidR="002F15F0" w:rsidRPr="00B475AF">
        <w:rPr>
          <w:lang w:val="en-GB"/>
        </w:rPr>
        <w:t>FI</w:t>
      </w:r>
      <w:r w:rsidR="002F15F0" w:rsidRPr="0008006D">
        <w:t>/</w:t>
      </w:r>
      <w:r w:rsidR="002F15F0" w:rsidRPr="00B475AF">
        <w:rPr>
          <w:lang w:val="en-GB"/>
        </w:rPr>
        <w:t>F</w:t>
      </w:r>
      <w:r w:rsidR="002F15F0" w:rsidRPr="0008006D">
        <w:t xml:space="preserve"> </w:t>
      </w:r>
      <w:r w:rsidR="002F15F0" w:rsidRPr="00B475AF">
        <w:rPr>
          <w:lang w:val="en-GB"/>
        </w:rPr>
        <w:t>term</w:t>
      </w:r>
      <w:r w:rsidR="00110530">
        <w:t>»</w:t>
      </w:r>
      <w:r w:rsidR="00A745F8">
        <w:t xml:space="preserve"> позволяет экспертам отбирать интересующие их группы патентной литературы</w:t>
      </w:r>
      <w:r w:rsidR="002F15F0" w:rsidRPr="0008006D">
        <w:t xml:space="preserve">. </w:t>
      </w:r>
      <w:r w:rsidR="00A745F8">
        <w:t>Таким</w:t>
      </w:r>
      <w:r w:rsidR="00A745F8" w:rsidRPr="00A745F8">
        <w:t xml:space="preserve"> </w:t>
      </w:r>
      <w:r w:rsidR="00A745F8">
        <w:t>образом</w:t>
      </w:r>
      <w:r w:rsidR="00A745F8" w:rsidRPr="00A745F8">
        <w:t xml:space="preserve">, </w:t>
      </w:r>
      <w:r w:rsidR="00A745F8">
        <w:t>в</w:t>
      </w:r>
      <w:r w:rsidR="00A745F8" w:rsidRPr="00A745F8">
        <w:t xml:space="preserve"> </w:t>
      </w:r>
      <w:r w:rsidR="00A745F8">
        <w:t>ведомстве</w:t>
      </w:r>
      <w:r w:rsidR="00A745F8" w:rsidRPr="00A745F8">
        <w:t xml:space="preserve"> </w:t>
      </w:r>
      <w:r w:rsidR="00A745F8">
        <w:t>обеспечивается высокая</w:t>
      </w:r>
      <w:r w:rsidR="00A745F8" w:rsidRPr="00A745F8">
        <w:t xml:space="preserve"> </w:t>
      </w:r>
      <w:r w:rsidR="00A745F8">
        <w:t xml:space="preserve">эффективность и точность поисковой работы. </w:t>
      </w:r>
      <w:r w:rsidR="002F15F0">
        <w:t xml:space="preserve">При проведении поиска по иностранной патентной литературе эксперты ЯПВ </w:t>
      </w:r>
      <w:r w:rsidR="00A745F8">
        <w:t xml:space="preserve">пользуются </w:t>
      </w:r>
      <w:r w:rsidR="002F15F0">
        <w:t>не только МПК или полнотекстовы</w:t>
      </w:r>
      <w:r w:rsidR="00A745F8">
        <w:t>м</w:t>
      </w:r>
      <w:r w:rsidR="002F15F0">
        <w:t xml:space="preserve"> поиск</w:t>
      </w:r>
      <w:r w:rsidR="00A745F8">
        <w:t>ом</w:t>
      </w:r>
      <w:r w:rsidR="002F15F0">
        <w:t>, но и ECLA, CPC и USPC.</w:t>
      </w:r>
    </w:p>
    <w:p w:rsidR="002F15F0" w:rsidRPr="002F15F0" w:rsidRDefault="002F15F0" w:rsidP="002F15F0"/>
    <w:p w:rsidR="002F15F0" w:rsidRPr="002F15F0" w:rsidRDefault="002F15F0" w:rsidP="002F15F0">
      <w:pPr>
        <w:pStyle w:val="ListParagraph"/>
      </w:pPr>
      <w:r>
        <w:t>Инструменты и оборудование для поиска по непатентной литературе</w:t>
      </w:r>
    </w:p>
    <w:p w:rsidR="002F15F0" w:rsidRPr="002F15F0" w:rsidRDefault="002F15F0" w:rsidP="002F15F0"/>
    <w:p w:rsidR="002F15F0" w:rsidRPr="002F15F0" w:rsidRDefault="002F15F0" w:rsidP="002F15F0">
      <w:r>
        <w:t>Ведомствам ИС необходимо проводить тщательный поиск как по патентной, так и по непатентной литературе.</w:t>
      </w:r>
    </w:p>
    <w:p w:rsidR="002F15F0" w:rsidRPr="002F15F0" w:rsidRDefault="002F15F0" w:rsidP="002F15F0"/>
    <w:p w:rsidR="002F15F0" w:rsidRPr="002F15F0" w:rsidRDefault="002F15F0" w:rsidP="002F15F0">
      <w:r>
        <w:t>Поэтому ЯПВ хранит в своей внутренней базе данных</w:t>
      </w:r>
      <w:r w:rsidR="00176779" w:rsidRPr="00176779">
        <w:t xml:space="preserve"> </w:t>
      </w:r>
      <w:r w:rsidR="00176779">
        <w:t>полезную непатентную литературу</w:t>
      </w:r>
      <w:r>
        <w:t xml:space="preserve">.  </w:t>
      </w:r>
      <w:r w:rsidR="00176779">
        <w:t>Разработанная ЯПВ у</w:t>
      </w:r>
      <w:r>
        <w:t>никальная поисковая система обеспечивает эффективный поиск как по патентной, так и по непатентной литературе.</w:t>
      </w:r>
    </w:p>
    <w:p w:rsidR="002F15F0" w:rsidRPr="002F15F0" w:rsidRDefault="002F15F0" w:rsidP="002F15F0"/>
    <w:p w:rsidR="002F15F0" w:rsidRPr="002F15F0" w:rsidRDefault="00C10D82" w:rsidP="002F15F0">
      <w:r>
        <w:t>ЯПВ</w:t>
      </w:r>
      <w:r w:rsidRPr="00C10D82">
        <w:t xml:space="preserve"> </w:t>
      </w:r>
      <w:r>
        <w:t>усовершенствовала</w:t>
      </w:r>
      <w:r w:rsidRPr="00C10D82">
        <w:t xml:space="preserve"> </w:t>
      </w:r>
      <w:r>
        <w:t>условия</w:t>
      </w:r>
      <w:r w:rsidRPr="00C10D82">
        <w:t xml:space="preserve"> </w:t>
      </w:r>
      <w:r>
        <w:t>поиска</w:t>
      </w:r>
      <w:r w:rsidRPr="00C10D82">
        <w:t xml:space="preserve"> </w:t>
      </w:r>
      <w:r>
        <w:t>в</w:t>
      </w:r>
      <w:r w:rsidRPr="00C10D82">
        <w:t xml:space="preserve"> </w:t>
      </w:r>
      <w:r>
        <w:t>плане</w:t>
      </w:r>
      <w:r w:rsidRPr="00C10D82">
        <w:t xml:space="preserve"> </w:t>
      </w:r>
      <w:r>
        <w:t>технических</w:t>
      </w:r>
      <w:r w:rsidRPr="00C10D82">
        <w:t xml:space="preserve"> </w:t>
      </w:r>
      <w:r>
        <w:t>стандартов</w:t>
      </w:r>
      <w:r w:rsidRPr="00C10D82">
        <w:t xml:space="preserve"> </w:t>
      </w:r>
      <w:r>
        <w:t>и</w:t>
      </w:r>
      <w:r w:rsidRPr="00C10D82">
        <w:t xml:space="preserve"> </w:t>
      </w:r>
      <w:r>
        <w:t>проектов</w:t>
      </w:r>
      <w:r w:rsidRPr="00C10D82">
        <w:t xml:space="preserve"> </w:t>
      </w:r>
      <w:r>
        <w:t>технических</w:t>
      </w:r>
      <w:r w:rsidRPr="00C10D82">
        <w:t xml:space="preserve"> </w:t>
      </w:r>
      <w:r>
        <w:t>стандартов, представленных в последние годы в рамках процесса подготовки стандартов.</w:t>
      </w:r>
      <w:r w:rsidRPr="00110530">
        <w:t xml:space="preserve"> </w:t>
      </w:r>
      <w:r w:rsidR="002F15F0">
        <w:t>Благодаря сотрудничеству со стандартизирующими организациями (SSO) ЯПВ удалось расширить охват связанных со стандартами документов, которые могут быть включены во внутреннюю базу данных.</w:t>
      </w:r>
    </w:p>
    <w:p w:rsidR="002F15F0" w:rsidRPr="002F15F0" w:rsidRDefault="002F15F0" w:rsidP="002F15F0"/>
    <w:p w:rsidR="002F15F0" w:rsidRPr="00C40657" w:rsidRDefault="002F15F0" w:rsidP="002F15F0">
      <w:pPr>
        <w:pStyle w:val="ListParagraph"/>
      </w:pPr>
      <w:r>
        <w:t>Поисковые индексы для непатентной литературы</w:t>
      </w:r>
    </w:p>
    <w:p w:rsidR="002F15F0" w:rsidRPr="002F15F0" w:rsidRDefault="002F15F0" w:rsidP="002F15F0"/>
    <w:p w:rsidR="002F15F0" w:rsidRPr="00110530" w:rsidRDefault="002F15F0" w:rsidP="002F15F0">
      <w:r>
        <w:t>В ЯПВ был разработан поисковый индекс «CS term», который используется для поиска по непатентной литературе.  Он</w:t>
      </w:r>
      <w:r w:rsidRPr="00110530">
        <w:t xml:space="preserve"> </w:t>
      </w:r>
      <w:r>
        <w:t>аналогичен</w:t>
      </w:r>
      <w:r w:rsidRPr="00110530">
        <w:t xml:space="preserve"> </w:t>
      </w:r>
      <w:r>
        <w:t>упомянутому</w:t>
      </w:r>
      <w:r w:rsidRPr="00110530">
        <w:t xml:space="preserve"> </w:t>
      </w:r>
      <w:r>
        <w:t>выше</w:t>
      </w:r>
      <w:r w:rsidRPr="00110530">
        <w:t xml:space="preserve"> </w:t>
      </w:r>
      <w:r>
        <w:t>индексу</w:t>
      </w:r>
      <w:r w:rsidRPr="00110530">
        <w:t xml:space="preserve"> «</w:t>
      </w:r>
      <w:r w:rsidRPr="00B475AF">
        <w:rPr>
          <w:lang w:val="en-GB"/>
        </w:rPr>
        <w:t>F</w:t>
      </w:r>
      <w:r w:rsidRPr="00110530">
        <w:t xml:space="preserve"> </w:t>
      </w:r>
      <w:r w:rsidRPr="00B475AF">
        <w:rPr>
          <w:lang w:val="en-GB"/>
        </w:rPr>
        <w:t>term</w:t>
      </w:r>
      <w:r w:rsidRPr="00110530">
        <w:t>»</w:t>
      </w:r>
      <w:r w:rsidR="00110530">
        <w:t xml:space="preserve">. </w:t>
      </w:r>
      <w:r w:rsidR="001B4105" w:rsidRPr="001B4105">
        <w:t xml:space="preserve"> </w:t>
      </w:r>
      <w:r w:rsidR="00110530">
        <w:t xml:space="preserve">«CS term» </w:t>
      </w:r>
      <w:r w:rsidR="001B4105">
        <w:t>представляет</w:t>
      </w:r>
      <w:r w:rsidR="001B4105" w:rsidRPr="001B4105">
        <w:t xml:space="preserve"> </w:t>
      </w:r>
      <w:r w:rsidR="001B4105">
        <w:t>собой</w:t>
      </w:r>
      <w:r w:rsidR="001B4105" w:rsidRPr="001B4105">
        <w:t xml:space="preserve"> </w:t>
      </w:r>
      <w:r w:rsidR="001B4105">
        <w:t>зависимы</w:t>
      </w:r>
      <w:r w:rsidR="001B4105" w:rsidRPr="00110530">
        <w:t>й от програ</w:t>
      </w:r>
      <w:r w:rsidR="001B4105">
        <w:t>ммной среды поисковый индекс, в котором каждой технической группе присваивается совокупность атрибутов.</w:t>
      </w:r>
    </w:p>
    <w:p w:rsidR="002F15F0" w:rsidRPr="00110530" w:rsidRDefault="002F15F0" w:rsidP="002F15F0"/>
    <w:p w:rsidR="002F15F0" w:rsidRPr="00110530" w:rsidRDefault="00B0386D" w:rsidP="002F15F0">
      <w:r>
        <w:t>Как</w:t>
      </w:r>
      <w:r w:rsidRPr="00B0386D">
        <w:t xml:space="preserve"> </w:t>
      </w:r>
      <w:r>
        <w:t>и</w:t>
      </w:r>
      <w:r w:rsidRPr="00B0386D">
        <w:t xml:space="preserve"> </w:t>
      </w:r>
      <w:r>
        <w:t>при</w:t>
      </w:r>
      <w:r w:rsidRPr="00B0386D">
        <w:t xml:space="preserve"> </w:t>
      </w:r>
      <w:r>
        <w:t>использовании</w:t>
      </w:r>
      <w:r w:rsidRPr="00B0386D">
        <w:t xml:space="preserve"> «</w:t>
      </w:r>
      <w:r w:rsidR="002F15F0" w:rsidRPr="00B475AF">
        <w:rPr>
          <w:lang w:val="en-GB"/>
        </w:rPr>
        <w:t>F</w:t>
      </w:r>
      <w:r w:rsidR="002F15F0" w:rsidRPr="00110530">
        <w:t xml:space="preserve"> </w:t>
      </w:r>
      <w:r w:rsidR="002F15F0" w:rsidRPr="00B475AF">
        <w:rPr>
          <w:lang w:val="en-GB"/>
        </w:rPr>
        <w:t>term</w:t>
      </w:r>
      <w:r w:rsidRPr="00B0386D">
        <w:t>»</w:t>
      </w:r>
      <w:r w:rsidR="002F15F0" w:rsidRPr="00110530">
        <w:t xml:space="preserve"> </w:t>
      </w:r>
      <w:r>
        <w:t>для</w:t>
      </w:r>
      <w:r w:rsidRPr="00B0386D">
        <w:t xml:space="preserve"> </w:t>
      </w:r>
      <w:r>
        <w:t>патентной литературы</w:t>
      </w:r>
      <w:r w:rsidR="002F15F0" w:rsidRPr="00110530">
        <w:t xml:space="preserve">, </w:t>
      </w:r>
      <w:r>
        <w:t>«</w:t>
      </w:r>
      <w:r w:rsidR="002F15F0" w:rsidRPr="00B475AF">
        <w:rPr>
          <w:lang w:val="en-GB"/>
        </w:rPr>
        <w:t>CS</w:t>
      </w:r>
      <w:r w:rsidR="002F15F0" w:rsidRPr="00110530">
        <w:t xml:space="preserve"> </w:t>
      </w:r>
      <w:r w:rsidR="002F15F0" w:rsidRPr="00B475AF">
        <w:rPr>
          <w:lang w:val="en-GB"/>
        </w:rPr>
        <w:t>term</w:t>
      </w:r>
      <w:r>
        <w:t>» может применяться одновременно с полнотекстовым поиском</w:t>
      </w:r>
      <w:r w:rsidR="002F15F0" w:rsidRPr="00110530">
        <w:t xml:space="preserve">. </w:t>
      </w:r>
      <w:r w:rsidR="00A22FBE">
        <w:t>«</w:t>
      </w:r>
      <w:r w:rsidR="002F15F0" w:rsidRPr="00B475AF">
        <w:rPr>
          <w:lang w:val="en-GB"/>
        </w:rPr>
        <w:t>CS</w:t>
      </w:r>
      <w:r w:rsidR="002F15F0" w:rsidRPr="00110530">
        <w:t xml:space="preserve"> </w:t>
      </w:r>
      <w:r w:rsidR="002F15F0" w:rsidRPr="00B475AF">
        <w:rPr>
          <w:lang w:val="en-GB"/>
        </w:rPr>
        <w:t>term</w:t>
      </w:r>
      <w:r w:rsidR="00A22FBE">
        <w:t>» также позволяет экспертам ЯПВ отбирать интересующие их группы непатентной литературы</w:t>
      </w:r>
      <w:r w:rsidR="002F15F0" w:rsidRPr="00110530">
        <w:t>.</w:t>
      </w:r>
    </w:p>
    <w:p w:rsidR="002F15F0" w:rsidRPr="00110530" w:rsidRDefault="002F15F0" w:rsidP="002F15F0"/>
    <w:p w:rsidR="002F15F0" w:rsidRPr="00110530" w:rsidRDefault="002F15F0" w:rsidP="002F15F0"/>
    <w:p w:rsidR="002F15F0" w:rsidRPr="002F15F0" w:rsidRDefault="002F15F0" w:rsidP="002F15F0">
      <w:pPr>
        <w:rPr>
          <w:b/>
          <w:i/>
        </w:rPr>
      </w:pPr>
      <w:r>
        <w:rPr>
          <w:b/>
          <w:i/>
        </w:rPr>
        <w:t>Правила 36.1(iii) и 63.1(iii): это ведомство или организация должна иметь штат, который способен проводить поиск и экспертизу в необходимых областях техники и который обладает достаточными языковыми знаниями для понимания, по крайней мере, тех языков, на которых написан или на которые переведен минимум документации, упомянутый в правиле 34.</w:t>
      </w:r>
    </w:p>
    <w:p w:rsidR="002F15F0" w:rsidRPr="002F15F0" w:rsidRDefault="002F15F0" w:rsidP="002F15F0"/>
    <w:p w:rsidR="002F15F0" w:rsidRPr="002F15F0" w:rsidRDefault="002F15F0" w:rsidP="002F15F0">
      <w:pPr>
        <w:rPr>
          <w:b/>
        </w:rPr>
      </w:pPr>
      <w:r>
        <w:rPr>
          <w:b/>
        </w:rPr>
        <w:t xml:space="preserve">Язык(и), на котором(ых) могут подаваться и обрабатываться национальные заявки:  </w:t>
      </w:r>
    </w:p>
    <w:p w:rsidR="002F15F0" w:rsidRPr="00DD336A" w:rsidRDefault="002F15F0" w:rsidP="00DD336A">
      <w:r>
        <w:t>японский*</w:t>
      </w:r>
    </w:p>
    <w:p w:rsidR="002F15F0" w:rsidRPr="00DD336A" w:rsidRDefault="002F15F0" w:rsidP="00DD336A"/>
    <w:p w:rsidR="002F15F0" w:rsidRPr="00DD336A" w:rsidRDefault="002F15F0" w:rsidP="00DD336A">
      <w:r>
        <w:t xml:space="preserve">* Заявитель вправе представить описание, формулу изобретения, чертежи (если они есть) и реферат на любом другом языке при условии, что он/она представит перевод на японский язык в течение одного года и четырех месяцев с даты подачи (или самой ранней даты приоритета). </w:t>
      </w:r>
    </w:p>
    <w:p w:rsidR="002F15F0" w:rsidRPr="00DD336A" w:rsidRDefault="002F15F0" w:rsidP="00DD336A"/>
    <w:p w:rsidR="002F15F0" w:rsidRPr="00DD336A" w:rsidRDefault="002F15F0" w:rsidP="00DD336A">
      <w:pPr>
        <w:rPr>
          <w:b/>
        </w:rPr>
      </w:pPr>
      <w:r>
        <w:rPr>
          <w:b/>
        </w:rPr>
        <w:t xml:space="preserve">Другие языки, которыми владеет большое число экспертов:  </w:t>
      </w:r>
    </w:p>
    <w:p w:rsidR="002F15F0" w:rsidRPr="00C40657" w:rsidRDefault="002F15F0" w:rsidP="00DD336A">
      <w:r>
        <w:t>английский</w:t>
      </w:r>
    </w:p>
    <w:p w:rsidR="002F15F0" w:rsidRPr="00DD336A" w:rsidRDefault="002F15F0" w:rsidP="00DD336A"/>
    <w:p w:rsidR="002F15F0" w:rsidRPr="00C40657" w:rsidRDefault="002F15F0" w:rsidP="00DD336A">
      <w:r>
        <w:t xml:space="preserve">Английский язык относится к числу предметов, которые необходимо сдать в рамках экзамена общей службы.  Знание английского языка является одной из важнейших характеристик, учитываемых ЯПВ при приеме на работу новых сотрудников.  </w:t>
      </w:r>
      <w:r w:rsidR="00D53165">
        <w:t xml:space="preserve">Кроме </w:t>
      </w:r>
      <w:r>
        <w:t xml:space="preserve">того, помощники экспертов могут пройти специализированные курсы английского языка перед тем, как они будут назначены экспертами.  Эксперты также могут </w:t>
      </w:r>
      <w:r w:rsidR="00D53165">
        <w:t>посещать</w:t>
      </w:r>
      <w:r>
        <w:t xml:space="preserve"> других иностранных языков, таких как французский, немецкий, корейский, китайский и др.</w:t>
      </w:r>
    </w:p>
    <w:p w:rsidR="002F15F0" w:rsidRPr="00C40657" w:rsidRDefault="002F15F0" w:rsidP="002F15F0">
      <w:pPr>
        <w:rPr>
          <w:szCs w:val="22"/>
        </w:rPr>
      </w:pPr>
    </w:p>
    <w:p w:rsidR="002F15F0" w:rsidRPr="00C40657" w:rsidRDefault="002F15F0" w:rsidP="002F15F0">
      <w:pPr>
        <w:rPr>
          <w:szCs w:val="22"/>
        </w:rPr>
      </w:pPr>
      <w:r>
        <w:rPr>
          <w:b/>
          <w:bCs/>
          <w:szCs w:val="22"/>
        </w:rPr>
        <w:t>Доступные услуги для содействия в проведении поиска или понимании известного уровня техники на других языках:</w:t>
      </w:r>
      <w:r>
        <w:t xml:space="preserve">  </w:t>
      </w:r>
    </w:p>
    <w:p w:rsidR="002F15F0" w:rsidRPr="00C40657" w:rsidRDefault="002F15F0" w:rsidP="00DD336A">
      <w:r>
        <w:t xml:space="preserve">каждый эксперт имеет доступ к системе машинного перевода. </w:t>
      </w:r>
    </w:p>
    <w:p w:rsidR="002F15F0" w:rsidRPr="00C40657" w:rsidRDefault="002F15F0" w:rsidP="00DD336A">
      <w:pPr>
        <w:pStyle w:val="SectionHeading"/>
      </w:pPr>
      <w:r>
        <w:t>2.2 – СИСТЕМА УПРАВЛЕНИЯ КАЧЕСТВОМ</w:t>
      </w:r>
    </w:p>
    <w:p w:rsidR="002F15F0" w:rsidRPr="00DD336A" w:rsidRDefault="002F15F0" w:rsidP="00DD336A">
      <w:pPr>
        <w:rPr>
          <w:b/>
          <w:i/>
        </w:rPr>
      </w:pPr>
      <w:r>
        <w:rPr>
          <w:b/>
          <w:i/>
        </w:rPr>
        <w:t>Правила 36.1(iv) и 63.1(iv): это ведомство или организация должна иметь систему управления качеством и механизмы внутреннего контроля в соответствии с общими правилами международного поиска.</w:t>
      </w:r>
    </w:p>
    <w:p w:rsidR="002F15F0" w:rsidRPr="00C40657" w:rsidRDefault="002F15F0" w:rsidP="002F15F0">
      <w:pPr>
        <w:rPr>
          <w:szCs w:val="22"/>
        </w:rPr>
      </w:pPr>
    </w:p>
    <w:p w:rsidR="002F15F0" w:rsidRPr="00C40657" w:rsidRDefault="002F15F0" w:rsidP="00DD336A">
      <w:r>
        <w:t>Отчет об обеспечении качества, представленный Японским патентным ведомством в декабре 2016 г., размещен по адресу:</w:t>
      </w:r>
    </w:p>
    <w:p w:rsidR="002F15F0" w:rsidRPr="00891E59" w:rsidRDefault="008A2450" w:rsidP="002F15F0">
      <w:pPr>
        <w:rPr>
          <w:rFonts w:eastAsiaTheme="minorEastAsia"/>
          <w:szCs w:val="22"/>
        </w:rPr>
      </w:pPr>
      <w:hyperlink r:id="rId11" w:history="1">
        <w:r w:rsidR="00F20638">
          <w:rPr>
            <w:rStyle w:val="Hyperlink"/>
          </w:rPr>
          <w:t>http://www.wipo.int/pct/en/quality/authorities.html</w:t>
        </w:r>
      </w:hyperlink>
    </w:p>
    <w:p w:rsidR="002F15F0" w:rsidRPr="00C40657" w:rsidRDefault="002F15F0" w:rsidP="00DD336A">
      <w:pPr>
        <w:pStyle w:val="SectionHeading"/>
      </w:pPr>
      <w:r>
        <w:t>2.3 – ОБМЕН ИНФОРМАЦИЕЙ И ПРЕДЛОЖЕНИЯМИ ПО ПЕРЕДОВОЙ ПРАКТИКЕ С ДРУГИМИ МЕЖДУНАРОДНЫМИ ОРГАНАМИ</w:t>
      </w:r>
    </w:p>
    <w:p w:rsidR="002F15F0" w:rsidRPr="00C40657" w:rsidRDefault="002F15F0" w:rsidP="00DD336A">
      <w:r>
        <w:t>ЯПВ стремится к постоянному повышению качества как своей работы, та</w:t>
      </w:r>
      <w:r w:rsidR="001A622B">
        <w:t>к</w:t>
      </w:r>
      <w:r>
        <w:t xml:space="preserve"> и работы системы PCT в целом. </w:t>
      </w:r>
      <w:r w:rsidR="001A622B">
        <w:t xml:space="preserve">Для этого </w:t>
      </w:r>
      <w:r>
        <w:t xml:space="preserve">оно не только проводит внутренние проверки уровня качества, но и активно взаимодействует с другими международными органами и ведомствами </w:t>
      </w:r>
      <w:r w:rsidR="001A622B">
        <w:t xml:space="preserve">в целях </w:t>
      </w:r>
      <w:r>
        <w:t xml:space="preserve">обмена информацией и передовой практикой, а также поиска новых путей достижения более высоких результатов. </w:t>
      </w:r>
      <w:r w:rsidR="001A622B">
        <w:t xml:space="preserve">Ниже </w:t>
      </w:r>
      <w:r>
        <w:t>приве</w:t>
      </w:r>
      <w:r w:rsidR="001A622B">
        <w:t>дены</w:t>
      </w:r>
      <w:r>
        <w:t xml:space="preserve"> несколько примеров такого взаимодействия.</w:t>
      </w:r>
    </w:p>
    <w:p w:rsidR="002F15F0" w:rsidRPr="00DD336A" w:rsidRDefault="002F15F0" w:rsidP="00DD336A"/>
    <w:p w:rsidR="002F15F0" w:rsidRPr="00DD336A" w:rsidRDefault="002F15F0" w:rsidP="00DD336A">
      <w:pPr>
        <w:rPr>
          <w:i/>
        </w:rPr>
      </w:pPr>
      <w:r>
        <w:rPr>
          <w:i/>
        </w:rPr>
        <w:t>(i)</w:t>
      </w:r>
      <w:r>
        <w:rPr>
          <w:i/>
        </w:rPr>
        <w:tab/>
        <w:t>Япон</w:t>
      </w:r>
      <w:r w:rsidR="00366573">
        <w:rPr>
          <w:i/>
        </w:rPr>
        <w:t>ск</w:t>
      </w:r>
      <w:r>
        <w:rPr>
          <w:i/>
        </w:rPr>
        <w:t xml:space="preserve">о-американская пилотная программа совместного проведения поиска и экспертизы </w:t>
      </w:r>
    </w:p>
    <w:p w:rsidR="002F15F0" w:rsidRPr="00C40657" w:rsidRDefault="002F15F0" w:rsidP="002F15F0">
      <w:pPr>
        <w:tabs>
          <w:tab w:val="left" w:pos="426"/>
        </w:tabs>
        <w:rPr>
          <w:rFonts w:eastAsiaTheme="minorEastAsia"/>
          <w:szCs w:val="22"/>
          <w:lang w:eastAsia="ja-JP"/>
        </w:rPr>
      </w:pPr>
    </w:p>
    <w:p w:rsidR="002F15F0" w:rsidRPr="00C40657" w:rsidRDefault="002F15F0" w:rsidP="00DD336A">
      <w:r>
        <w:t xml:space="preserve">Пилотная программа совместного проведения поиска и экспертизы (CS&amp;E) реализуется в ЯПВ и Ведомстве по патентам и товарным знакам Соединенных Штатов Америки (ВПТЗ США); в рамках этой программы эксперты из ЯПВ и ВПТЗ США самостоятельно проводят поиск по известному уровню техники по изобретениям, описанным в патентных заявках, которые были поданы как в Японии, так и в США. Затем эксперты </w:t>
      </w:r>
      <w:r w:rsidR="00415B35">
        <w:t xml:space="preserve">двух </w:t>
      </w:r>
      <w:r>
        <w:t xml:space="preserve">ведомств обмениваются результатами поиска и мнениями, </w:t>
      </w:r>
      <w:r w:rsidR="00415B35">
        <w:t xml:space="preserve">одновременно </w:t>
      </w:r>
      <w:r>
        <w:t>направляя друг другу результаты первоначальной экспертизы.  Эта совместная инициатива</w:t>
      </w:r>
      <w:r w:rsidR="00E16B12">
        <w:t>, начатая</w:t>
      </w:r>
      <w:r>
        <w:t xml:space="preserve"> в </w:t>
      </w:r>
      <w:r w:rsidR="00E16B12">
        <w:t xml:space="preserve">августе </w:t>
      </w:r>
      <w:r>
        <w:t>2015 г.</w:t>
      </w:r>
      <w:r w:rsidR="00E16B12">
        <w:t>,</w:t>
      </w:r>
      <w:r>
        <w:t xml:space="preserve"> </w:t>
      </w:r>
      <w:r w:rsidR="00E16B12">
        <w:t>призвана</w:t>
      </w:r>
      <w:r>
        <w:t xml:space="preserve"> повы</w:t>
      </w:r>
      <w:r w:rsidR="00E16B12">
        <w:t>сить</w:t>
      </w:r>
      <w:r>
        <w:t xml:space="preserve"> предсказуемост</w:t>
      </w:r>
      <w:r w:rsidR="00E16B12">
        <w:t>ь</w:t>
      </w:r>
      <w:r>
        <w:t xml:space="preserve"> </w:t>
      </w:r>
      <w:r w:rsidR="00F8441A">
        <w:t xml:space="preserve">процесса </w:t>
      </w:r>
      <w:r>
        <w:t>выдачи патентов</w:t>
      </w:r>
      <w:r w:rsidR="00F8441A">
        <w:t>, а именно</w:t>
      </w:r>
      <w:r>
        <w:t xml:space="preserve"> проведения экспертизы и получения прав на изобретения</w:t>
      </w:r>
      <w:r w:rsidR="00F8441A">
        <w:t>, заявки на которые подаются</w:t>
      </w:r>
      <w:r>
        <w:t xml:space="preserve"> в Японии и в США. </w:t>
      </w:r>
      <w:r w:rsidR="00A9442E">
        <w:t>Еще одна ее цель состоит в том</w:t>
      </w:r>
      <w:r>
        <w:t>, чтобы</w:t>
      </w:r>
      <w:r w:rsidR="00A9442E">
        <w:t xml:space="preserve"> дать</w:t>
      </w:r>
      <w:r>
        <w:t xml:space="preserve"> заявител</w:t>
      </w:r>
      <w:r w:rsidR="00A9442E">
        <w:t xml:space="preserve">ям как в Японии, так и в США возможность более стабильного и быстрого </w:t>
      </w:r>
      <w:r>
        <w:t>получ</w:t>
      </w:r>
      <w:r w:rsidR="00A9442E">
        <w:t>ения</w:t>
      </w:r>
      <w:r>
        <w:t xml:space="preserve"> патентны</w:t>
      </w:r>
      <w:r w:rsidR="00A9442E">
        <w:t>х</w:t>
      </w:r>
      <w:r>
        <w:t xml:space="preserve"> прав</w:t>
      </w:r>
      <w:r w:rsidR="00A9442E">
        <w:t>.</w:t>
      </w:r>
      <w:r>
        <w:t xml:space="preserve">  По состоянию на январь 2017 г. в рамках этой программы было подано 45 патентных заявок. </w:t>
      </w:r>
    </w:p>
    <w:p w:rsidR="002F15F0" w:rsidRPr="00DD336A" w:rsidRDefault="002F15F0" w:rsidP="00DD336A"/>
    <w:p w:rsidR="002F15F0" w:rsidRPr="00DD336A" w:rsidRDefault="002F15F0" w:rsidP="00DD336A">
      <w:pPr>
        <w:rPr>
          <w:i/>
        </w:rPr>
      </w:pPr>
      <w:r>
        <w:rPr>
          <w:i/>
        </w:rPr>
        <w:t>(ii)</w:t>
      </w:r>
      <w:r>
        <w:rPr>
          <w:i/>
        </w:rPr>
        <w:tab/>
        <w:t>Пилотная программа совместного проведения поиска и экспертизы в рамках PCT ведомствами группы «IP5»</w:t>
      </w:r>
    </w:p>
    <w:p w:rsidR="002F15F0" w:rsidRPr="00DD336A" w:rsidRDefault="002F15F0" w:rsidP="00DD336A"/>
    <w:p w:rsidR="002F15F0" w:rsidRPr="00C40657" w:rsidRDefault="002F15F0" w:rsidP="00DD336A">
      <w:r>
        <w:t>В рамках Пилотной программы совместного проведения поиска и экспертизы в рамках PCT пятью крупнейшими в мире ведомствами ИС (</w:t>
      </w:r>
      <w:r w:rsidR="005F7352">
        <w:t>т.е.</w:t>
      </w:r>
      <w:r>
        <w:t xml:space="preserve"> ведомствами ИС Китая, Японии, Республики Корея, Соединенных Штатов Америки и Европейским патентным ведомством (группа «IP5»)) основное ответственное ведомство ИС принимает решение о патентоспособности той или иной международной заявки, поданной в рамках PCT, на основании сотрудничества с остальными ведомствами ИС. Затем ведомства выпускают единый отчет о международном поиске и направляют его заявителю.  В июне 2016 г., на встрече руководителей ведомств группы «IP5», руководители согласовали общее направление работы этой пилотной программы в ведомствах группы «IP5».  В настоящее время </w:t>
      </w:r>
      <w:r w:rsidR="005F7352">
        <w:t xml:space="preserve">на рабочем уровне </w:t>
      </w:r>
      <w:r>
        <w:t>обсуждаются</w:t>
      </w:r>
      <w:r w:rsidR="005F7352">
        <w:t xml:space="preserve"> операционные процедуры при этом </w:t>
      </w:r>
      <w:r>
        <w:t xml:space="preserve">пилотная программа </w:t>
      </w:r>
      <w:r w:rsidR="005F7352">
        <w:t xml:space="preserve">будет </w:t>
      </w:r>
      <w:r>
        <w:t xml:space="preserve">запущена </w:t>
      </w:r>
      <w:r w:rsidR="005F7352">
        <w:t>не ранее</w:t>
      </w:r>
      <w:r>
        <w:t xml:space="preserve"> июн</w:t>
      </w:r>
      <w:r w:rsidR="005F7352">
        <w:t>я</w:t>
      </w:r>
      <w:r>
        <w:t xml:space="preserve"> 2017 г. </w:t>
      </w:r>
    </w:p>
    <w:p w:rsidR="002F15F0" w:rsidRPr="00DD336A" w:rsidRDefault="002F15F0" w:rsidP="00DD336A"/>
    <w:p w:rsidR="002F15F0" w:rsidRPr="00DD336A" w:rsidRDefault="002F15F0" w:rsidP="00DD336A">
      <w:pPr>
        <w:rPr>
          <w:i/>
        </w:rPr>
      </w:pPr>
      <w:r>
        <w:rPr>
          <w:i/>
        </w:rPr>
        <w:t>(iii)</w:t>
      </w:r>
      <w:r>
        <w:rPr>
          <w:i/>
        </w:rPr>
        <w:tab/>
        <w:t>Международные мероприятия для экспертов</w:t>
      </w:r>
    </w:p>
    <w:p w:rsidR="002F15F0" w:rsidRPr="00DD336A" w:rsidRDefault="002F15F0" w:rsidP="00DD336A"/>
    <w:p w:rsidR="002F15F0" w:rsidRPr="00C40657" w:rsidRDefault="002F15F0" w:rsidP="00DD336A">
      <w:r>
        <w:t>Международные мероприятия для экспертов – это механизмы, в рамках которых эксперты из разных стран могут встретить</w:t>
      </w:r>
      <w:r w:rsidR="00681CE0">
        <w:t>ся</w:t>
      </w:r>
      <w:r>
        <w:t xml:space="preserve">, </w:t>
      </w:r>
      <w:r w:rsidR="00681CE0">
        <w:t xml:space="preserve">открыто </w:t>
      </w:r>
      <w:r>
        <w:t xml:space="preserve">обменяться мнениями и обсудить практику проведения экспертизы.  Основные цели таких мероприятий: (1) содействие эффективному </w:t>
      </w:r>
      <w:r w:rsidRPr="00110530">
        <w:t xml:space="preserve">обмену опытом работы </w:t>
      </w:r>
      <w:r w:rsidR="00681CE0" w:rsidRPr="00110530">
        <w:t>по</w:t>
      </w:r>
      <w:r w:rsidRPr="00110530">
        <w:t xml:space="preserve"> проведени</w:t>
      </w:r>
      <w:r w:rsidR="00681CE0" w:rsidRPr="00110530">
        <w:t>ю</w:t>
      </w:r>
      <w:r w:rsidRPr="00110530">
        <w:t xml:space="preserve"> патентной</w:t>
      </w:r>
      <w:r>
        <w:t xml:space="preserve"> экспертизы на основ</w:t>
      </w:r>
      <w:r w:rsidR="00681CE0">
        <w:t>е</w:t>
      </w:r>
      <w:r>
        <w:t xml:space="preserve"> общего понимания практики поиска по предшествующему уровню техники и проведения экспертизы; (2) обеспечени</w:t>
      </w:r>
      <w:r w:rsidR="00681CE0">
        <w:t>е</w:t>
      </w:r>
      <w:r>
        <w:t xml:space="preserve"> единообразия </w:t>
      </w:r>
      <w:r w:rsidR="00681CE0">
        <w:t xml:space="preserve">и высокого уровня качества </w:t>
      </w:r>
      <w:r>
        <w:t>практики патентной экспертизы; (3) гармонизация патентных классификаций.  В период с апреля 2000 г. по январь 2017 г. ЯПВ проводило кратко</w:t>
      </w:r>
      <w:r w:rsidR="00624408">
        <w:t xml:space="preserve">-, средне- и </w:t>
      </w:r>
      <w:r>
        <w:t>долгосрочные</w:t>
      </w:r>
      <w:r w:rsidR="00624408" w:rsidRPr="00624408">
        <w:t xml:space="preserve"> </w:t>
      </w:r>
      <w:r w:rsidR="00624408">
        <w:t>международные мероприятия для экспертов</w:t>
      </w:r>
      <w:r>
        <w:t>, при этом в них приняли участие в общей сложности 29 ведомств и организаций</w:t>
      </w:r>
      <w:r w:rsidR="00624408">
        <w:t xml:space="preserve"> ИС</w:t>
      </w:r>
      <w:r>
        <w:t>.</w:t>
      </w:r>
    </w:p>
    <w:p w:rsidR="002F15F0" w:rsidRPr="00DD336A" w:rsidRDefault="002F15F0" w:rsidP="00DD336A"/>
    <w:p w:rsidR="002F15F0" w:rsidRPr="00DD336A" w:rsidRDefault="002F15F0" w:rsidP="00A774B5">
      <w:pPr>
        <w:keepNext/>
        <w:rPr>
          <w:i/>
        </w:rPr>
      </w:pPr>
      <w:r>
        <w:rPr>
          <w:i/>
        </w:rPr>
        <w:t>(iv)</w:t>
      </w:r>
      <w:r>
        <w:rPr>
          <w:i/>
        </w:rPr>
        <w:tab/>
        <w:t xml:space="preserve">Совместные инициативы по патентной экспертизе для стран с </w:t>
      </w:r>
      <w:r w:rsidR="00C63AFF">
        <w:rPr>
          <w:i/>
        </w:rPr>
        <w:t>формирующейся рыночной экономикой</w:t>
      </w:r>
    </w:p>
    <w:p w:rsidR="002F15F0" w:rsidRPr="00DD336A" w:rsidRDefault="002F15F0" w:rsidP="00A774B5">
      <w:pPr>
        <w:keepNext/>
      </w:pPr>
    </w:p>
    <w:p w:rsidR="002F15F0" w:rsidRPr="00DD336A" w:rsidRDefault="002F15F0" w:rsidP="00A774B5">
      <w:pPr>
        <w:keepNext/>
        <w:ind w:left="567"/>
      </w:pPr>
      <w:r>
        <w:t>(a)</w:t>
      </w:r>
      <w:r>
        <w:tab/>
        <w:t>Сингапур</w:t>
      </w:r>
    </w:p>
    <w:p w:rsidR="00DD336A" w:rsidRDefault="00DD336A" w:rsidP="00A774B5">
      <w:pPr>
        <w:keepNext/>
        <w:ind w:left="567"/>
      </w:pPr>
    </w:p>
    <w:p w:rsidR="002F15F0" w:rsidRPr="00DD336A" w:rsidRDefault="002F15F0" w:rsidP="00DD336A">
      <w:pPr>
        <w:ind w:left="567"/>
      </w:pPr>
      <w:r>
        <w:t xml:space="preserve">ЯПВ осуществляет сотрудничество в целях расширения возможностей патентных экспертов, работающих в Ведомстве интеллектуальной собственности Сингапура (IPOS), которое в 2015 г. начало выполнять функции МПО/ОМПЭ в рамках PCT.  В рамках такого сотрудничества в декабре 2014 г. старший эксперт ЯПВ был направлен в IPOS </w:t>
      </w:r>
      <w:r w:rsidR="00C63AFF">
        <w:t xml:space="preserve">в длительную командировку </w:t>
      </w:r>
      <w:r>
        <w:t xml:space="preserve">в целях наращивания потенциала IPOS в области патентной экспертизы, в том числе для проведения операций PCT.  </w:t>
      </w:r>
    </w:p>
    <w:p w:rsidR="002F15F0" w:rsidRPr="00DD336A" w:rsidRDefault="002F15F0" w:rsidP="00DD336A">
      <w:pPr>
        <w:ind w:left="567"/>
      </w:pPr>
    </w:p>
    <w:p w:rsidR="002F15F0" w:rsidRPr="00DD336A" w:rsidRDefault="002F15F0" w:rsidP="00DD336A">
      <w:pPr>
        <w:ind w:left="567"/>
      </w:pPr>
      <w:r>
        <w:t>(b)</w:t>
      </w:r>
      <w:r>
        <w:tab/>
        <w:t>Индия</w:t>
      </w:r>
    </w:p>
    <w:p w:rsidR="00DD336A" w:rsidRDefault="00DD336A" w:rsidP="00DD336A">
      <w:pPr>
        <w:ind w:left="567"/>
      </w:pPr>
    </w:p>
    <w:p w:rsidR="002F15F0" w:rsidRPr="00DD336A" w:rsidRDefault="002F15F0" w:rsidP="00DD336A">
      <w:pPr>
        <w:ind w:left="567"/>
      </w:pPr>
      <w:r>
        <w:t>ЯПВ оказывает поддержку Генеральному управлению по контролю за патентами, образцами и товарными знаками (CGPDTM) Индии, которое начало выполнять функции МПО/ОМПЭ в 2013 г.  Начиная с 2013 </w:t>
      </w:r>
      <w:r w:rsidR="00C63AFF">
        <w:t xml:space="preserve">финансового </w:t>
      </w:r>
      <w:r>
        <w:t>г</w:t>
      </w:r>
      <w:r w:rsidR="00C63AFF">
        <w:t>ода</w:t>
      </w:r>
      <w:r>
        <w:t xml:space="preserve"> ЯПВ направило несколько экспертов в CGPDTM в целях оказания содействия в осуществлении операций в рамках PCT.  Кроме того, в ноябре 2016 г. в рамках японского целевого фонда в ВОИС ЯПВ провело в CGPDTM (как в МПО/ОМПЭ) семинар-практикум </w:t>
      </w:r>
      <w:r w:rsidR="00C63AFF">
        <w:t xml:space="preserve">по повышению квалификации </w:t>
      </w:r>
      <w:r>
        <w:t xml:space="preserve">патентных экспертов в области поиска и экспертизы.  Это мероприятие стало частью учебной программы CGPDTM для недавно принятых на работу экспертов. </w:t>
      </w:r>
    </w:p>
    <w:p w:rsidR="002F15F0" w:rsidRPr="00DD336A" w:rsidRDefault="002F15F0" w:rsidP="00DD336A"/>
    <w:p w:rsidR="00AA5F79" w:rsidRPr="00F241A3" w:rsidRDefault="00AA5F79" w:rsidP="00F241A3"/>
    <w:p w:rsidR="00AA5F79" w:rsidRPr="00AA5F79" w:rsidRDefault="00FA4CE0" w:rsidP="00FA4CE0">
      <w:pPr>
        <w:pStyle w:val="Endofdocument-Annex"/>
      </w:pPr>
      <w:r>
        <w:t>[Конец приложения и документа]</w:t>
      </w:r>
    </w:p>
    <w:sectPr w:rsidR="00AA5F79" w:rsidRPr="00AA5F79" w:rsidSect="00DD336A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3B" w:rsidRDefault="006D593B">
      <w:r>
        <w:separator/>
      </w:r>
    </w:p>
  </w:endnote>
  <w:endnote w:type="continuationSeparator" w:id="0">
    <w:p w:rsidR="006D593B" w:rsidRDefault="006D593B" w:rsidP="003B38C1">
      <w:r>
        <w:separator/>
      </w:r>
    </w:p>
    <w:p w:rsidR="006D593B" w:rsidRPr="00B475AF" w:rsidRDefault="006D593B" w:rsidP="003B38C1">
      <w:pPr>
        <w:spacing w:after="60"/>
        <w:rPr>
          <w:sz w:val="17"/>
          <w:lang w:val="en-GB"/>
        </w:rPr>
      </w:pPr>
      <w:r w:rsidRPr="00B475AF">
        <w:rPr>
          <w:sz w:val="17"/>
          <w:lang w:val="en-GB"/>
        </w:rPr>
        <w:t>[Endnote continued from previous page]</w:t>
      </w:r>
    </w:p>
  </w:endnote>
  <w:endnote w:type="continuationNotice" w:id="1">
    <w:p w:rsidR="006D593B" w:rsidRPr="00B475AF" w:rsidRDefault="006D593B" w:rsidP="003B38C1">
      <w:pPr>
        <w:spacing w:before="60"/>
        <w:jc w:val="right"/>
        <w:rPr>
          <w:sz w:val="17"/>
          <w:szCs w:val="17"/>
          <w:lang w:val="en-GB"/>
        </w:rPr>
      </w:pPr>
      <w:r w:rsidRPr="00B475AF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3B" w:rsidRDefault="006D593B">
      <w:r>
        <w:separator/>
      </w:r>
    </w:p>
  </w:footnote>
  <w:footnote w:type="continuationSeparator" w:id="0">
    <w:p w:rsidR="006D593B" w:rsidRDefault="006D593B" w:rsidP="008B60B2">
      <w:r>
        <w:separator/>
      </w:r>
    </w:p>
    <w:p w:rsidR="006D593B" w:rsidRPr="00B475AF" w:rsidRDefault="006D593B" w:rsidP="008B60B2">
      <w:pPr>
        <w:spacing w:after="60"/>
        <w:rPr>
          <w:sz w:val="17"/>
          <w:szCs w:val="17"/>
          <w:lang w:val="en-GB"/>
        </w:rPr>
      </w:pPr>
      <w:r w:rsidRPr="00B475AF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:rsidR="006D593B" w:rsidRPr="00B475AF" w:rsidRDefault="006D593B" w:rsidP="008B60B2">
      <w:pPr>
        <w:spacing w:before="60"/>
        <w:jc w:val="right"/>
        <w:rPr>
          <w:sz w:val="17"/>
          <w:szCs w:val="17"/>
          <w:lang w:val="en-GB"/>
        </w:rPr>
      </w:pPr>
      <w:r w:rsidRPr="00B475AF">
        <w:rPr>
          <w:sz w:val="17"/>
          <w:szCs w:val="17"/>
          <w:lang w:val="en-GB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6D" w:rsidRDefault="00B0386D" w:rsidP="00477D6B">
    <w:pPr>
      <w:jc w:val="right"/>
    </w:pPr>
    <w:bookmarkStart w:id="6" w:name="Code2"/>
    <w:bookmarkEnd w:id="6"/>
    <w:r>
      <w:t>PCT/CTC/30/15</w:t>
    </w:r>
  </w:p>
  <w:p w:rsidR="00B0386D" w:rsidRDefault="00B0386D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:rsidR="00B0386D" w:rsidRDefault="00B0386D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6D" w:rsidRPr="00AA5F79" w:rsidRDefault="00B0386D" w:rsidP="00477D6B">
    <w:pPr>
      <w:jc w:val="right"/>
    </w:pPr>
    <w:r>
      <w:t>PCT/CTC/30/15</w:t>
    </w:r>
  </w:p>
  <w:p w:rsidR="00B0386D" w:rsidRPr="00AA5F79" w:rsidRDefault="00B0386D" w:rsidP="00477D6B">
    <w:pPr>
      <w:jc w:val="right"/>
    </w:pPr>
    <w:r>
      <w:t xml:space="preserve">Приложение, стр. </w:t>
    </w:r>
    <w:r>
      <w:fldChar w:fldCharType="begin"/>
    </w:r>
    <w:r w:rsidRPr="00AA5F79">
      <w:instrText xml:space="preserve"> PAGE  \* MERGEFORMAT </w:instrText>
    </w:r>
    <w:r>
      <w:fldChar w:fldCharType="separate"/>
    </w:r>
    <w:r w:rsidR="008A2450">
      <w:rPr>
        <w:noProof/>
      </w:rPr>
      <w:t>6</w:t>
    </w:r>
    <w:r>
      <w:fldChar w:fldCharType="end"/>
    </w:r>
  </w:p>
  <w:p w:rsidR="00B0386D" w:rsidRPr="00AA5F79" w:rsidRDefault="00B0386D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6D" w:rsidRDefault="00B0386D" w:rsidP="00AA5F79">
    <w:pPr>
      <w:pStyle w:val="Header"/>
      <w:jc w:val="right"/>
    </w:pPr>
    <w:r>
      <w:t>PCT/CTC/30/15</w:t>
    </w:r>
  </w:p>
  <w:p w:rsidR="00B0386D" w:rsidRDefault="00B0386D" w:rsidP="00AA5F79">
    <w:pPr>
      <w:pStyle w:val="Header"/>
      <w:jc w:val="right"/>
    </w:pPr>
    <w:r>
      <w:t>ПРИЛОЖЕНИЕ</w:t>
    </w:r>
  </w:p>
  <w:p w:rsidR="00B0386D" w:rsidRDefault="00B038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9719A2"/>
    <w:multiLevelType w:val="hybridMultilevel"/>
    <w:tmpl w:val="8C704C42"/>
    <w:lvl w:ilvl="0" w:tplc="16A4114C">
      <w:start w:val="1"/>
      <w:numFmt w:val="bullet"/>
      <w:pStyle w:val="ListParagraph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2216577"/>
    <w:multiLevelType w:val="hybridMultilevel"/>
    <w:tmpl w:val="E97848D6"/>
    <w:lvl w:ilvl="0" w:tplc="B8FE656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4"/>
    <w:rsid w:val="00011582"/>
    <w:rsid w:val="00043CAA"/>
    <w:rsid w:val="000477FF"/>
    <w:rsid w:val="00075432"/>
    <w:rsid w:val="0008006D"/>
    <w:rsid w:val="000968ED"/>
    <w:rsid w:val="000B1CF6"/>
    <w:rsid w:val="000F5E56"/>
    <w:rsid w:val="00110530"/>
    <w:rsid w:val="001362EE"/>
    <w:rsid w:val="00145C5E"/>
    <w:rsid w:val="00176779"/>
    <w:rsid w:val="001832A6"/>
    <w:rsid w:val="001A622B"/>
    <w:rsid w:val="001B4105"/>
    <w:rsid w:val="0021217E"/>
    <w:rsid w:val="0022404A"/>
    <w:rsid w:val="002634C4"/>
    <w:rsid w:val="00290870"/>
    <w:rsid w:val="002928D3"/>
    <w:rsid w:val="00295706"/>
    <w:rsid w:val="002F15F0"/>
    <w:rsid w:val="002F1FE6"/>
    <w:rsid w:val="002F4E68"/>
    <w:rsid w:val="00312F7F"/>
    <w:rsid w:val="0035027E"/>
    <w:rsid w:val="00361450"/>
    <w:rsid w:val="0036387D"/>
    <w:rsid w:val="00366573"/>
    <w:rsid w:val="003673CF"/>
    <w:rsid w:val="003845C1"/>
    <w:rsid w:val="003A6F89"/>
    <w:rsid w:val="003B38C1"/>
    <w:rsid w:val="00415B35"/>
    <w:rsid w:val="00423E3E"/>
    <w:rsid w:val="00427AF4"/>
    <w:rsid w:val="004647DA"/>
    <w:rsid w:val="00474062"/>
    <w:rsid w:val="00477D6B"/>
    <w:rsid w:val="004B01E7"/>
    <w:rsid w:val="004B0387"/>
    <w:rsid w:val="004B6EC4"/>
    <w:rsid w:val="004F74E6"/>
    <w:rsid w:val="005019FF"/>
    <w:rsid w:val="00526B3F"/>
    <w:rsid w:val="0053057A"/>
    <w:rsid w:val="00560A29"/>
    <w:rsid w:val="005C40A3"/>
    <w:rsid w:val="005C6649"/>
    <w:rsid w:val="005F7352"/>
    <w:rsid w:val="0060159B"/>
    <w:rsid w:val="00605827"/>
    <w:rsid w:val="00624408"/>
    <w:rsid w:val="00633446"/>
    <w:rsid w:val="00646050"/>
    <w:rsid w:val="00664AE3"/>
    <w:rsid w:val="006713CA"/>
    <w:rsid w:val="00676C5C"/>
    <w:rsid w:val="00681CE0"/>
    <w:rsid w:val="006D593B"/>
    <w:rsid w:val="007A4BE8"/>
    <w:rsid w:val="007D1613"/>
    <w:rsid w:val="007E4C0E"/>
    <w:rsid w:val="00837953"/>
    <w:rsid w:val="0086470C"/>
    <w:rsid w:val="00874C4D"/>
    <w:rsid w:val="00891E59"/>
    <w:rsid w:val="008A2450"/>
    <w:rsid w:val="008B2CC1"/>
    <w:rsid w:val="008B50A2"/>
    <w:rsid w:val="008B60B2"/>
    <w:rsid w:val="0090731E"/>
    <w:rsid w:val="00916EE2"/>
    <w:rsid w:val="00966A22"/>
    <w:rsid w:val="0096722F"/>
    <w:rsid w:val="00980843"/>
    <w:rsid w:val="00980F11"/>
    <w:rsid w:val="009E2791"/>
    <w:rsid w:val="009E3F6F"/>
    <w:rsid w:val="009F499F"/>
    <w:rsid w:val="00A22FBE"/>
    <w:rsid w:val="00A42DAF"/>
    <w:rsid w:val="00A45BD8"/>
    <w:rsid w:val="00A563BC"/>
    <w:rsid w:val="00A745F8"/>
    <w:rsid w:val="00A774B5"/>
    <w:rsid w:val="00A869B7"/>
    <w:rsid w:val="00A93FC2"/>
    <w:rsid w:val="00A9442E"/>
    <w:rsid w:val="00AA5F79"/>
    <w:rsid w:val="00AC205C"/>
    <w:rsid w:val="00AE61B2"/>
    <w:rsid w:val="00AF0A6B"/>
    <w:rsid w:val="00B0386D"/>
    <w:rsid w:val="00B05A69"/>
    <w:rsid w:val="00B13C90"/>
    <w:rsid w:val="00B34F1F"/>
    <w:rsid w:val="00B475AF"/>
    <w:rsid w:val="00B9734B"/>
    <w:rsid w:val="00BA30E2"/>
    <w:rsid w:val="00BA7A2D"/>
    <w:rsid w:val="00BC728F"/>
    <w:rsid w:val="00BD078D"/>
    <w:rsid w:val="00BD5696"/>
    <w:rsid w:val="00C03F3B"/>
    <w:rsid w:val="00C10D82"/>
    <w:rsid w:val="00C11BFE"/>
    <w:rsid w:val="00C37A54"/>
    <w:rsid w:val="00C37C03"/>
    <w:rsid w:val="00C5068F"/>
    <w:rsid w:val="00C63AFF"/>
    <w:rsid w:val="00C650A4"/>
    <w:rsid w:val="00CD04F1"/>
    <w:rsid w:val="00D45252"/>
    <w:rsid w:val="00D53165"/>
    <w:rsid w:val="00D71B4D"/>
    <w:rsid w:val="00D93D55"/>
    <w:rsid w:val="00D973BE"/>
    <w:rsid w:val="00DD336A"/>
    <w:rsid w:val="00E15015"/>
    <w:rsid w:val="00E16B12"/>
    <w:rsid w:val="00E335FE"/>
    <w:rsid w:val="00E82D0C"/>
    <w:rsid w:val="00EC4E49"/>
    <w:rsid w:val="00ED77FB"/>
    <w:rsid w:val="00EE45FA"/>
    <w:rsid w:val="00F20638"/>
    <w:rsid w:val="00F241A3"/>
    <w:rsid w:val="00F66152"/>
    <w:rsid w:val="00F8441A"/>
    <w:rsid w:val="00F95AE6"/>
    <w:rsid w:val="00FA4CE0"/>
    <w:rsid w:val="00FD06A7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styleId="Hyperlink">
    <w:name w:val="Hyperlink"/>
    <w:rsid w:val="00891E59"/>
    <w:rPr>
      <w:rFonts w:eastAsiaTheme="minorEastAsia"/>
      <w:szCs w:val="22"/>
      <w:lang w:eastAsia="ja-JP"/>
    </w:rPr>
  </w:style>
  <w:style w:type="paragraph" w:customStyle="1" w:styleId="SectionHeading">
    <w:name w:val="Section Heading"/>
    <w:basedOn w:val="Heading1"/>
    <w:link w:val="SectionHeadingChar"/>
    <w:qFormat/>
    <w:rsid w:val="002F15F0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link w:val="SectionHeading"/>
    <w:rsid w:val="002F15F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2F15F0"/>
    <w:pPr>
      <w:keepNext/>
      <w:numPr>
        <w:numId w:val="7"/>
      </w:numPr>
    </w:pPr>
    <w:rPr>
      <w:rFonts w:eastAsia="MS PGothic"/>
      <w:szCs w:val="22"/>
      <w:u w:val="single"/>
      <w:lang w:eastAsia="ja-JP"/>
    </w:rPr>
  </w:style>
  <w:style w:type="paragraph" w:customStyle="1" w:styleId="Note-mainpara">
    <w:name w:val="Note - main para"/>
    <w:basedOn w:val="Normal"/>
    <w:link w:val="Note-mainparaChar"/>
    <w:locked/>
    <w:rsid w:val="002F15F0"/>
    <w:pPr>
      <w:ind w:left="709" w:hanging="709"/>
    </w:pPr>
    <w:rPr>
      <w:rFonts w:ascii="Times New Roman" w:eastAsia="MS Mincho" w:hAnsi="Times New Roman" w:cs="Times New Roman"/>
      <w:sz w:val="24"/>
      <w:lang w:eastAsia="ja-JP"/>
    </w:rPr>
  </w:style>
  <w:style w:type="character" w:customStyle="1" w:styleId="Note-mainparaChar">
    <w:name w:val="Note - main para Char"/>
    <w:link w:val="Note-mainpara"/>
    <w:rsid w:val="002F15F0"/>
    <w:rPr>
      <w:rFonts w:eastAsia="MS Mincho"/>
      <w:sz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styleId="Hyperlink">
    <w:name w:val="Hyperlink"/>
    <w:rsid w:val="00891E59"/>
    <w:rPr>
      <w:rFonts w:eastAsiaTheme="minorEastAsia"/>
      <w:szCs w:val="22"/>
      <w:lang w:eastAsia="ja-JP"/>
    </w:rPr>
  </w:style>
  <w:style w:type="paragraph" w:customStyle="1" w:styleId="SectionHeading">
    <w:name w:val="Section Heading"/>
    <w:basedOn w:val="Heading1"/>
    <w:link w:val="SectionHeadingChar"/>
    <w:qFormat/>
    <w:rsid w:val="002F15F0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link w:val="SectionHeading"/>
    <w:rsid w:val="002F15F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2F15F0"/>
    <w:pPr>
      <w:keepNext/>
      <w:numPr>
        <w:numId w:val="7"/>
      </w:numPr>
    </w:pPr>
    <w:rPr>
      <w:rFonts w:eastAsia="MS PGothic"/>
      <w:szCs w:val="22"/>
      <w:u w:val="single"/>
      <w:lang w:eastAsia="ja-JP"/>
    </w:rPr>
  </w:style>
  <w:style w:type="paragraph" w:customStyle="1" w:styleId="Note-mainpara">
    <w:name w:val="Note - main para"/>
    <w:basedOn w:val="Normal"/>
    <w:link w:val="Note-mainparaChar"/>
    <w:locked/>
    <w:rsid w:val="002F15F0"/>
    <w:pPr>
      <w:ind w:left="709" w:hanging="709"/>
    </w:pPr>
    <w:rPr>
      <w:rFonts w:ascii="Times New Roman" w:eastAsia="MS Mincho" w:hAnsi="Times New Roman" w:cs="Times New Roman"/>
      <w:sz w:val="24"/>
      <w:lang w:eastAsia="ja-JP"/>
    </w:rPr>
  </w:style>
  <w:style w:type="character" w:customStyle="1" w:styleId="Note-mainparaChar">
    <w:name w:val="Note - main para Char"/>
    <w:link w:val="Note-mainpara"/>
    <w:rsid w:val="002F15F0"/>
    <w:rPr>
      <w:rFonts w:eastAsia="MS Mincho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pct/en/quality/authoritie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179F-E293-4BD8-B004-D5AD52F3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2266</Words>
  <Characters>15427</Characters>
  <Application>Microsoft Office Word</Application>
  <DocSecurity>0</DocSecurity>
  <Lines>128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Название</vt:lpstr>
      </vt:variant>
      <vt:variant>
        <vt:i4>1</vt:i4>
      </vt:variant>
    </vt:vector>
  </HeadingPairs>
  <TitlesOfParts>
    <vt:vector size="7" baseType="lpstr">
      <vt:lpstr>PCT/CTC/30/15</vt:lpstr>
      <vt:lpstr>1 – ОБЩИЕ СВЕДЕНИЯ</vt:lpstr>
      <vt:lpstr>2 – ОСНОВНЫЕ КРИТЕРИИ: МИНИМУМ ТРЕБОВАНИЙ ДЛЯ НАЗНАЧЕНИЯ</vt:lpstr>
      <vt:lpstr>2.1 – ВОЗМОЖНОСТИ ДЛЯ ПРОВЕДЕНИЯ ПОИСКА И ЭКСПЕРТИЗЫ</vt:lpstr>
      <vt:lpstr>2.2 – СИСТЕМА УПРАВЛЕНИЯ КАЧЕСТВОМ</vt:lpstr>
      <vt:lpstr>2.3 – ОБМЕН ИНФОРМАЦИЕЙ И ПРЕДЛОЖЕНИЯМИ ПО ПЕРЕДОВОЙ ПРАКТИКЕ С ДРУГИМИ МЕЖДУНАР</vt:lpstr>
      <vt:lpstr>PCT/CTC/30/15</vt:lpstr>
    </vt:vector>
  </TitlesOfParts>
  <Company>WIPO</Company>
  <LinksUpToDate>false</LinksUpToDate>
  <CharactersWithSpaces>17658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PCT/CTC/30/15</dc:title>
  <dc:subject>Extension of Appointment of the Japan Patent Office as an International Searching and Preliminary Examining Authority Under the PCT</dc:subject>
  <dc:creator>MARLOW Thomas</dc:creator>
  <cp:lastModifiedBy>MARLOW Thomas</cp:lastModifiedBy>
  <cp:revision>2</cp:revision>
  <cp:lastPrinted>2017-02-28T14:25:00Z</cp:lastPrinted>
  <dcterms:created xsi:type="dcterms:W3CDTF">2017-04-05T16:34:00Z</dcterms:created>
  <dcterms:modified xsi:type="dcterms:W3CDTF">2017-04-05T16:34:00Z</dcterms:modified>
</cp:coreProperties>
</file>