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528C" w:rsidRPr="008A37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528C" w:rsidRPr="008A3790" w:rsidRDefault="0062528C">
            <w:pPr>
              <w:rPr>
                <w:rFonts w:eastAsia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28C" w:rsidRPr="008A3790" w:rsidRDefault="003A0BF9">
            <w:pPr>
              <w:rPr>
                <w:rFonts w:eastAsia="Times New Roman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739900" cy="1295400"/>
                  <wp:effectExtent l="0" t="0" r="0" b="0"/>
                  <wp:docPr id="3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528C" w:rsidRPr="008A3790" w:rsidRDefault="004E33E6">
            <w:pPr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noProof/>
                <w:sz w:val="40"/>
                <w:szCs w:val="24"/>
              </w:rPr>
              <w:t>R</w:t>
            </w:r>
          </w:p>
        </w:tc>
      </w:tr>
      <w:tr w:rsidR="0062528C" w:rsidRPr="00C97D9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28C" w:rsidRPr="00C97D9B" w:rsidRDefault="0062528C" w:rsidP="001B11BC">
            <w:pPr>
              <w:jc w:val="right"/>
              <w:rPr>
                <w:rFonts w:ascii="Arial Black" w:eastAsia="Times New Roman" w:hAnsi="Arial Black"/>
                <w:caps/>
                <w:sz w:val="15"/>
                <w:szCs w:val="24"/>
              </w:rPr>
            </w:pPr>
            <w:bookmarkStart w:id="1" w:name="Code"/>
            <w:r w:rsidRPr="00C97D9B">
              <w:rPr>
                <w:rFonts w:ascii="Arial Black" w:eastAsia="Times New Roman" w:hAnsi="Arial Black"/>
                <w:caps/>
                <w:noProof/>
                <w:sz w:val="15"/>
                <w:szCs w:val="24"/>
              </w:rPr>
              <w:t xml:space="preserve">PCT/CTC/29/4 </w:t>
            </w:r>
            <w:bookmarkEnd w:id="1"/>
          </w:p>
        </w:tc>
      </w:tr>
      <w:tr w:rsidR="0062528C" w:rsidRPr="00C97D9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28C" w:rsidRPr="00C97D9B" w:rsidRDefault="0062528C">
            <w:pPr>
              <w:jc w:val="right"/>
              <w:rPr>
                <w:rFonts w:ascii="Arial Black" w:hAnsi="Arial Black"/>
                <w:caps/>
                <w:sz w:val="15"/>
                <w:szCs w:val="24"/>
                <w:lang w:val="ru-RU"/>
              </w:rPr>
            </w:pPr>
            <w:bookmarkStart w:id="2" w:name="Original"/>
            <w:r w:rsidRPr="00C97D9B">
              <w:rPr>
                <w:rFonts w:ascii="Arial Black" w:hAnsi="Arial Black"/>
                <w:caps/>
                <w:sz w:val="15"/>
                <w:szCs w:val="24"/>
                <w:lang w:val="ru-RU"/>
              </w:rPr>
              <w:t>ОРИГИНАЛ</w:t>
            </w:r>
            <w:r w:rsidR="00001604">
              <w:rPr>
                <w:rFonts w:ascii="Arial Black" w:hAnsi="Arial Black"/>
                <w:caps/>
                <w:noProof/>
                <w:sz w:val="15"/>
                <w:szCs w:val="24"/>
              </w:rPr>
              <w:t xml:space="preserve">: </w:t>
            </w:r>
            <w:r w:rsidRPr="00C97D9B">
              <w:rPr>
                <w:rFonts w:ascii="Arial Black" w:hAnsi="Arial Black"/>
                <w:caps/>
                <w:noProof/>
                <w:sz w:val="15"/>
                <w:szCs w:val="24"/>
              </w:rPr>
              <w:t xml:space="preserve">АНГЛИЙСКИЙ </w:t>
            </w:r>
            <w:bookmarkEnd w:id="2"/>
          </w:p>
        </w:tc>
      </w:tr>
      <w:tr w:rsidR="0062528C" w:rsidRPr="00C97D9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28C" w:rsidRPr="00C97D9B" w:rsidRDefault="0062528C" w:rsidP="001B11BC">
            <w:pPr>
              <w:jc w:val="right"/>
              <w:rPr>
                <w:rFonts w:ascii="Arial Black" w:hAnsi="Arial Black"/>
                <w:caps/>
                <w:sz w:val="15"/>
                <w:szCs w:val="24"/>
                <w:lang w:val="ru-RU"/>
              </w:rPr>
            </w:pPr>
            <w:bookmarkStart w:id="3" w:name="Date"/>
            <w:r w:rsidRPr="00C97D9B">
              <w:rPr>
                <w:rFonts w:ascii="Arial Black" w:hAnsi="Arial Black"/>
                <w:caps/>
                <w:sz w:val="15"/>
                <w:szCs w:val="24"/>
                <w:lang w:val="ru-RU"/>
              </w:rPr>
              <w:t>дата</w:t>
            </w:r>
            <w:r w:rsidR="00001604">
              <w:rPr>
                <w:rFonts w:ascii="Arial Black" w:hAnsi="Arial Black"/>
                <w:caps/>
                <w:noProof/>
                <w:sz w:val="15"/>
                <w:szCs w:val="24"/>
              </w:rPr>
              <w:t xml:space="preserve">: </w:t>
            </w:r>
            <w:r w:rsidR="001B11BC">
              <w:rPr>
                <w:rFonts w:ascii="Arial Black" w:hAnsi="Arial Black"/>
                <w:caps/>
                <w:noProof/>
                <w:sz w:val="15"/>
                <w:szCs w:val="24"/>
                <w:lang w:val="ru-RU"/>
              </w:rPr>
              <w:t>25</w:t>
            </w:r>
            <w:r w:rsidRPr="00C97D9B">
              <w:rPr>
                <w:rFonts w:ascii="Arial Black" w:hAnsi="Arial Black"/>
                <w:caps/>
                <w:sz w:val="15"/>
                <w:szCs w:val="24"/>
                <w:lang w:val="ru-RU"/>
              </w:rPr>
              <w:t xml:space="preserve"> </w:t>
            </w:r>
            <w:r w:rsidR="001B11BC">
              <w:rPr>
                <w:rFonts w:ascii="Arial Black" w:hAnsi="Arial Black"/>
                <w:caps/>
                <w:sz w:val="15"/>
                <w:szCs w:val="24"/>
                <w:lang w:val="ru-RU"/>
              </w:rPr>
              <w:t>августа</w:t>
            </w:r>
            <w:r w:rsidRPr="00C97D9B">
              <w:rPr>
                <w:rFonts w:ascii="Arial Black" w:hAnsi="Arial Black"/>
                <w:caps/>
                <w:sz w:val="15"/>
                <w:szCs w:val="24"/>
                <w:lang w:val="ru-RU"/>
              </w:rPr>
              <w:t xml:space="preserve"> </w:t>
            </w:r>
            <w:r w:rsidRPr="00C97D9B">
              <w:rPr>
                <w:rFonts w:ascii="Arial Black" w:hAnsi="Arial Black"/>
                <w:caps/>
                <w:noProof/>
                <w:sz w:val="15"/>
                <w:szCs w:val="24"/>
              </w:rPr>
              <w:t>2016</w:t>
            </w:r>
            <w:r w:rsidRPr="00C97D9B">
              <w:rPr>
                <w:rFonts w:ascii="Arial Black" w:hAnsi="Arial Black"/>
                <w:caps/>
                <w:sz w:val="15"/>
                <w:szCs w:val="24"/>
                <w:lang w:val="ru-RU"/>
              </w:rPr>
              <w:t xml:space="preserve"> г</w:t>
            </w:r>
            <w:r>
              <w:rPr>
                <w:rFonts w:ascii="Arial Black" w:hAnsi="Arial Black"/>
                <w:caps/>
                <w:sz w:val="15"/>
                <w:szCs w:val="24"/>
                <w:lang w:val="ru-RU"/>
              </w:rPr>
              <w:t xml:space="preserve">.  </w:t>
            </w:r>
            <w:bookmarkEnd w:id="3"/>
          </w:p>
        </w:tc>
      </w:tr>
    </w:tbl>
    <w:p w:rsidR="0062528C" w:rsidRPr="008A3790" w:rsidRDefault="0062528C">
      <w:pPr>
        <w:rPr>
          <w:rFonts w:eastAsia="Times New Roman"/>
          <w:szCs w:val="24"/>
        </w:rPr>
      </w:pPr>
    </w:p>
    <w:p w:rsidR="0062528C" w:rsidRPr="008A3790" w:rsidRDefault="0062528C">
      <w:pPr>
        <w:rPr>
          <w:rFonts w:eastAsia="Times New Roman"/>
          <w:szCs w:val="24"/>
        </w:rPr>
      </w:pPr>
    </w:p>
    <w:p w:rsidR="0062528C" w:rsidRPr="008A3790" w:rsidRDefault="0062528C">
      <w:pPr>
        <w:rPr>
          <w:rFonts w:eastAsia="Times New Roman"/>
          <w:szCs w:val="24"/>
        </w:rPr>
      </w:pPr>
    </w:p>
    <w:p w:rsidR="0062528C" w:rsidRPr="008A3790" w:rsidRDefault="0062528C">
      <w:pPr>
        <w:rPr>
          <w:rFonts w:eastAsia="Times New Roman"/>
          <w:szCs w:val="24"/>
        </w:rPr>
      </w:pPr>
    </w:p>
    <w:p w:rsidR="0062528C" w:rsidRPr="008A3790" w:rsidRDefault="0062528C">
      <w:pPr>
        <w:rPr>
          <w:rFonts w:eastAsia="Times New Roman"/>
          <w:szCs w:val="24"/>
        </w:rPr>
      </w:pPr>
    </w:p>
    <w:p w:rsidR="0062528C" w:rsidRPr="008A3790" w:rsidRDefault="0062528C">
      <w:pPr>
        <w:rPr>
          <w:rFonts w:eastAsia="Times New Roman"/>
          <w:b/>
          <w:sz w:val="28"/>
          <w:szCs w:val="24"/>
          <w:lang w:val="ru-RU"/>
        </w:rPr>
      </w:pPr>
      <w:r w:rsidRPr="008A3790">
        <w:rPr>
          <w:rFonts w:eastAsia="Times New Roman"/>
          <w:b/>
          <w:sz w:val="28"/>
          <w:szCs w:val="24"/>
          <w:lang w:val="ru-RU"/>
        </w:rPr>
        <w:t>Договор о патентной кооперации (</w:t>
      </w:r>
      <w:r w:rsidRPr="008A3790">
        <w:rPr>
          <w:rFonts w:eastAsia="Times New Roman"/>
          <w:b/>
          <w:sz w:val="28"/>
          <w:szCs w:val="24"/>
        </w:rPr>
        <w:t>PCT</w:t>
      </w:r>
      <w:r w:rsidRPr="008A3790">
        <w:rPr>
          <w:rFonts w:eastAsia="Times New Roman"/>
          <w:b/>
          <w:sz w:val="28"/>
          <w:szCs w:val="24"/>
          <w:lang w:val="ru-RU"/>
        </w:rPr>
        <w:t xml:space="preserve">) </w:t>
      </w:r>
    </w:p>
    <w:p w:rsidR="0062528C" w:rsidRPr="008A3790" w:rsidRDefault="0062528C">
      <w:pPr>
        <w:rPr>
          <w:rFonts w:eastAsia="Times New Roman"/>
          <w:b/>
          <w:sz w:val="28"/>
          <w:szCs w:val="24"/>
          <w:lang w:val="ru-RU"/>
        </w:rPr>
      </w:pPr>
      <w:r w:rsidRPr="008A3790">
        <w:rPr>
          <w:rFonts w:eastAsia="Times New Roman"/>
          <w:b/>
          <w:sz w:val="28"/>
          <w:szCs w:val="24"/>
          <w:lang w:val="ru-RU"/>
        </w:rPr>
        <w:t xml:space="preserve">Комитет по техническому сотрудничеству </w:t>
      </w: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b/>
          <w:sz w:val="24"/>
          <w:szCs w:val="24"/>
          <w:lang w:val="ru-RU"/>
        </w:rPr>
      </w:pPr>
      <w:r w:rsidRPr="008A3790">
        <w:rPr>
          <w:rFonts w:eastAsia="Times New Roman"/>
          <w:b/>
          <w:sz w:val="24"/>
          <w:szCs w:val="24"/>
          <w:lang w:val="ru-RU"/>
        </w:rPr>
        <w:t xml:space="preserve">Двадцать девятая сессия </w:t>
      </w:r>
    </w:p>
    <w:p w:rsidR="0062528C" w:rsidRPr="008A3790" w:rsidRDefault="0062528C">
      <w:pPr>
        <w:rPr>
          <w:b/>
          <w:sz w:val="24"/>
          <w:szCs w:val="24"/>
          <w:lang w:val="ru-RU"/>
        </w:rPr>
      </w:pPr>
      <w:r w:rsidRPr="008A3790">
        <w:rPr>
          <w:b/>
          <w:sz w:val="24"/>
          <w:szCs w:val="24"/>
          <w:lang w:val="ru-RU"/>
        </w:rPr>
        <w:t>Женева, 17-20 мая 2016</w:t>
      </w:r>
      <w:r w:rsidRPr="008A3790">
        <w:rPr>
          <w:b/>
          <w:sz w:val="24"/>
          <w:szCs w:val="24"/>
          <w:lang w:val="en-GB"/>
        </w:rPr>
        <w:t> </w:t>
      </w:r>
      <w:r w:rsidRPr="008A3790">
        <w:rPr>
          <w:b/>
          <w:sz w:val="24"/>
          <w:szCs w:val="24"/>
          <w:lang w:val="ru-RU"/>
        </w:rPr>
        <w:t>г.</w:t>
      </w: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1B11BC">
      <w:pPr>
        <w:rPr>
          <w:rFonts w:eastAsia="Times New Roman"/>
          <w:caps/>
          <w:sz w:val="24"/>
          <w:szCs w:val="24"/>
          <w:lang w:val="ru-RU"/>
        </w:rPr>
      </w:pPr>
      <w:bookmarkStart w:id="4" w:name="TitleOfDoc"/>
      <w:r>
        <w:rPr>
          <w:rFonts w:eastAsia="Times New Roman"/>
          <w:caps/>
          <w:sz w:val="24"/>
          <w:szCs w:val="24"/>
          <w:lang w:val="ru-RU"/>
        </w:rPr>
        <w:t>отчет</w:t>
      </w:r>
    </w:p>
    <w:bookmarkEnd w:id="4"/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1B11BC">
      <w:pPr>
        <w:rPr>
          <w:rFonts w:eastAsia="Times New Roman"/>
          <w:i/>
          <w:szCs w:val="24"/>
          <w:lang w:val="ru-RU"/>
        </w:rPr>
      </w:pPr>
      <w:bookmarkStart w:id="5" w:name="Prepared"/>
      <w:r>
        <w:rPr>
          <w:rFonts w:eastAsia="Times New Roman"/>
          <w:i/>
          <w:szCs w:val="24"/>
          <w:lang w:val="ru-RU"/>
        </w:rPr>
        <w:t>принят</w:t>
      </w:r>
      <w:r w:rsidR="0062528C" w:rsidRPr="008A3790">
        <w:rPr>
          <w:rFonts w:eastAsia="Times New Roman"/>
          <w:i/>
          <w:szCs w:val="24"/>
          <w:lang w:val="ru-RU"/>
        </w:rPr>
        <w:t xml:space="preserve"> </w:t>
      </w:r>
      <w:r>
        <w:rPr>
          <w:rFonts w:eastAsia="Times New Roman"/>
          <w:i/>
          <w:szCs w:val="24"/>
          <w:lang w:val="ru-RU"/>
        </w:rPr>
        <w:t>Комитетом</w:t>
      </w:r>
      <w:r w:rsidR="0062528C" w:rsidRPr="008A3790">
        <w:rPr>
          <w:rFonts w:eastAsia="Times New Roman"/>
          <w:i/>
          <w:szCs w:val="24"/>
          <w:lang w:val="ru-RU"/>
        </w:rPr>
        <w:t xml:space="preserve"> </w:t>
      </w:r>
    </w:p>
    <w:bookmarkEnd w:id="5"/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8A3790" w:rsidRDefault="0062528C">
      <w:pPr>
        <w:rPr>
          <w:rFonts w:eastAsia="Times New Roman"/>
          <w:szCs w:val="24"/>
          <w:lang w:val="ru-RU"/>
        </w:rPr>
      </w:pPr>
    </w:p>
    <w:p w:rsidR="0062528C" w:rsidRPr="00001604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</w:t>
      </w:r>
      <w:r w:rsidRPr="00001604">
        <w:rPr>
          <w:rFonts w:eastAsia="Times New Roman"/>
          <w:bCs w:val="0"/>
          <w:szCs w:val="24"/>
          <w:lang w:val="ru-RU"/>
        </w:rPr>
        <w:t xml:space="preserve"> 1 </w:t>
      </w:r>
      <w:r w:rsidRPr="008F2BE9">
        <w:rPr>
          <w:rFonts w:eastAsia="Times New Roman"/>
          <w:bCs w:val="0"/>
          <w:szCs w:val="24"/>
          <w:lang w:val="ru-RU"/>
        </w:rPr>
        <w:t>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Открытие сессии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Г-н Клаус Матес (ВОИС), действующий в качестве Секретаря Комитета, открыл сессию и приветствовал ее участников от имени Генерального директора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Сессия была проведена в тот же период, что и девятая сессия Рабочей группы по РСТ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Список участников представлен в отчете о девятой сессии Рабочей группы (документ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  <w:lang w:val="en-GB"/>
        </w:rPr>
        <w:t>WG</w:t>
      </w:r>
      <w:r w:rsidRPr="008A3790">
        <w:rPr>
          <w:rFonts w:eastAsia="Times New Roman"/>
          <w:szCs w:val="24"/>
          <w:lang w:val="ru-RU"/>
        </w:rPr>
        <w:t>/9/28)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F2BE9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 2 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ВЫБОРЫ ПРЕДСЕДАТЕЛЯ И ДВУХ ЗАМЕСТИТЕЛЕЙ ПРЕДСЕДАТЕЛЯ </w:t>
      </w:r>
    </w:p>
    <w:p w:rsidR="0062528C" w:rsidRPr="004E33E6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Комитет единогласно избрал Председателем г-на Максимилиано Санта Крус</w:t>
      </w:r>
      <w:r w:rsidR="004E33E6">
        <w:rPr>
          <w:rFonts w:eastAsia="Times New Roman"/>
          <w:szCs w:val="24"/>
        </w:rPr>
        <w:t>a</w:t>
      </w:r>
      <w:r w:rsidRPr="008A3790">
        <w:rPr>
          <w:rFonts w:eastAsia="Times New Roman"/>
          <w:szCs w:val="24"/>
          <w:lang w:val="ru-RU"/>
        </w:rPr>
        <w:t xml:space="preserve"> (Чили)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Кандидатуры на должности заместителей Председателя не выдвигались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F2BE9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 3 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ПРИНЯТИЕ ПОВЕСТКИ ДНЯ </w:t>
      </w:r>
    </w:p>
    <w:p w:rsidR="0062528C" w:rsidRPr="008A3790" w:rsidRDefault="0062528C">
      <w:pPr>
        <w:pStyle w:val="ONUME"/>
        <w:numPr>
          <w:ilvl w:val="0"/>
          <w:numId w:val="8"/>
        </w:numPr>
        <w:ind w:left="567"/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Комитет принял проект повестк</w:t>
      </w:r>
      <w:r w:rsidR="004E33E6">
        <w:rPr>
          <w:rFonts w:eastAsia="Times New Roman"/>
          <w:szCs w:val="24"/>
          <w:lang w:val="ru-RU"/>
        </w:rPr>
        <w:t>и дня, предложенный в документе</w:t>
      </w:r>
      <w:r w:rsidR="004E33E6">
        <w:rPr>
          <w:rFonts w:eastAsia="Times New Roman"/>
          <w:szCs w:val="24"/>
        </w:rPr>
        <w:t> 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</w:rPr>
        <w:t>CTC</w:t>
      </w:r>
      <w:r w:rsidRPr="008A3790">
        <w:rPr>
          <w:rFonts w:eastAsia="Times New Roman"/>
          <w:szCs w:val="24"/>
          <w:lang w:val="ru-RU"/>
        </w:rPr>
        <w:t>/29/1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F2BE9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 4 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РЕКОМЕНДАЦИЯ ДЛЯ АССАМБЛЕИ СОЮЗА РСТ В ОТНОШЕНИИ ПРЕДЛАГАЕМОГО НАЗНАЧЕНИЯ ТУРЕЦКОГО ПАТЕНТНОГО ИНСТИТУТА В КАЧЕСТВЕ МЕЖДУНАРОДНОГО ПОИСКОВОГО ОРГАНА И ОРГАНА МЕЖДУНАРОДНОЙ ПРЕДВАРИТЕЛЬНОЙ ЭКСПЕРТИЗЫ В РАМКАХ </w:t>
      </w:r>
      <w:r w:rsidRPr="008F2BE9">
        <w:rPr>
          <w:rFonts w:eastAsia="Times New Roman"/>
          <w:bCs w:val="0"/>
          <w:szCs w:val="24"/>
        </w:rPr>
        <w:t>PCT</w:t>
      </w:r>
      <w:r w:rsidRPr="008F2BE9">
        <w:rPr>
          <w:rFonts w:eastAsia="Times New Roman"/>
          <w:bCs w:val="0"/>
          <w:szCs w:val="24"/>
          <w:lang w:val="ru-RU"/>
        </w:rPr>
        <w:t xml:space="preserve">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Обсуждения проходили на основе документа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</w:rPr>
        <w:t>CTC</w:t>
      </w:r>
      <w:r w:rsidRPr="008A3790">
        <w:rPr>
          <w:rFonts w:eastAsia="Times New Roman"/>
          <w:szCs w:val="24"/>
          <w:lang w:val="ru-RU"/>
        </w:rPr>
        <w:t>/29/2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lastRenderedPageBreak/>
        <w:t>Делегация Турции представила заявку Турецкого патентного института (ТПИ) о назначении его в качестве Международного поискового органа (МПО) и Органа международной предварительной экспертизы (ОМПЭ) в рамках РСТ в ходе Ассамблеи Союза РСТ на пятьдесят шестой серии за</w:t>
      </w:r>
      <w:r w:rsidR="004E33E6">
        <w:rPr>
          <w:rFonts w:eastAsia="Times New Roman"/>
          <w:szCs w:val="24"/>
          <w:lang w:val="ru-RU"/>
        </w:rPr>
        <w:t xml:space="preserve">седаний Ассамблей государств </w:t>
      </w:r>
      <w:r w:rsidR="004E33E6" w:rsidRPr="004E33E6">
        <w:rPr>
          <w:rFonts w:eastAsia="Times New Roman"/>
          <w:szCs w:val="24"/>
          <w:lang w:val="ru-RU"/>
        </w:rPr>
        <w:t>–</w:t>
      </w:r>
      <w:r w:rsidRPr="008A3790">
        <w:rPr>
          <w:rFonts w:eastAsia="Times New Roman"/>
          <w:szCs w:val="24"/>
          <w:lang w:val="ru-RU"/>
        </w:rPr>
        <w:t xml:space="preserve"> членов ВОИС, которая состоится 3–11 октября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частности, делегация заострила внимание на трех основных аспектах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во-первых, общая информация о Турции в части экономических показателей и системы ИС в связи с политикой в отношении научно-исследовательской и инновационной деятельности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во-вторых, институциональный потенциал ТПИ для осуществления своих функций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и, в-третьих, подробная информация о том, какая работа была проделана в отношении процедур назначения международных органов и каким образом ТПИ соответствует минимальным требованиям, изложенным в правилах 36.1 и</w:t>
      </w:r>
      <w:r w:rsidR="004E33E6">
        <w:rPr>
          <w:rFonts w:eastAsia="Times New Roman"/>
          <w:szCs w:val="24"/>
        </w:rPr>
        <w:t> </w:t>
      </w:r>
      <w:r w:rsidRPr="008A3790">
        <w:rPr>
          <w:rFonts w:eastAsia="Times New Roman"/>
          <w:szCs w:val="24"/>
          <w:lang w:val="ru-RU"/>
        </w:rPr>
        <w:t>63.1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подчеркнула, что Турция, учитывая ее большое население (около 80 миллионов человек), историческое прошлое, географическое положение и экономическое развитие, является передовой страной региона, а ее соседями являются самые разные страны Европы, Азии и Ближнего Востока, обладающие различными социально-культурными особенностями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Географическое положение Турции, ее логистические возможности и уникальное расположение на пересечении трех континентов являются основными факторами, определяющими ее региональную роль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Экономические показатели Турции за последнее десятилетие позволили добиться средних темпов роста реального валового внутреннего продукта (ВВП) на уровне порядка 5 процентов, что является одним из наивысших значений среди стран – членов Организации экономического сотрудничества и развития (ОЭСР)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расходы на исследования и разработки в Турции выросли на 20 процентов в 2014 г., достигнув 6</w:t>
      </w:r>
      <w:r w:rsidRPr="008A3790">
        <w:rPr>
          <w:rFonts w:eastAsia="Times New Roman"/>
          <w:szCs w:val="24"/>
          <w:lang w:val="en-GB"/>
        </w:rPr>
        <w:t> </w:t>
      </w:r>
      <w:r w:rsidRPr="008A3790">
        <w:rPr>
          <w:rFonts w:eastAsia="Times New Roman"/>
          <w:szCs w:val="24"/>
          <w:lang w:val="ru-RU"/>
        </w:rPr>
        <w:t>млрд</w:t>
      </w:r>
      <w:r w:rsidRPr="008A3790">
        <w:rPr>
          <w:rFonts w:eastAsia="Times New Roman"/>
          <w:szCs w:val="24"/>
          <w:lang w:val="en-GB"/>
        </w:rPr>
        <w:t> </w:t>
      </w:r>
      <w:r w:rsidRPr="008A3790">
        <w:rPr>
          <w:rFonts w:eastAsia="Times New Roman"/>
          <w:szCs w:val="24"/>
          <w:lang w:val="ru-RU"/>
        </w:rPr>
        <w:t>долл</w:t>
      </w:r>
      <w:r>
        <w:rPr>
          <w:rFonts w:eastAsia="Times New Roman"/>
          <w:szCs w:val="24"/>
          <w:lang w:val="ru-RU"/>
        </w:rPr>
        <w:t xml:space="preserve">. </w:t>
      </w:r>
      <w:r w:rsidRPr="008A3790">
        <w:rPr>
          <w:rFonts w:eastAsia="Times New Roman"/>
          <w:szCs w:val="24"/>
          <w:lang w:val="ru-RU"/>
        </w:rPr>
        <w:t xml:space="preserve">США, и, как ожидается, к 2023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будут составлять 3 процента ВВП страны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связи с экономическими показателями и политикой, сформированной в целях содействия инновационной и научно-исследовательской деятельности, система ИС в Турции продемонстрировала значительное развитие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Согласно опубликованному ВОИС докладу о показателях ИС за 2015 г., Турция находится на седьмом месте по числу заявок на регистрацию ИС от резидентов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частности, за последние 15 лет число патентных заявок от резидентов возросло примерно в 20 раз, и по этому показателю за указанный период Турция переместилась с 45-го на 15-е место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Число поступающих из Турции международных патентных заявок, поданных в рамках РСТ, </w:t>
      </w:r>
      <w:r w:rsidR="004E33E6" w:rsidRPr="008A3790">
        <w:rPr>
          <w:rFonts w:eastAsia="Times New Roman"/>
          <w:szCs w:val="24"/>
          <w:lang w:val="ru-RU"/>
        </w:rPr>
        <w:t xml:space="preserve">за последние 15 лет </w:t>
      </w:r>
      <w:r w:rsidRPr="008A3790">
        <w:rPr>
          <w:rFonts w:eastAsia="Times New Roman"/>
          <w:szCs w:val="24"/>
          <w:lang w:val="ru-RU"/>
        </w:rPr>
        <w:t>увеличилось примерно в 13 раз, достигнув показателя в 1</w:t>
      </w:r>
      <w:r w:rsidRPr="008A3790">
        <w:rPr>
          <w:rFonts w:eastAsia="Times New Roman"/>
          <w:szCs w:val="24"/>
          <w:lang w:val="en-GB"/>
        </w:rPr>
        <w:t> </w:t>
      </w:r>
      <w:r w:rsidRPr="008A3790">
        <w:rPr>
          <w:rFonts w:eastAsia="Times New Roman"/>
          <w:szCs w:val="24"/>
          <w:lang w:val="ru-RU"/>
        </w:rPr>
        <w:t>013 заявок в 2015 г., что представляет собой рост на 26 процентов относительно показателей 2014 г</w:t>
      </w:r>
      <w:r>
        <w:rPr>
          <w:rFonts w:eastAsia="Times New Roman"/>
          <w:szCs w:val="24"/>
          <w:lang w:val="ru-RU"/>
        </w:rPr>
        <w:t xml:space="preserve">.  </w:t>
      </w:r>
      <w:r w:rsidR="004E33E6">
        <w:rPr>
          <w:rFonts w:eastAsia="Times New Roman"/>
          <w:szCs w:val="24"/>
          <w:lang w:val="ru-RU"/>
        </w:rPr>
        <w:t>Кроме того</w:t>
      </w:r>
      <w:r w:rsidRPr="008A3790">
        <w:rPr>
          <w:rFonts w:eastAsia="Times New Roman"/>
          <w:szCs w:val="24"/>
          <w:lang w:val="ru-RU"/>
        </w:rPr>
        <w:t xml:space="preserve">, согласно цифрам, указанным в отчете ВОИС, в 2015 </w:t>
      </w:r>
      <w:r>
        <w:rPr>
          <w:rFonts w:eastAsia="Times New Roman"/>
          <w:szCs w:val="24"/>
          <w:lang w:val="ru-RU"/>
        </w:rPr>
        <w:t>г.</w:t>
      </w:r>
      <w:r w:rsidR="004E33E6" w:rsidRPr="00362EB9">
        <w:rPr>
          <w:rFonts w:eastAsia="Times New Roman"/>
          <w:szCs w:val="24"/>
          <w:lang w:val="ru-RU"/>
        </w:rPr>
        <w:t>,</w:t>
      </w:r>
      <w:r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Турция получила наибольшее число заявок среди получающих ведомств выбранных стран с средним уровнем дохода, при этом прирост составил около 30 процентов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добавила, что история ИС в Турции восходит к </w:t>
      </w:r>
      <w:r w:rsidRPr="008A3790">
        <w:rPr>
          <w:rFonts w:eastAsia="Times New Roman"/>
          <w:szCs w:val="24"/>
          <w:lang w:val="en-GB"/>
        </w:rPr>
        <w:t>XIX</w:t>
      </w:r>
      <w:r w:rsidRPr="008A3790">
        <w:rPr>
          <w:rFonts w:eastAsia="Times New Roman"/>
          <w:szCs w:val="24"/>
          <w:lang w:val="ru-RU"/>
        </w:rPr>
        <w:t xml:space="preserve"> веку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Первоначальное законодательство об ИС в области товарных знаков действует с 1871 г., а патентное право впервые вступило в силу в 1879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Законодательство об ИС действует с тех пор с незначительными редакциями, а управление системой ИС с 1994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входит в обязанности отдела по ИС в составе Министерства науки, промышленности и технологий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указанном году законодательство об ИС и вопросы управления были существенно пересмотрены в связи с Соглашением о таможенном союзе с Европейским Союзом и Соглашением ТРИПС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Законодательство было модифицировано в соответствии с международными стандартами, а управление системой ИС было модернизировано путем создания Турецкого патентного института в качестве автономного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этом отношении ТПИ взял на себя важные задачи и функции, которые ТПИ осуществляет в качестве государственного института, отвечающего за администрирование прав промышленной собственности в рамках Министерства науки, промышленности и технологий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Цель создания ТПИ заключается в оказании содействия технологическому развитию Турции посредством эффективной охраны прав промышленной собственности, а также развития прав промышленной собственности для активизации деятельности в </w:t>
      </w:r>
      <w:r w:rsidRPr="008A3790">
        <w:rPr>
          <w:rFonts w:eastAsia="Times New Roman"/>
          <w:szCs w:val="24"/>
          <w:lang w:val="ru-RU"/>
        </w:rPr>
        <w:lastRenderedPageBreak/>
        <w:t>области НИОКР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Указанные реформы, проведенные в 1990-е гг., повысили степень интеграции системы ИС в Турции с международной системой, в которой каждый компонент системы ИС совершенствовался в ускоренном порядке как по уровню качества, так и количества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Основным показателем, наглядно демонстрирующим развитие системы, является общее число заявок на охрану ИС, полученных ТПИ с 1995</w:t>
      </w:r>
      <w:r w:rsidR="006A20AF">
        <w:rPr>
          <w:rFonts w:eastAsia="Times New Roman"/>
          <w:szCs w:val="24"/>
          <w:lang w:val="ru-RU"/>
        </w:rPr>
        <w:t> </w:t>
      </w:r>
      <w:r w:rsidRPr="008A3790">
        <w:rPr>
          <w:rFonts w:eastAsia="Times New Roman"/>
          <w:szCs w:val="24"/>
          <w:lang w:val="ru-RU"/>
        </w:rPr>
        <w:t xml:space="preserve">г., которое к 2015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достигло 2 млн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Параллельно с развитием в области заявок на охрану ИС институциональный потенциал ТПИ, а также </w:t>
      </w:r>
      <w:r w:rsidR="006A20AF" w:rsidRPr="008A3790">
        <w:rPr>
          <w:rFonts w:eastAsia="Times New Roman"/>
          <w:szCs w:val="24"/>
          <w:lang w:val="ru-RU"/>
        </w:rPr>
        <w:t>други</w:t>
      </w:r>
      <w:r w:rsidR="006A20AF">
        <w:rPr>
          <w:rFonts w:eastAsia="Times New Roman"/>
          <w:szCs w:val="24"/>
          <w:lang w:val="ru-RU"/>
        </w:rPr>
        <w:t>е</w:t>
      </w:r>
      <w:r w:rsidR="006A20AF" w:rsidRPr="008A3790">
        <w:rPr>
          <w:rFonts w:eastAsia="Times New Roman"/>
          <w:szCs w:val="24"/>
          <w:lang w:val="ru-RU"/>
        </w:rPr>
        <w:t xml:space="preserve"> элемент</w:t>
      </w:r>
      <w:r w:rsidR="006A20AF">
        <w:rPr>
          <w:rFonts w:eastAsia="Times New Roman"/>
          <w:szCs w:val="24"/>
          <w:lang w:val="ru-RU"/>
        </w:rPr>
        <w:t>ы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системы ИС в Турции </w:t>
      </w:r>
      <w:r w:rsidR="006A20AF">
        <w:rPr>
          <w:rFonts w:eastAsia="Times New Roman"/>
          <w:szCs w:val="24"/>
          <w:lang w:val="ru-RU"/>
        </w:rPr>
        <w:t>были значительно улучшены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Благодаря недавним изменениям в системе ИС и увеличению числа заявок на охрану ИС отмечается растущий спрос на качественные и своевременные услуги в области ИС, в частности, связанные с выдачей патентов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Потребности местных пользователей являлись основной движущей силой достижений ТПИ, в число которых вошла созданная ТПИ с учетом отзывов пользователей отлаженная институциональная структура, располагающая современными инструментами для обеспечения своей деятельности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Турции действует отлаженная система ИС, </w:t>
      </w:r>
      <w:r w:rsidR="006A20AF">
        <w:rPr>
          <w:rFonts w:eastAsia="Times New Roman"/>
          <w:szCs w:val="24"/>
          <w:lang w:val="ru-RU"/>
        </w:rPr>
        <w:t>включающая</w:t>
      </w:r>
      <w:r w:rsidR="006A20AF" w:rsidRPr="008A3790">
        <w:rPr>
          <w:rFonts w:eastAsia="Times New Roman"/>
          <w:szCs w:val="24"/>
          <w:lang w:val="ru-RU"/>
        </w:rPr>
        <w:t xml:space="preserve"> современно</w:t>
      </w:r>
      <w:r w:rsidR="006A20AF">
        <w:rPr>
          <w:rFonts w:eastAsia="Times New Roman"/>
          <w:szCs w:val="24"/>
          <w:lang w:val="ru-RU"/>
        </w:rPr>
        <w:t>е</w:t>
      </w:r>
      <w:r w:rsidR="006A20AF" w:rsidRPr="008A3790">
        <w:rPr>
          <w:rFonts w:eastAsia="Times New Roman"/>
          <w:szCs w:val="24"/>
          <w:lang w:val="ru-RU"/>
        </w:rPr>
        <w:t xml:space="preserve"> законодательств</w:t>
      </w:r>
      <w:r w:rsidR="006A20AF">
        <w:rPr>
          <w:rFonts w:eastAsia="Times New Roman"/>
          <w:szCs w:val="24"/>
          <w:lang w:val="ru-RU"/>
        </w:rPr>
        <w:t>о</w:t>
      </w:r>
      <w:r w:rsidRPr="008A3790">
        <w:rPr>
          <w:rFonts w:eastAsia="Times New Roman"/>
          <w:szCs w:val="24"/>
          <w:lang w:val="ru-RU"/>
        </w:rPr>
        <w:t xml:space="preserve">, </w:t>
      </w:r>
      <w:r w:rsidR="006A20AF" w:rsidRPr="008A3790">
        <w:rPr>
          <w:rFonts w:eastAsia="Times New Roman"/>
          <w:szCs w:val="24"/>
          <w:lang w:val="ru-RU"/>
        </w:rPr>
        <w:t>административн</w:t>
      </w:r>
      <w:r w:rsidR="006A20AF">
        <w:rPr>
          <w:rFonts w:eastAsia="Times New Roman"/>
          <w:szCs w:val="24"/>
          <w:lang w:val="ru-RU"/>
        </w:rPr>
        <w:t>ый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орган, </w:t>
      </w:r>
      <w:r w:rsidR="006A20AF" w:rsidRPr="008A3790">
        <w:rPr>
          <w:rFonts w:eastAsia="Times New Roman"/>
          <w:szCs w:val="24"/>
          <w:lang w:val="ru-RU"/>
        </w:rPr>
        <w:t>специализированны</w:t>
      </w:r>
      <w:r w:rsidR="006A20AF">
        <w:rPr>
          <w:rFonts w:eastAsia="Times New Roman"/>
          <w:szCs w:val="24"/>
          <w:lang w:val="ru-RU"/>
        </w:rPr>
        <w:t>е</w:t>
      </w:r>
      <w:r w:rsidR="006A20AF" w:rsidRPr="008A3790">
        <w:rPr>
          <w:rFonts w:eastAsia="Times New Roman"/>
          <w:szCs w:val="24"/>
          <w:lang w:val="ru-RU"/>
        </w:rPr>
        <w:t xml:space="preserve"> суд</w:t>
      </w:r>
      <w:r w:rsidR="006A20AF">
        <w:rPr>
          <w:rFonts w:eastAsia="Times New Roman"/>
          <w:szCs w:val="24"/>
          <w:lang w:val="ru-RU"/>
        </w:rPr>
        <w:t>ы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по вопросам ИС, </w:t>
      </w:r>
      <w:r w:rsidR="006A20AF">
        <w:rPr>
          <w:rFonts w:eastAsia="Times New Roman"/>
          <w:szCs w:val="24"/>
          <w:lang w:val="ru-RU"/>
        </w:rPr>
        <w:t>правоприменительные органы</w:t>
      </w:r>
      <w:r w:rsidRPr="008A3790">
        <w:rPr>
          <w:rFonts w:eastAsia="Times New Roman"/>
          <w:szCs w:val="24"/>
          <w:lang w:val="ru-RU"/>
        </w:rPr>
        <w:t xml:space="preserve"> (т.е</w:t>
      </w:r>
      <w:r>
        <w:rPr>
          <w:rFonts w:eastAsia="Times New Roman"/>
          <w:szCs w:val="24"/>
          <w:lang w:val="ru-RU"/>
        </w:rPr>
        <w:t xml:space="preserve">. </w:t>
      </w:r>
      <w:r w:rsidR="006A20AF" w:rsidRPr="008A3790">
        <w:rPr>
          <w:rFonts w:eastAsia="Times New Roman"/>
          <w:szCs w:val="24"/>
          <w:lang w:val="ru-RU"/>
        </w:rPr>
        <w:t>полици</w:t>
      </w:r>
      <w:r w:rsidR="006A20AF">
        <w:rPr>
          <w:rFonts w:eastAsia="Times New Roman"/>
          <w:szCs w:val="24"/>
          <w:lang w:val="ru-RU"/>
        </w:rPr>
        <w:t>ю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и </w:t>
      </w:r>
      <w:r w:rsidR="006A20AF" w:rsidRPr="008A3790">
        <w:rPr>
          <w:rFonts w:eastAsia="Times New Roman"/>
          <w:szCs w:val="24"/>
          <w:lang w:val="ru-RU"/>
        </w:rPr>
        <w:t>таможн</w:t>
      </w:r>
      <w:r w:rsidR="006A20AF">
        <w:rPr>
          <w:rFonts w:eastAsia="Times New Roman"/>
          <w:szCs w:val="24"/>
          <w:lang w:val="ru-RU"/>
        </w:rPr>
        <w:t>ю</w:t>
      </w:r>
      <w:r w:rsidRPr="008A3790">
        <w:rPr>
          <w:rFonts w:eastAsia="Times New Roman"/>
          <w:szCs w:val="24"/>
          <w:lang w:val="ru-RU"/>
        </w:rPr>
        <w:t xml:space="preserve">), </w:t>
      </w:r>
      <w:r w:rsidR="006A20AF" w:rsidRPr="008A3790">
        <w:rPr>
          <w:rFonts w:eastAsia="Times New Roman"/>
          <w:szCs w:val="24"/>
          <w:lang w:val="ru-RU"/>
        </w:rPr>
        <w:t>институционализированн</w:t>
      </w:r>
      <w:r w:rsidR="006A20AF">
        <w:rPr>
          <w:rFonts w:eastAsia="Times New Roman"/>
          <w:szCs w:val="24"/>
          <w:lang w:val="ru-RU"/>
        </w:rPr>
        <w:t>ую</w:t>
      </w:r>
      <w:r w:rsidR="006A20AF" w:rsidRPr="008A3790">
        <w:rPr>
          <w:rFonts w:eastAsia="Times New Roman"/>
          <w:szCs w:val="24"/>
          <w:lang w:val="ru-RU"/>
        </w:rPr>
        <w:t xml:space="preserve"> систем</w:t>
      </w:r>
      <w:r w:rsidR="006A20AF">
        <w:rPr>
          <w:rFonts w:eastAsia="Times New Roman"/>
          <w:szCs w:val="24"/>
          <w:lang w:val="ru-RU"/>
        </w:rPr>
        <w:t>у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поверенных (в рамках которой действуют около 1 000 зарегистрированных поверенных по ИС) и </w:t>
      </w:r>
      <w:r w:rsidR="006A20AF" w:rsidRPr="008A3790">
        <w:rPr>
          <w:rFonts w:eastAsia="Times New Roman"/>
          <w:szCs w:val="24"/>
          <w:lang w:val="ru-RU"/>
        </w:rPr>
        <w:t>други</w:t>
      </w:r>
      <w:r w:rsidR="006A20AF">
        <w:rPr>
          <w:rFonts w:eastAsia="Times New Roman"/>
          <w:szCs w:val="24"/>
          <w:lang w:val="ru-RU"/>
        </w:rPr>
        <w:t>е</w:t>
      </w:r>
      <w:r w:rsidR="006A20AF" w:rsidRPr="008A3790">
        <w:rPr>
          <w:rFonts w:eastAsia="Times New Roman"/>
          <w:szCs w:val="24"/>
          <w:lang w:val="ru-RU"/>
        </w:rPr>
        <w:t xml:space="preserve"> заинтересованны</w:t>
      </w:r>
      <w:r w:rsidR="006A20AF">
        <w:rPr>
          <w:rFonts w:eastAsia="Times New Roman"/>
          <w:szCs w:val="24"/>
          <w:lang w:val="ru-RU"/>
        </w:rPr>
        <w:t>е</w:t>
      </w:r>
      <w:r w:rsidR="006A20AF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сторон</w:t>
      </w:r>
      <w:r w:rsidR="006A20AF">
        <w:rPr>
          <w:rFonts w:eastAsia="Times New Roman"/>
          <w:szCs w:val="24"/>
          <w:lang w:val="ru-RU"/>
        </w:rPr>
        <w:t>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 другой стороны, ведущими субъектами по созданию ИС являются промышленность, университеты, малые и средние предприятия и научно-исследовательские центры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Турция с ее развитой и устоявшейся системой ИС обладает потенциалом для повышения уровня активности в своем регионе в целях содействия совершенствованию системы ИС в целом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Турция является кандидатом на вступление в Европейский союз, и ее законодательство в области ИС соответствует нормативно-правовым положениям ЕС и полностью соответствует Соглашению ВТО по ТРИПС, а также другим международным соглашениям, стороной которых является Турция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Далее делегация привела описание взаимоотношений между инновационной экосистемой и системой ИС, в области которых правительство Турции разработало комплексную политику, которая носит взаимодополняющий характер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Высший совет по науке и технологиям (</w:t>
      </w:r>
      <w:r w:rsidRPr="008A3790">
        <w:rPr>
          <w:rFonts w:eastAsia="Times New Roman"/>
          <w:szCs w:val="24"/>
        </w:rPr>
        <w:t>SCST</w:t>
      </w:r>
      <w:r w:rsidRPr="008A3790">
        <w:rPr>
          <w:rFonts w:eastAsia="Times New Roman"/>
          <w:szCs w:val="24"/>
          <w:lang w:val="ru-RU"/>
        </w:rPr>
        <w:t>) во главе с премьер-министром Турции разрабатывает политику страны в области инноваций на самом высоком политическом уровне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Задача «Национальной стратегии в области науки, технологий и инноваций» состоит в содействии созданию новых знаний и развитии инновационных технологий, направленных на повышение качества жизни путем преобразования таких знаний в продукты, процессы и услуги в интересах страны и человечества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соответствии с политикой в области инноваций Высший совет планирования Турции под руководством премьер-министра утвердил в 2015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«Национальную стратегию и план действий в области прав интеллектуальной собственности»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Основная цель указанной стратегии состоит в содействии развитию прав интеллектуальной собственности и соответствующих продуктов, обеспечении охраны и использования прав интеллектуальной собственности в рамках эффективной, обширной и интегрированной в общество системы ПИС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указанном контексте Турция намеревается превратиться в центр распространения знаний и информации об ИС в регионе посредством обмена опытом и его распространения, параллельно с выполнением функций Международного поискового органа и Органа международной предварительной экспертизы (МПО/ОМЭП)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Назначение ТПИ в качестве МПО/ОМЭП должно принести пользу не только местным пользователям, но и системе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целом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Учитывая уникальное положение ТПИ на пересечении трех континентов, он может сыграть роль моста для передачи знаний и информации об ИС между Европой и Азией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ТПИ, как в Национальном патентном ведомстве члена Европейской патентной конвенции (ЕПК), работают подготовленные эксперты, прошедшие обучение в области поиска и экспертизы в Европейском патентном ведомстве (ЕПВ)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в ТПИ работают эксперты, получившие опыт внедрения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ходе подготовки, проводимой ВОИС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Наличие таких людских ресурсов позволяет ТПИ принять на себя роль по повышению уровня информированности и содействия более широкому использованию PCT в соседних с Турцией странах, в частности, в </w:t>
      </w:r>
      <w:r w:rsidRPr="008A3790">
        <w:rPr>
          <w:rFonts w:eastAsia="Times New Roman"/>
          <w:szCs w:val="24"/>
          <w:lang w:val="ru-RU"/>
        </w:rPr>
        <w:lastRenderedPageBreak/>
        <w:t>странах Ближнего Востока, в тюркоязычных странах, а также в Азии и на Балканах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Турция твердо убеждена в том, что его потенциал сотрудничества, в частности в области совершенствования системы PCT, с другими странами региона повысится в случае назначения в качестве МПО/ОМЭП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Результатом этого станет содействие инновациям, распространению знаний и передаче технологии в регионе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вклад ТПИ в развитие региона будет подкреплен постоянным сотрудничеством с Международным бюро ВОИС по созданию в Турции магистерской программы по ИС и Академии ИС, которые начнут работу в начале 2016-2017 учебного года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в Турции будет размещен Банк технологий, о создании которого впервые объявил 26 ноября 2014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Генеральный секретарь Организации Объединенных Наций г-н Пан Ги Мун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Банк технологий будет оказывать поддержку в сфере науки, технологии и инноваций в наиболее бедных странах мира и будет состоять из двух подразделений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механизм поддержки науки, технологии и инноваций и банк интеллектуальной собственности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Банк технологий способен укрепить национальный потенциал наименее развитых стран (НРС) и обеспечить их опытом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этом отношении создание указанного Банка технологий в Турции послужит делу развития системы ИС, в частности патентной системы в НРС, посредством использования механизмов передачи технологии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за этим последует улучшение международной патентной системы за счет укрепления потенциала и повышения компетенции ТПИ по осуществлению функций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</w:rPr>
      </w:pPr>
      <w:r w:rsidRPr="008A3790">
        <w:rPr>
          <w:rFonts w:eastAsia="Times New Roman"/>
          <w:szCs w:val="24"/>
          <w:lang w:val="ru-RU"/>
        </w:rPr>
        <w:t>Переходя к вопросу об институциональном потенциале ТПИ для осуществления своих функций, делегация заявила, что параллельно с развитием системы ИС в Турции была усовершенствована юридическая, административная и техническая инфраструктура ТПИ в целях оказания качественных и своевременных услуг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дополнение к своей гибкой структуре управления при наличии собственных финансовых ресурсов ТПИ осуществила существенные капиталовложения в людские ресурсы и средства ИТ в целях повышения качества услуг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ТПИ действует система безбумажной работы, и 95</w:t>
      </w:r>
      <w:r w:rsidR="006A20AF">
        <w:rPr>
          <w:rFonts w:eastAsia="Times New Roman"/>
          <w:szCs w:val="24"/>
          <w:lang w:val="ru-RU"/>
        </w:rPr>
        <w:t> </w:t>
      </w:r>
      <w:r w:rsidRPr="008A3790">
        <w:rPr>
          <w:rFonts w:eastAsia="Times New Roman"/>
          <w:szCs w:val="24"/>
          <w:lang w:val="ru-RU"/>
        </w:rPr>
        <w:t xml:space="preserve">процентов заявок принимаются </w:t>
      </w:r>
      <w:r w:rsidR="00B6781D">
        <w:rPr>
          <w:rFonts w:eastAsia="Times New Roman"/>
          <w:szCs w:val="24"/>
          <w:lang w:val="ru-RU"/>
        </w:rPr>
        <w:t>в режиме онлайн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Более того, весь архив был оцифрован и проиндексирован </w:t>
      </w:r>
      <w:r w:rsidR="00B6781D">
        <w:rPr>
          <w:rFonts w:eastAsia="Times New Roman"/>
          <w:szCs w:val="24"/>
          <w:lang w:val="ru-RU"/>
        </w:rPr>
        <w:t>для целей</w:t>
      </w:r>
      <w:r w:rsidRPr="008A3790">
        <w:rPr>
          <w:rFonts w:eastAsia="Times New Roman"/>
          <w:szCs w:val="24"/>
          <w:lang w:val="ru-RU"/>
        </w:rPr>
        <w:t xml:space="preserve"> проведения поиска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обладает современной и вместительной физической инфраструктурой в собственном комплексе зданий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Услуги</w:t>
      </w:r>
      <w:r w:rsidRPr="008A3790">
        <w:rPr>
          <w:rFonts w:eastAsia="Times New Roman"/>
          <w:szCs w:val="24"/>
          <w:lang w:val="en-GB"/>
        </w:rPr>
        <w:t xml:space="preserve">, </w:t>
      </w:r>
      <w:r w:rsidRPr="008A3790">
        <w:rPr>
          <w:rFonts w:eastAsia="Times New Roman"/>
          <w:szCs w:val="24"/>
          <w:lang w:val="ru-RU"/>
        </w:rPr>
        <w:t>оказываемые ТПИ</w:t>
      </w:r>
      <w:r w:rsidRPr="008A3790">
        <w:rPr>
          <w:rFonts w:eastAsia="Times New Roman"/>
          <w:szCs w:val="24"/>
          <w:lang w:val="en-GB"/>
        </w:rPr>
        <w:t xml:space="preserve">, </w:t>
      </w:r>
      <w:r w:rsidRPr="008A3790">
        <w:rPr>
          <w:rFonts w:eastAsia="Times New Roman"/>
          <w:szCs w:val="24"/>
          <w:lang w:val="ru-RU"/>
        </w:rPr>
        <w:t xml:space="preserve">также доступны </w:t>
      </w:r>
      <w:r w:rsidR="00B6781D">
        <w:rPr>
          <w:rFonts w:eastAsia="Times New Roman"/>
          <w:szCs w:val="24"/>
          <w:lang w:val="ru-RU"/>
        </w:rPr>
        <w:t>в режиме онлайн</w:t>
      </w:r>
      <w:r>
        <w:rPr>
          <w:rFonts w:eastAsia="Times New Roman"/>
          <w:szCs w:val="24"/>
          <w:lang w:val="en-GB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далее сообщила, что ТПИ начал подготовку отчетов о поиске и экспертизе по ряду технических областей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До этого отчеты о поиске приходилось заказывать в рамках договоров аутсорсинга с партнерскими ведомствами, в числе которых Европейское патентное ведомство, Австрийское патентное ведомство, Датское ведомство по патентам и товарным знакам, Федеральная служба по интеллектуальной собственности (РОСПАТЕНТ) и Шведское ведомство по патентам и регистрации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Указанные партнерства внесли значительный вклад в качество патентов, выдаваемых ТПИ, за счет высокого качества отчетов о поиске и экспертизе, подготовленных данными ведомствами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указанные партнерства внесли вклад в опыт экспертов ТПИ в области поиска и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С 2005 </w:t>
      </w:r>
      <w:r>
        <w:rPr>
          <w:rFonts w:eastAsia="Times New Roman"/>
          <w:szCs w:val="24"/>
          <w:lang w:val="ru-RU"/>
        </w:rPr>
        <w:t xml:space="preserve">г. </w:t>
      </w:r>
      <w:r w:rsidRPr="008A3790">
        <w:rPr>
          <w:rFonts w:eastAsia="Times New Roman"/>
          <w:szCs w:val="24"/>
          <w:lang w:val="ru-RU"/>
        </w:rPr>
        <w:t>возможности ТПИ в области поиска и экспертизы возросли более чем в 10 раз и в настоящее время достаточны для того, чтобы охватить все области техники, в каждой из которых имеются прошедшие надлежащую подготовку патентные эксперты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Далее делегация перешла к третьему основному аспекту своего представления, пояснив, какие процедуры были реализованы в ходе подготовки заявления, и подчеркнув, каким образом ТПИ отвечает требованиям назначения в качестве Международного поискового органа и Органа международной предварительной экспертизы (МПО/ОМПЭ)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целях перехода к системной подготовке заявления ТПИ подготовил бизнес-план, в котором перечислены приоритеты и основные этапы при подготовке заявления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контексте указанного бизнес-плана ТПИ создал три рабочие группы, предназначенные для осуществления подготовительных и организационных мероприятий, необходимых для выполнения функций и задач, которые требуются от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«Рабочая группа по руководящим принципам» отвечала за анализ существующих в </w:t>
      </w:r>
      <w:r w:rsidRPr="008A3790">
        <w:rPr>
          <w:rFonts w:eastAsia="Times New Roman"/>
          <w:szCs w:val="24"/>
          <w:lang w:val="ru-RU"/>
        </w:rPr>
        <w:lastRenderedPageBreak/>
        <w:t>стране руководств и их гармонизацию с Руководством РСТ по проведению международного поиска и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«Рабочая группа по планированию обучения» отвечала за обзор существующих программ обучения проведению поиска и экспертизы в рамках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и их переработку по мере необходимости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«Рабочая группа по системе управления качеством» отвечала за планирование системы управления качеством, совместимой с правилами и процедурами главы 21 Руководства РСТ по проведению международного поиска и международной предварительной экспертизы, используя при этом существующую систему качества для национальных патентных заявок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Сразу после того, как рабочие группы подготовили результаты своей работы, ТПИ обратился в Ведомство интеллектуальной собственности Республики Корея (КВИС) и </w:t>
      </w:r>
      <w:r w:rsidR="00B6781D">
        <w:rPr>
          <w:rFonts w:eastAsia="Times New Roman"/>
          <w:szCs w:val="24"/>
          <w:lang w:val="ru-RU"/>
        </w:rPr>
        <w:t>в</w:t>
      </w:r>
      <w:r w:rsidR="00B6781D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Испанское ведомство по патентам и товарным знакам (ИВПТЗ) со ссылкой на Процедуры назначения Международных органов, согласованные на сорок шестой сессии Ассамблеи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, в которых «настоятельно рекомендуется заручиться помощью одного или более существующих Международных органов» (см</w:t>
      </w:r>
      <w:r>
        <w:rPr>
          <w:rFonts w:eastAsia="Times New Roman"/>
          <w:szCs w:val="24"/>
          <w:lang w:val="ru-RU"/>
        </w:rPr>
        <w:t xml:space="preserve">. </w:t>
      </w:r>
      <w:r w:rsidRPr="008A3790">
        <w:rPr>
          <w:rFonts w:eastAsia="Times New Roman"/>
          <w:szCs w:val="24"/>
          <w:lang w:val="ru-RU"/>
        </w:rPr>
        <w:t>пункт 25(</w:t>
      </w:r>
      <w:r w:rsidRPr="008A3790">
        <w:rPr>
          <w:rFonts w:eastAsia="Times New Roman"/>
          <w:szCs w:val="24"/>
          <w:lang w:val="en-GB"/>
        </w:rPr>
        <w:t>a</w:t>
      </w:r>
      <w:r w:rsidRPr="008A3790">
        <w:rPr>
          <w:rFonts w:eastAsia="Times New Roman"/>
          <w:szCs w:val="24"/>
          <w:lang w:val="ru-RU"/>
        </w:rPr>
        <w:t>) документа</w:t>
      </w:r>
      <w:r w:rsidR="00B6781D">
        <w:rPr>
          <w:rFonts w:eastAsia="Times New Roman"/>
          <w:szCs w:val="24"/>
          <w:lang w:val="ru-RU"/>
        </w:rPr>
        <w:t> 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  <w:lang w:val="en-GB"/>
        </w:rPr>
        <w:t>A</w:t>
      </w:r>
      <w:r w:rsidRPr="008A3790">
        <w:rPr>
          <w:rFonts w:eastAsia="Times New Roman"/>
          <w:szCs w:val="24"/>
          <w:lang w:val="ru-RU"/>
        </w:rPr>
        <w:t>/46/6)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Вскоре после получения от двух указанных ведомств положительного ответа на запрос о сотрудничестве были спланированы два совместных визита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ходе первого визита КВИС, ИВПТЗ и ТПИ рассмотрели минимальные требования и дорожную карту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Посещающие ведомства провели углубленное исследование с целью убедиться в том, что все требования выполнены удовлетворительно, а также предоставили рекомендации по доработке системы управления качеством в соответствии со своими руководствами по качеству и руководствами других ведущих Международных органов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Наряду с указанным взаимным обменом информацией, с учетом рекомендаций в отношении направлений, в которых возможно развитие, ТПИ выполнил все необходимые процедуры и подготовку для того, чтобы иметь возможность выполнять задачи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 завершении оценки КВИС и ИВПТЗ составили отчеты, в которых вынесли независимые заключения о том, что ТПИ отвечает минимальным требованиям (см</w:t>
      </w:r>
      <w:r>
        <w:rPr>
          <w:rFonts w:eastAsia="Times New Roman"/>
          <w:szCs w:val="24"/>
          <w:lang w:val="ru-RU"/>
        </w:rPr>
        <w:t xml:space="preserve">. </w:t>
      </w:r>
      <w:r w:rsidRPr="008A3790">
        <w:rPr>
          <w:rFonts w:eastAsia="Times New Roman"/>
          <w:szCs w:val="24"/>
          <w:lang w:val="ru-RU"/>
        </w:rPr>
        <w:t xml:space="preserve">приложения </w:t>
      </w:r>
      <w:r w:rsidRPr="008A3790">
        <w:rPr>
          <w:rFonts w:eastAsia="Times New Roman"/>
          <w:szCs w:val="24"/>
          <w:lang w:val="en-GB"/>
        </w:rPr>
        <w:t>V</w:t>
      </w:r>
      <w:r w:rsidRPr="008A3790">
        <w:rPr>
          <w:rFonts w:eastAsia="Times New Roman"/>
          <w:szCs w:val="24"/>
          <w:lang w:val="ru-RU"/>
        </w:rPr>
        <w:t xml:space="preserve"> и </w:t>
      </w:r>
      <w:r w:rsidRPr="008A3790">
        <w:rPr>
          <w:rFonts w:eastAsia="Times New Roman"/>
          <w:szCs w:val="24"/>
          <w:lang w:val="en-GB"/>
        </w:rPr>
        <w:t>VI</w:t>
      </w:r>
      <w:r w:rsidRPr="008A3790">
        <w:rPr>
          <w:rFonts w:eastAsia="Times New Roman"/>
          <w:szCs w:val="24"/>
          <w:lang w:val="ru-RU"/>
        </w:rPr>
        <w:t xml:space="preserve"> к документу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  <w:lang w:val="en-GB"/>
        </w:rPr>
        <w:t>CTC</w:t>
      </w:r>
      <w:r w:rsidRPr="008A3790">
        <w:rPr>
          <w:rFonts w:eastAsia="Times New Roman"/>
          <w:szCs w:val="24"/>
          <w:lang w:val="ru-RU"/>
        </w:rPr>
        <w:t>/29/2)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Делегация выразила благодарность руководству и представителям каждого из ведомств за тесное сотрудничество и глубокие замечания, которые помогли ТПИ реализовать свою дорожную карту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В продолжение делегация предоставила краткую информацию о том, каким образом ТПИ отвечает критериям, что было подтверждено в ходе миссий </w:t>
      </w:r>
      <w:r w:rsidR="005562DA" w:rsidRPr="008A3790">
        <w:rPr>
          <w:rFonts w:eastAsia="Times New Roman"/>
          <w:szCs w:val="24"/>
          <w:lang w:val="ru-RU"/>
        </w:rPr>
        <w:t>посещающих ведомств</w:t>
      </w:r>
      <w:r w:rsidR="005562DA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по установлению фактов</w:t>
      </w:r>
      <w:r w:rsidR="005562DA">
        <w:rPr>
          <w:rFonts w:eastAsia="Times New Roman"/>
          <w:szCs w:val="24"/>
          <w:lang w:val="ru-RU"/>
        </w:rPr>
        <w:t>.</w:t>
      </w:r>
      <w:r>
        <w:rPr>
          <w:rFonts w:eastAsia="Times New Roman"/>
          <w:szCs w:val="24"/>
          <w:lang w:val="ru-RU"/>
        </w:rPr>
        <w:t xml:space="preserve">  </w:t>
      </w:r>
      <w:r w:rsidRPr="008A3790">
        <w:rPr>
          <w:rFonts w:eastAsia="Times New Roman"/>
          <w:szCs w:val="24"/>
          <w:lang w:val="ru-RU"/>
        </w:rPr>
        <w:t>В настоящее время в ТПИ на условиях полной занятости работает 112 экспертов, обладающих достаточной технической квалификацией для проведения работы по поиску и экспертизе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планирует принять на работу еще 50 экспертов и завершить их обучение к концу 2018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Средний опыт работы патентных экспертов в настоящее время составляет семь лет, а 47</w:t>
      </w:r>
      <w:r w:rsidR="005562DA">
        <w:rPr>
          <w:rFonts w:eastAsia="Times New Roman"/>
          <w:szCs w:val="24"/>
          <w:lang w:val="ru-RU"/>
        </w:rPr>
        <w:t> </w:t>
      </w:r>
      <w:r w:rsidRPr="008A3790">
        <w:rPr>
          <w:rFonts w:eastAsia="Times New Roman"/>
          <w:szCs w:val="24"/>
          <w:lang w:val="ru-RU"/>
        </w:rPr>
        <w:t>процентов экспертов имеют степень магистра или кандидата наук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Почти половина экспертов имеет опыт работы в сфере поиска и экспертизы продолжительностью более пяти лет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Требования к желающим стать патентными экспертами строго регламентированы посредством всеобъемлющего процесса приема на работу, за которым следует интенсивная программа обучения, связанная с навыками, знанием и стратегиями в отношении принципов патентного поиска и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внедрил процедуру тщательного отбора при приеме на работу новых экспертов, при которой необходимо отвечать минимальным требованиям о наличии как минимум степени бакалавра или магистра наук и знании хотя бы одного иностранного языка, на котором проводится поиск и экспертиза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Затем эксперт должен сдать </w:t>
      </w:r>
      <w:r w:rsidR="005562DA">
        <w:rPr>
          <w:rFonts w:eastAsia="Times New Roman"/>
          <w:szCs w:val="24"/>
          <w:lang w:val="ru-RU"/>
        </w:rPr>
        <w:t>общий</w:t>
      </w:r>
      <w:r w:rsidR="005562DA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экзамен на гражданскую службу, а после этого сдать экзамены, состоящие из двух этапов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Для того чтобы стать старшим патентным экспертом, младший эксперт сначала должен пройти квалификацию в ходе экзамена первого уровня по окончании обучения, которое обычно продолжается один год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Эксперты, прошедшие данный этап, продолжают работать в качестве помощников экспертов у старших экспертов в течение еще двух лет, а затем представить реферат в соответствующей области техники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На втором этапе им необходимо защитить свой реферат перед комиссией, а на третьем этапе им необходимо сдать последний экзамен </w:t>
      </w:r>
      <w:r w:rsidRPr="008A3790">
        <w:rPr>
          <w:rFonts w:eastAsia="Times New Roman"/>
          <w:szCs w:val="24"/>
          <w:lang w:val="ru-RU"/>
        </w:rPr>
        <w:lastRenderedPageBreak/>
        <w:t>для того, чтобы стать старшим экспертом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обладает собственными учебными ресурсами для того, чтобы обеспечивать новым экспертам программу базового обучения и поддерживать обновление знаний и навыков экспертов на постоянной основе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После приема на работу эксперты поступают на программы </w:t>
      </w:r>
      <w:r w:rsidR="008163B0">
        <w:rPr>
          <w:rFonts w:eastAsia="Times New Roman"/>
          <w:szCs w:val="24"/>
          <w:lang w:val="ru-RU"/>
        </w:rPr>
        <w:t>подготовки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по двум направлениям</w:t>
      </w:r>
      <w:r w:rsidR="008163B0">
        <w:rPr>
          <w:rFonts w:eastAsia="Times New Roman"/>
          <w:szCs w:val="24"/>
          <w:lang w:val="ru-RU"/>
        </w:rPr>
        <w:t>:</w:t>
      </w:r>
      <w:r w:rsidRPr="008A3790">
        <w:rPr>
          <w:rFonts w:eastAsia="Times New Roman"/>
          <w:szCs w:val="24"/>
          <w:lang w:val="ru-RU"/>
        </w:rPr>
        <w:t xml:space="preserve"> административному и техническому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рамках административной программы </w:t>
      </w:r>
      <w:r w:rsidR="008163B0">
        <w:rPr>
          <w:rFonts w:eastAsia="Times New Roman"/>
          <w:szCs w:val="24"/>
          <w:lang w:val="ru-RU"/>
        </w:rPr>
        <w:t>проводится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введение в функции ведомства, роль каждого департамента, меры безопасности и общие правила гражданской службы</w:t>
      </w:r>
      <w:r>
        <w:rPr>
          <w:rFonts w:eastAsia="Times New Roman"/>
          <w:szCs w:val="24"/>
          <w:lang w:val="ru-RU"/>
        </w:rPr>
        <w:t xml:space="preserve">.  </w:t>
      </w:r>
      <w:r w:rsidR="008163B0">
        <w:rPr>
          <w:rFonts w:eastAsia="Times New Roman"/>
          <w:szCs w:val="24"/>
          <w:lang w:val="ru-RU"/>
        </w:rPr>
        <w:t>Эта подготовка</w:t>
      </w:r>
      <w:r w:rsidRPr="008A3790">
        <w:rPr>
          <w:rFonts w:eastAsia="Times New Roman"/>
          <w:szCs w:val="24"/>
          <w:lang w:val="ru-RU"/>
        </w:rPr>
        <w:t xml:space="preserve"> проводится однократно, а </w:t>
      </w:r>
      <w:r w:rsidR="008163B0" w:rsidRPr="008A3790">
        <w:rPr>
          <w:rFonts w:eastAsia="Times New Roman"/>
          <w:szCs w:val="24"/>
          <w:lang w:val="ru-RU"/>
        </w:rPr>
        <w:t>е</w:t>
      </w:r>
      <w:r w:rsidR="008163B0">
        <w:rPr>
          <w:rFonts w:eastAsia="Times New Roman"/>
          <w:szCs w:val="24"/>
          <w:lang w:val="ru-RU"/>
        </w:rPr>
        <w:t>е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повторное прохождение не обязательно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Вторая программа </w:t>
      </w:r>
      <w:r w:rsidR="008163B0">
        <w:rPr>
          <w:rFonts w:eastAsia="Times New Roman"/>
          <w:szCs w:val="24"/>
          <w:lang w:val="ru-RU"/>
        </w:rPr>
        <w:t>подготовки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относится к профессиональному развитию экспертов и носит непрерывный характер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Управление техническим обучением экспертов осуществляет патентный департамент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Поскольку Турция является Договаривающимся государством Европейской патентной конвенции, все ее патентные эксперты пользуются возможностью пройти программы обучения, предоставляемые Академией Европейского патентного ведомства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При этом программы обучения, которые предоставляет ВОИС и другие ведущие патентные ведомства, включаются в программу обучения эксперта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указанном контексте можно с уверенностью заявить, что ТПИ соответствует минимальным требованиям, изложенным в правилах 36.1(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 и 63(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), где говорится, что «национальное ведомство или межправительственная организация должна иметь по крайней мере 100 сотрудников, занятых полную рабочую неделю и обладающих достаточной технической квалификацией для проведения экспертизы»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заострила внимание на том, что в части, касающейся минимальной документации, доступной для проведения поиска и экспертизы, ТПИ пользуется полным доступом к базе данных EPOQUENet благодаря своему статусу Договаривающегося государства Европейской патентной конвенции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ТПИ </w:t>
      </w:r>
      <w:r w:rsidR="008163B0">
        <w:rPr>
          <w:rFonts w:eastAsia="Times New Roman"/>
          <w:szCs w:val="24"/>
          <w:lang w:val="ru-RU"/>
        </w:rPr>
        <w:t>имеет доступ к</w:t>
      </w:r>
      <w:r w:rsidR="008163B0" w:rsidRPr="008A3790">
        <w:rPr>
          <w:rFonts w:eastAsia="Times New Roman"/>
          <w:szCs w:val="24"/>
          <w:lang w:val="ru-RU"/>
        </w:rPr>
        <w:t xml:space="preserve"> таки</w:t>
      </w:r>
      <w:r w:rsidR="008163B0">
        <w:rPr>
          <w:rFonts w:eastAsia="Times New Roman"/>
          <w:szCs w:val="24"/>
          <w:lang w:val="ru-RU"/>
        </w:rPr>
        <w:t>м</w:t>
      </w:r>
      <w:r w:rsidR="008163B0" w:rsidRPr="008A3790">
        <w:rPr>
          <w:rFonts w:eastAsia="Times New Roman"/>
          <w:szCs w:val="24"/>
          <w:lang w:val="ru-RU"/>
        </w:rPr>
        <w:t xml:space="preserve"> коммерчески</w:t>
      </w:r>
      <w:r w:rsidR="008163B0">
        <w:rPr>
          <w:rFonts w:eastAsia="Times New Roman"/>
          <w:szCs w:val="24"/>
          <w:lang w:val="ru-RU"/>
        </w:rPr>
        <w:t>м</w:t>
      </w:r>
      <w:r w:rsidR="008163B0" w:rsidRPr="008A3790">
        <w:rPr>
          <w:rFonts w:eastAsia="Times New Roman"/>
          <w:szCs w:val="24"/>
          <w:lang w:val="ru-RU"/>
        </w:rPr>
        <w:t xml:space="preserve"> баз</w:t>
      </w:r>
      <w:r w:rsidR="008163B0">
        <w:rPr>
          <w:rFonts w:eastAsia="Times New Roman"/>
          <w:szCs w:val="24"/>
          <w:lang w:val="ru-RU"/>
        </w:rPr>
        <w:t>ам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данных, как IEEE Xplore, Elsevier, Springer, EBSCOhost, STN, EMBASE, MEDLINE и база данных Американского химического общества (ACS), наряду с Турецкой национальной базой данных патентов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Помимо указанных баз данных, у ТПИ имеется доступ к библиотеке Турецкого совета научных и технологических исследований, которая предоставляет официальные бюллетени, периодические издания, журналы и книги по различным направлениям науки и технологии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При использовании указанных баз данных патентные эксперты ТПИ обладают необходимым компьютерным оборудованием, как, например, 24-дюймовые двойные мониторы, и программным обеспечением, помогающим в проведении поиска и экспертизы, а также инструментами для перевода документов по известному уровню техники на другие языки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используются </w:t>
      </w:r>
      <w:r w:rsidR="008163B0" w:rsidRPr="008A3790">
        <w:rPr>
          <w:rFonts w:eastAsia="Times New Roman"/>
          <w:szCs w:val="24"/>
          <w:lang w:val="ru-RU"/>
        </w:rPr>
        <w:t xml:space="preserve">предоставляемые Espacenet </w:t>
      </w:r>
      <w:r w:rsidR="008163B0">
        <w:rPr>
          <w:rFonts w:eastAsia="Times New Roman"/>
          <w:szCs w:val="24"/>
          <w:lang w:val="ru-RU"/>
        </w:rPr>
        <w:t>средства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машинного перевода, </w:t>
      </w:r>
      <w:r w:rsidR="008163B0" w:rsidRPr="008A3790">
        <w:rPr>
          <w:rFonts w:eastAsia="Times New Roman"/>
          <w:szCs w:val="24"/>
          <w:lang w:val="ru-RU"/>
        </w:rPr>
        <w:t>включа</w:t>
      </w:r>
      <w:r w:rsidR="008163B0">
        <w:rPr>
          <w:rFonts w:eastAsia="Times New Roman"/>
          <w:szCs w:val="24"/>
          <w:lang w:val="ru-RU"/>
        </w:rPr>
        <w:t>ющие</w:t>
      </w:r>
      <w:r w:rsidR="008163B0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турецкий язык,  и функции перевода EPOQUE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образом, </w:t>
      </w:r>
      <w:r w:rsidR="008163B0">
        <w:rPr>
          <w:rFonts w:eastAsia="Times New Roman"/>
          <w:szCs w:val="24"/>
          <w:lang w:val="ru-RU"/>
        </w:rPr>
        <w:t xml:space="preserve">в том, </w:t>
      </w:r>
      <w:r w:rsidRPr="008A3790">
        <w:rPr>
          <w:rFonts w:eastAsia="Times New Roman"/>
          <w:szCs w:val="24"/>
          <w:lang w:val="ru-RU"/>
        </w:rPr>
        <w:t>что касается минимальной документации, у ТПИ есть доступ к базам данных патентной и непатентной литературы, относящейся к минимальной документации, о которой идет речь в правиле 34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привела краткий обзор существующей системы качества национальных патентных заявок, а также системы управления качеством (СУК), внедрение которой планируется в случае назначения в качестве МПО/ОМПЭ, и подчеркнула, что ТПИ недавно получил сертификацию ISO 9001 в качестве нормативной базы для повышения эффективности СУК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Одновременно с этим на стадии реализации находятся исследования по вопросу о соответствии критериям ISO 27001 в отношении систем информационной безопасности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обязуется предоставлять продукты и услуги высокого качества в области поиска и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Его политика в области качества поиска и экспертизы опирается на надежность, последовательность, прозрачность, нормативно-правовое соответствие, своевременность и постоянное улучшение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этом отношении ТПИ принял в качестве базового принципа для внедрения СУК методику на основе принципов ПДПМ («Планирование», «Действия», «Проверка», «Меры»)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Основными элементами планируемой СУК являются менеджер по качеству и отдел качества, в который войдут руководители подразделений по каждой группе областей техники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Менеджер по качеству отвечает за все вопросы качества в процессе патентного </w:t>
      </w:r>
      <w:r w:rsidRPr="008A3790">
        <w:rPr>
          <w:rFonts w:eastAsia="Times New Roman"/>
          <w:szCs w:val="24"/>
          <w:lang w:val="ru-RU"/>
        </w:rPr>
        <w:lastRenderedPageBreak/>
        <w:t xml:space="preserve">поиска и экспертизы, а руководители подразделений несут ответственность за все вопросы в отношении качества в своих подразделениях, </w:t>
      </w:r>
      <w:r w:rsidR="00780DE1">
        <w:rPr>
          <w:rFonts w:eastAsia="Times New Roman"/>
          <w:szCs w:val="24"/>
          <w:lang w:val="ru-RU"/>
        </w:rPr>
        <w:t>соответствующих</w:t>
      </w:r>
      <w:r w:rsidRPr="008A3790">
        <w:rPr>
          <w:rFonts w:eastAsia="Times New Roman"/>
          <w:szCs w:val="24"/>
          <w:lang w:val="ru-RU"/>
        </w:rPr>
        <w:t xml:space="preserve"> </w:t>
      </w:r>
      <w:r w:rsidR="00780DE1" w:rsidRPr="008A3790">
        <w:rPr>
          <w:rFonts w:eastAsia="Times New Roman"/>
          <w:szCs w:val="24"/>
          <w:lang w:val="ru-RU"/>
        </w:rPr>
        <w:t>механическ</w:t>
      </w:r>
      <w:r w:rsidR="00780DE1">
        <w:rPr>
          <w:rFonts w:eastAsia="Times New Roman"/>
          <w:szCs w:val="24"/>
          <w:lang w:val="ru-RU"/>
        </w:rPr>
        <w:t>ой</w:t>
      </w:r>
      <w:r w:rsidRPr="008A3790">
        <w:rPr>
          <w:rFonts w:eastAsia="Times New Roman"/>
          <w:szCs w:val="24"/>
          <w:lang w:val="ru-RU"/>
        </w:rPr>
        <w:t xml:space="preserve">, </w:t>
      </w:r>
      <w:r w:rsidR="00780DE1" w:rsidRPr="008A3790">
        <w:rPr>
          <w:rFonts w:eastAsia="Times New Roman"/>
          <w:szCs w:val="24"/>
          <w:lang w:val="ru-RU"/>
        </w:rPr>
        <w:t>химическ</w:t>
      </w:r>
      <w:r w:rsidR="00780DE1">
        <w:rPr>
          <w:rFonts w:eastAsia="Times New Roman"/>
          <w:szCs w:val="24"/>
          <w:lang w:val="ru-RU"/>
        </w:rPr>
        <w:t>ой</w:t>
      </w:r>
      <w:r w:rsidRPr="008A3790">
        <w:rPr>
          <w:rFonts w:eastAsia="Times New Roman"/>
          <w:szCs w:val="24"/>
          <w:lang w:val="ru-RU"/>
        </w:rPr>
        <w:t xml:space="preserve">, </w:t>
      </w:r>
      <w:r w:rsidR="00780DE1" w:rsidRPr="008A3790">
        <w:rPr>
          <w:rFonts w:eastAsia="Times New Roman"/>
          <w:szCs w:val="24"/>
          <w:lang w:val="ru-RU"/>
        </w:rPr>
        <w:t>электрическ</w:t>
      </w:r>
      <w:r w:rsidR="00780DE1">
        <w:rPr>
          <w:rFonts w:eastAsia="Times New Roman"/>
          <w:szCs w:val="24"/>
          <w:lang w:val="ru-RU"/>
        </w:rPr>
        <w:t>ой</w:t>
      </w:r>
      <w:r w:rsidRPr="008A3790">
        <w:rPr>
          <w:rFonts w:eastAsia="Times New Roman"/>
          <w:szCs w:val="24"/>
          <w:lang w:val="ru-RU"/>
        </w:rPr>
        <w:t>/</w:t>
      </w:r>
      <w:r w:rsidR="00780DE1" w:rsidRPr="008A3790">
        <w:rPr>
          <w:rFonts w:eastAsia="Times New Roman"/>
          <w:szCs w:val="24"/>
          <w:lang w:val="ru-RU"/>
        </w:rPr>
        <w:t>электронн</w:t>
      </w:r>
      <w:r w:rsidR="00780DE1">
        <w:rPr>
          <w:rFonts w:eastAsia="Times New Roman"/>
          <w:szCs w:val="24"/>
          <w:lang w:val="ru-RU"/>
        </w:rPr>
        <w:t>ой</w:t>
      </w:r>
      <w:r w:rsidR="00780DE1" w:rsidRPr="008A3790">
        <w:rPr>
          <w:rFonts w:eastAsia="Times New Roman"/>
          <w:szCs w:val="24"/>
          <w:lang w:val="ru-RU"/>
        </w:rPr>
        <w:t xml:space="preserve"> област</w:t>
      </w:r>
      <w:r w:rsidR="00780DE1">
        <w:rPr>
          <w:rFonts w:eastAsia="Times New Roman"/>
          <w:szCs w:val="24"/>
          <w:lang w:val="ru-RU"/>
        </w:rPr>
        <w:t>ям техники</w:t>
      </w:r>
      <w:r w:rsidR="00780DE1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и </w:t>
      </w:r>
      <w:r w:rsidR="00780DE1">
        <w:rPr>
          <w:rFonts w:eastAsia="Times New Roman"/>
          <w:szCs w:val="24"/>
          <w:lang w:val="ru-RU"/>
        </w:rPr>
        <w:t>области</w:t>
      </w:r>
      <w:r w:rsidRPr="008A3790">
        <w:rPr>
          <w:rFonts w:eastAsia="Times New Roman"/>
          <w:szCs w:val="24"/>
          <w:lang w:val="ru-RU"/>
        </w:rPr>
        <w:t>биотехнологий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Все руководители подразделений совместно образуют отдел качества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 согласованию с Рабочей группой по руководящим принципам и Рабочей группой по планированию обучения менеджер по качеству отвечает за улучшение СУК, обеспечивая при этом ее продуктивность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отношении процесса работы и качества от заявки до выдачи, после получения заявки вначале проводится предварительная классификация для того, чтобы заявка могла быть автоматически направлена в соответствующую техническую группу с помощью алгоритма распределения рабочей нагрузки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Указанный информационный инструмент осуществляет сбалансированное распределение рабочей нагрузки, а также отслеживает колебания спроса по каждой технической области и объем невыполненных задач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данное программное обеспечение отслеживает показатели своевременности </w:t>
      </w:r>
      <w:r w:rsidR="000D7F72">
        <w:rPr>
          <w:rFonts w:eastAsia="Times New Roman"/>
          <w:szCs w:val="24"/>
          <w:lang w:val="ru-RU"/>
        </w:rPr>
        <w:t>каждого</w:t>
      </w:r>
      <w:r w:rsidRPr="008A3790">
        <w:rPr>
          <w:rFonts w:eastAsia="Times New Roman"/>
          <w:szCs w:val="24"/>
          <w:lang w:val="ru-RU"/>
        </w:rPr>
        <w:t xml:space="preserve"> эксперту и сообщает о любых задержках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процессе контроля качества второй эксперт просматривает все отчеты до их публикации с целью обеспечения высококачественных результатов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Второй эксперт проверяет отчеты в соответствии с контрольным списком, </w:t>
      </w:r>
      <w:r w:rsidR="000D7F72">
        <w:rPr>
          <w:rFonts w:eastAsia="Times New Roman"/>
          <w:szCs w:val="24"/>
          <w:lang w:val="ru-RU"/>
        </w:rPr>
        <w:t>в который входят</w:t>
      </w:r>
      <w:r w:rsidRPr="008A3790">
        <w:rPr>
          <w:rFonts w:eastAsia="Times New Roman"/>
          <w:szCs w:val="24"/>
          <w:lang w:val="ru-RU"/>
        </w:rPr>
        <w:t xml:space="preserve"> правильность кода (кодов) </w:t>
      </w:r>
      <w:r w:rsidR="000D7F72">
        <w:rPr>
          <w:rFonts w:eastAsia="Times New Roman"/>
          <w:szCs w:val="24"/>
          <w:lang w:val="ru-RU"/>
        </w:rPr>
        <w:t>МПК</w:t>
      </w:r>
      <w:r w:rsidRPr="008A3790">
        <w:rPr>
          <w:rFonts w:eastAsia="Times New Roman"/>
          <w:szCs w:val="24"/>
          <w:lang w:val="ru-RU"/>
        </w:rPr>
        <w:t xml:space="preserve">, был ли проведен поиск по всем </w:t>
      </w:r>
      <w:r w:rsidR="000D7F72">
        <w:rPr>
          <w:rFonts w:eastAsia="Times New Roman"/>
          <w:szCs w:val="24"/>
          <w:lang w:val="ru-RU"/>
        </w:rPr>
        <w:t xml:space="preserve">пунктам </w:t>
      </w:r>
      <w:r w:rsidR="000D7F72" w:rsidRPr="008A3790">
        <w:rPr>
          <w:rFonts w:eastAsia="Times New Roman"/>
          <w:szCs w:val="24"/>
          <w:lang w:val="ru-RU"/>
        </w:rPr>
        <w:t>формул</w:t>
      </w:r>
      <w:r w:rsidR="000D7F72">
        <w:rPr>
          <w:rFonts w:eastAsia="Times New Roman"/>
          <w:szCs w:val="24"/>
          <w:lang w:val="ru-RU"/>
        </w:rPr>
        <w:t>ы</w:t>
      </w:r>
      <w:r w:rsidR="000D7F72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изобретения, использованные ключевые слова, правильность кодов (X, Y и т.д.) и </w:t>
      </w:r>
      <w:r w:rsidR="000D7F72">
        <w:rPr>
          <w:rFonts w:eastAsia="Times New Roman"/>
          <w:szCs w:val="24"/>
          <w:lang w:val="ru-RU"/>
        </w:rPr>
        <w:t>использовались</w:t>
      </w:r>
      <w:r w:rsidR="000D7F72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ли в отчете стандартные предложения и фразы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Если второй эксперт обнаруживает какое-либо несоответствие либо недостаток, отчет направляется обратно первому эксперту для обзора и исправления соответственно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все содержание контрольного списка и отчета сохраняется и отслеживается информационным инструментом, который анализирует ссылки X/Y, а также другие специальные индикаторы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качестве индикатора качества используются аналитические отчеты по каждому эксперту и каждой технической области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Как показали последние результаты, процент отчетов о поиске как минимум с одной ссылкой X/Y за период с 2012 по 2015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изменялся в диапазоне от 62 до 86 процентов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рамках планируемого процесса обеспечения качества в статусе Международного поискового органа 5 процентов отчетов будут выбираться в случайном порядке и контролироваться отделом качества согласно заданной матрице качества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Результаты будут регистрироваться, с периодическим предоставлением отчетности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использует площадку для обсуждения между патентными экспертами, на которой эксперты могут проконсультироваться друг с другом по конкретным вопросам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зависимости от характера дела в качестве общего понимания с перспективой внедрения может быть принято «прецедентное право»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Такое прецедентное право отражено в соответствующих указаниях и руководстве по качеству, если это необходимо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существенное значение для принятия необходимых мер предосторожности и внесения редакций в руководство по качеству имела обратная связь со стороны пользователей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свете указанной информации ТПИ обеспечит выполнение требований СУК в главе 21 Руководства по проведению поиска и экспертизы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В заключение делегация </w:t>
      </w:r>
      <w:r w:rsidR="000D7F72">
        <w:rPr>
          <w:rFonts w:eastAsia="Times New Roman"/>
          <w:szCs w:val="24"/>
          <w:lang w:val="ru-RU"/>
        </w:rPr>
        <w:t>подчеркнула тот огромный скачок</w:t>
      </w:r>
      <w:r w:rsidRPr="008A3790">
        <w:rPr>
          <w:rFonts w:eastAsia="Times New Roman"/>
          <w:szCs w:val="24"/>
          <w:lang w:val="ru-RU"/>
        </w:rPr>
        <w:t xml:space="preserve">, </w:t>
      </w:r>
      <w:r w:rsidR="000D7F72">
        <w:rPr>
          <w:rFonts w:eastAsia="Times New Roman"/>
          <w:szCs w:val="24"/>
          <w:lang w:val="ru-RU"/>
        </w:rPr>
        <w:t>который был сделан</w:t>
      </w:r>
      <w:r w:rsidR="000D7F72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ТПИ за последние 15 лет в части наращивания своего потенциала и компетенций в сфере работы по поиску и экспертизе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ТПИ уже отвечает минимальным требованиям для назначения в качестве МПО/ОМПЭ в рамках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и не намерен останавливаться на достигнутом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Напротив, ТПИ нацелен на дальнейшее совершенствование своей технической инфраструктуры, увеличение количества экспертов и повышение качества их обучения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Турция твердо уверена в том, что </w:t>
      </w:r>
      <w:r w:rsidR="000D7F72">
        <w:rPr>
          <w:rFonts w:eastAsia="Times New Roman"/>
          <w:szCs w:val="24"/>
          <w:lang w:val="ru-RU"/>
        </w:rPr>
        <w:t xml:space="preserve"> играя роль</w:t>
      </w:r>
      <w:r w:rsidRPr="008A3790">
        <w:rPr>
          <w:rFonts w:eastAsia="Times New Roman"/>
          <w:szCs w:val="24"/>
          <w:lang w:val="ru-RU"/>
        </w:rPr>
        <w:t xml:space="preserve"> моста между Европой и Азией, в качестве Международного органа ТПИ внесет вклад в распространение знаний о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за счет создания сети между местными и региональными пользователями, а также поддержит развитие и продвижение системы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своем регионе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заключение делегация вновь выразила свое глубочайшее почтение и благодарность в адрес Ведомства интеллектуальной собственности Республики Корея (КВИС) и Испанского ведомства по патентам и товарным знакам (ИВПТЗ) за превосходное сотрудничество и помощь, а также </w:t>
      </w:r>
      <w:r w:rsidR="004635D3">
        <w:rPr>
          <w:rFonts w:eastAsia="Times New Roman"/>
          <w:szCs w:val="24"/>
          <w:lang w:val="ru-RU"/>
        </w:rPr>
        <w:t>высказала</w:t>
      </w:r>
      <w:r w:rsidR="004635D3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благодарность в адрес Секретариата за превосходное руководство в течение процесса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lastRenderedPageBreak/>
        <w:t>Делегация Республики Корея предоставила отчет о сотрудничестве с ТПИ, реализованном Ведомством интеллектуальной собственности Республики Корея (КВИС) наряду с Испанским ведомством по патентам и товарным знакам (ИВПТЗ) в качестве существующего Международного поискового органа и Органа международной предварительной экспертизы (МПО/ОМПЭ) в целях оказания помощи при подготовке заявки ТПИ о назначении в качестве МПО/ОМПЭ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КВИС составил план оказания помощи ТПИ на основе критериев, указанных в правилах 34, 36 и 63, и дополнительных требований по поиску и экспертизе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тематическую рабочую группу КВИС для указанного задания входили эксперты в трех областях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регламенты и системы, проведение поиска и экспертизы по существу и ИТ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КВИС предоставил последнюю версию Инструкции PCT, Руководства РСТ по проведению международного поиска и международной предварительной экспертизы, руководства по PCT, используемого КВИС, руководства по проведению поиска и экспертизы в КВИС и национального патентного законодательства Кореи на основе 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КВИС составил контрольный список вопросов для того, чтобы ТПИ мог проверить наличие доступа к минимальной документации PCT и провести проверку своих внутренних регламентов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После того, как КВИС передал все указанные документы, делегация КВИС посетила ТПИ во второй неделе декабря 2015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ходе данной первой миссии КВИС провел мероприятие по установлению фактов и предложил улучшения, которые ТПИ необходимо осуществить в целях достижения соответствия критериям назначения в качестве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29 февраля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 xml:space="preserve">президенты КВИС и ТПИ подписали меморандум о </w:t>
      </w:r>
      <w:r w:rsidR="00AE5D38">
        <w:rPr>
          <w:rFonts w:eastAsia="Times New Roman"/>
          <w:szCs w:val="24"/>
          <w:lang w:val="ru-RU"/>
        </w:rPr>
        <w:t>договоренности</w:t>
      </w:r>
      <w:r w:rsidR="004856FB">
        <w:rPr>
          <w:rFonts w:eastAsia="Times New Roman"/>
          <w:szCs w:val="24"/>
          <w:lang w:val="ru-RU"/>
        </w:rPr>
        <w:t>, с тем чтобы</w:t>
      </w:r>
      <w:r w:rsidRPr="008A3790">
        <w:rPr>
          <w:rFonts w:eastAsia="Times New Roman"/>
          <w:szCs w:val="24"/>
          <w:lang w:val="ru-RU"/>
        </w:rPr>
        <w:t xml:space="preserve"> КВИС </w:t>
      </w:r>
      <w:r w:rsidR="004856FB">
        <w:rPr>
          <w:rFonts w:eastAsia="Times New Roman"/>
          <w:szCs w:val="24"/>
          <w:lang w:val="ru-RU"/>
        </w:rPr>
        <w:t>оказывал содействие</w:t>
      </w:r>
      <w:r w:rsidR="004856FB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в назначении ТПИ в качестве двадцать второго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После подписания меморандума КВИС посетил ТПИ в марте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Благодаря обоим посещениям и сотрудничеству с ТПИ</w:t>
      </w:r>
      <w:r w:rsidR="004856FB">
        <w:rPr>
          <w:rFonts w:eastAsia="Times New Roman"/>
          <w:szCs w:val="24"/>
          <w:lang w:val="ru-RU"/>
        </w:rPr>
        <w:t>,</w:t>
      </w:r>
      <w:r w:rsidRPr="008A3790">
        <w:rPr>
          <w:rFonts w:eastAsia="Times New Roman"/>
          <w:szCs w:val="24"/>
          <w:lang w:val="ru-RU"/>
        </w:rPr>
        <w:t xml:space="preserve"> КВИС удалось повысить не только уровень понимания фактов и цифр, представленных ТПИ, но и осведомленность о том, что ТПИ стремится к назначению в качестве МПО/ОМПЭ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заявила, что, на основании проведенной КВИС миссии по установлению фактов и </w:t>
      </w:r>
      <w:r w:rsidR="004856FB" w:rsidRPr="008A3790">
        <w:rPr>
          <w:rFonts w:eastAsia="Times New Roman"/>
          <w:szCs w:val="24"/>
          <w:lang w:val="ru-RU"/>
        </w:rPr>
        <w:t>оценк</w:t>
      </w:r>
      <w:r w:rsidR="004856FB">
        <w:rPr>
          <w:rFonts w:eastAsia="Times New Roman"/>
          <w:szCs w:val="24"/>
          <w:lang w:val="ru-RU"/>
        </w:rPr>
        <w:t>е</w:t>
      </w:r>
      <w:r w:rsidRPr="008A3790">
        <w:rPr>
          <w:rFonts w:eastAsia="Times New Roman"/>
          <w:szCs w:val="24"/>
          <w:lang w:val="ru-RU"/>
        </w:rPr>
        <w:t>, по состоянию на февраль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в ТПИ на условиях полной занятости работают 103 патентных эксперта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Эти эксперты обладают достаточной технической квалификацией для проведения поиска в более чем 19 технических областях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 2019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ТПИ планирует увеличить число патентных экспертов до 162 человек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Все эксперты понимают документы, составленные на турецком и английском языках, а 20 процентов из них знают французский и немецкий язык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Эксперты должны обладать, как минимум, степенью бакалавра и пройти специальный тест для подтверждения способности проводить патентную экспертизу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эксперты обязаны участвовать в самых разных учебных программах Академии ЕПВ, Академии ВОИС и других образовательных учреждений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образом, у экспертов ТПИ имеется достаточный объем технических знаний для проведения поиска и экспертизы по заявкам </w:t>
      </w:r>
      <w:r w:rsidRPr="008A3790">
        <w:rPr>
          <w:rFonts w:eastAsia="Times New Roman"/>
          <w:szCs w:val="24"/>
          <w:lang w:val="en-GB"/>
        </w:rPr>
        <w:t>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Во-вторых, ТПИ обладает доступом к минимуму документации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– как к патентной, так и к непатентной литературе – через </w:t>
      </w:r>
      <w:r w:rsidRPr="008A3790">
        <w:rPr>
          <w:rFonts w:eastAsia="Times New Roman"/>
          <w:szCs w:val="24"/>
          <w:lang w:val="en-GB"/>
        </w:rPr>
        <w:t>EPOQUE</w:t>
      </w:r>
      <w:r w:rsidRPr="008A3790">
        <w:rPr>
          <w:rFonts w:eastAsia="Times New Roman"/>
          <w:szCs w:val="24"/>
          <w:lang w:val="ru-RU"/>
        </w:rPr>
        <w:t>.</w:t>
      </w:r>
      <w:r w:rsidRPr="008A3790">
        <w:rPr>
          <w:rFonts w:eastAsia="Times New Roman"/>
          <w:szCs w:val="24"/>
          <w:lang w:val="en-GB"/>
        </w:rPr>
        <w:t>net</w:t>
      </w:r>
      <w:r w:rsidRPr="008A3790">
        <w:rPr>
          <w:rFonts w:eastAsia="Times New Roman"/>
          <w:szCs w:val="24"/>
          <w:lang w:val="ru-RU"/>
        </w:rPr>
        <w:t xml:space="preserve"> и базу данных Турецкого совета научных и технологических исследований (</w:t>
      </w:r>
      <w:r w:rsidRPr="008A3790">
        <w:rPr>
          <w:rFonts w:eastAsia="Times New Roman"/>
          <w:szCs w:val="24"/>
          <w:lang w:val="en-GB"/>
        </w:rPr>
        <w:t>TUBITAK</w:t>
      </w:r>
      <w:r w:rsidRPr="008A3790">
        <w:rPr>
          <w:rFonts w:eastAsia="Times New Roman"/>
          <w:szCs w:val="24"/>
          <w:lang w:val="ru-RU"/>
        </w:rPr>
        <w:t>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Система </w:t>
      </w:r>
      <w:r w:rsidRPr="008A3790">
        <w:rPr>
          <w:rFonts w:eastAsia="Times New Roman"/>
          <w:szCs w:val="24"/>
          <w:lang w:val="en-GB"/>
        </w:rPr>
        <w:t>EPOQUE</w:t>
      </w:r>
      <w:r w:rsidRPr="008A3790">
        <w:rPr>
          <w:rFonts w:eastAsia="Times New Roman"/>
          <w:szCs w:val="24"/>
          <w:lang w:val="ru-RU"/>
        </w:rPr>
        <w:t>.</w:t>
      </w:r>
      <w:r w:rsidRPr="008A3790">
        <w:rPr>
          <w:rFonts w:eastAsia="Times New Roman"/>
          <w:szCs w:val="24"/>
          <w:lang w:val="en-GB"/>
        </w:rPr>
        <w:t>Net</w:t>
      </w:r>
      <w:r w:rsidRPr="008A3790">
        <w:rPr>
          <w:rFonts w:eastAsia="Times New Roman"/>
          <w:szCs w:val="24"/>
          <w:lang w:val="ru-RU"/>
        </w:rPr>
        <w:t xml:space="preserve"> охватывает патентную документацию по всему миру и функционирует на основе партнерства с ЕПВ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</w:t>
      </w:r>
      <w:r w:rsidRPr="008A3790">
        <w:rPr>
          <w:rFonts w:eastAsia="Times New Roman"/>
          <w:szCs w:val="24"/>
          <w:lang w:val="en-GB"/>
        </w:rPr>
        <w:t>TUBITAK</w:t>
      </w:r>
      <w:r w:rsidRPr="008A3790">
        <w:rPr>
          <w:rFonts w:eastAsia="Times New Roman"/>
          <w:szCs w:val="24"/>
          <w:lang w:val="ru-RU"/>
        </w:rPr>
        <w:t xml:space="preserve"> предоставляет доступ к научной базе данных, которая охватывает значительный объем минимальной документации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, касающейся непатентной литературы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Более того, ТПИ недавно оцифровал все национальные турецкие патентные документы, расширив тем самым возможности их полнотекстового использования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Наличие оцифрованных данных наряду с категориями поиска в Системе управления патентными файлами (</w:t>
      </w:r>
      <w:r w:rsidRPr="008A3790">
        <w:rPr>
          <w:rFonts w:eastAsia="Times New Roman"/>
          <w:szCs w:val="24"/>
          <w:lang w:val="en-GB"/>
        </w:rPr>
        <w:t>PATUNA</w:t>
      </w:r>
      <w:r w:rsidRPr="008A3790">
        <w:rPr>
          <w:rFonts w:eastAsia="Times New Roman"/>
          <w:szCs w:val="24"/>
          <w:lang w:val="ru-RU"/>
        </w:rPr>
        <w:t>) упрощает проведение поиска по турецким документам для экспертов и делает его более удобным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сообщила о том, что в 2015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ТПИ организовал три рабочие группы для осуществления следующих мероприятий в период до марта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Рабочая группа по руководящим принципам проанализировала действующие руководства КВИС, ИВПТЗ, ВОИС и ЯПВ и пересмотрела действующее руководство ТПИ с учетом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, Инструкции к </w:t>
      </w:r>
      <w:r w:rsidRPr="008A3790">
        <w:rPr>
          <w:rFonts w:eastAsia="Times New Roman"/>
          <w:szCs w:val="24"/>
        </w:rPr>
        <w:lastRenderedPageBreak/>
        <w:t>PCT</w:t>
      </w:r>
      <w:r w:rsidRPr="008A3790">
        <w:rPr>
          <w:rFonts w:eastAsia="Times New Roman"/>
          <w:szCs w:val="24"/>
          <w:lang w:val="ru-RU"/>
        </w:rPr>
        <w:t xml:space="preserve"> и Руководства по проведению международного поиска и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Рабочая группа по обучению разработала программы обучения на основе образовательной системы ЕПВ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продолжает обновлять программы для различных областей техники, в том числе разрабатывать курсы дистанционного обучения, обучения в процессе работы и другие курсы посредством сотрудничества с другими образовательными учреждениями, занимающимися вопросами ИС, такими, как Международный образовательный институт по вопросам интеллектуальной собственности (</w:t>
      </w:r>
      <w:r w:rsidRPr="008A3790">
        <w:rPr>
          <w:rFonts w:eastAsia="Times New Roman"/>
          <w:szCs w:val="24"/>
        </w:rPr>
        <w:t>IIPTI</w:t>
      </w:r>
      <w:r w:rsidRPr="008A3790">
        <w:rPr>
          <w:rFonts w:eastAsia="Times New Roman"/>
          <w:szCs w:val="24"/>
          <w:lang w:val="ru-RU"/>
        </w:rPr>
        <w:t>) КВИС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соответствии с главой 21 Руководства РСТ по проведению международного поиска и международной предварительной экспертизы рабочая группа по управлению качеством создала в ТПИ систему управления качеством (СУК)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 итогам мероприятий, проведенных в рамках трех рабочих групп, ТПИ смог создать собственную систему управления качеством (СУК), работу которой контролирует группа обеспечения качества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Отчеты, подготовленные каждым экспертом, проверяются вторым экспертом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соответствии с правилами и процедурами СУК, значительный процент отчетов о поиске и экспертизе, отбираемых произвольно, будет проверяться и анализироваться группой обеспечения качества и/или руководителями подразделений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Таким образом, КВИС твердо убежден в том, что ТПИ полностью сформировало СУК в целях обеспечения соблюдения всех требований, указанных в главе 21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В заключение делегация заявила, что, принимая во внимание все упомянутое выше, ТПИ удовлетворяет всем требованиям назначения в качестве МПО и ОМПЭ в соответствии с правилами 36 и 63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ТПИ уже подготовил внутренние регламенты для проведения поиска и экспертизы в рамках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, а КВИС и ТПИ продолжат сотрудничество в области обучения экспертов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КВИС не сомневается в способности ТПИ выполнять функции МПО и ОМПЭ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Испании сообщила, что 14–17 декабря 2015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и 7–10 марта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технический советник Испанского ведомства по патентам и товарным знакам (ИВПТЗ) провел в Турецком патентном институте (ТПИ) две миссии по установлению фактов в рамках осуществления сотрудничества в целях оказания технической помощи ТПИ в ходе процесса подачи им заявки на назначение в качестве Международного поискового органа и Органа международной предварительной экспертизы (МПО/ОМПЭ)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2014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 xml:space="preserve">Ассамблея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утвердила согласованное понимание, в котором содержались новые требования к тем патентным ведомствам, которые хотят быть назначенными в качестве международных органов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Среди новых рекомендаций есть рекомендация, согласно которой «настоятельно рекомендуется заручиться помощью одного или более существующих Международных органов для оказания содействия в оценке того, в какой степени оно соответствует критериям, до подачи заявки» (см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пункт 25(</w:t>
      </w:r>
      <w:r w:rsidRPr="008A3790">
        <w:rPr>
          <w:rFonts w:eastAsia="Times New Roman"/>
          <w:szCs w:val="24"/>
        </w:rPr>
        <w:t>a</w:t>
      </w:r>
      <w:r w:rsidRPr="008A3790">
        <w:rPr>
          <w:rFonts w:eastAsia="Times New Roman"/>
          <w:szCs w:val="24"/>
          <w:lang w:val="ru-RU"/>
        </w:rPr>
        <w:t xml:space="preserve">) Отчета сорок шестой сессии Ассамблеи Союза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, состоявшейся в Женеве 22-30 сентября 2015 г., документ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</w:rPr>
        <w:t>A</w:t>
      </w:r>
      <w:r w:rsidRPr="008A3790">
        <w:rPr>
          <w:rFonts w:eastAsia="Times New Roman"/>
          <w:szCs w:val="24"/>
          <w:lang w:val="ru-RU"/>
        </w:rPr>
        <w:t>/46/6)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заявил о своем намерении подать заявку на назначение в качестве нового МПО/ОМПЭ к марту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 xml:space="preserve">и, в целях выполнения нового требования, обратился с просьбой к ИВПТЗ в качестве существующего МПО/ОМПЭ, с учетом действующего меморандума о </w:t>
      </w:r>
      <w:r w:rsidR="00AE5D38">
        <w:rPr>
          <w:rFonts w:eastAsia="Times New Roman"/>
          <w:szCs w:val="24"/>
          <w:lang w:val="ru-RU"/>
        </w:rPr>
        <w:t>договоренности</w:t>
      </w:r>
      <w:r w:rsidR="00AE5D38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между двумя ведомствами, провести оценку процесса подачи заявки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также обратился к Ведомству интеллектуальной собственности Республики Корея (КВИС) с аналогичной просьбой, которая была удовлетворена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Для получении более эффективной помощи и в силу ограничений по времени ТПИ пригласил КВИС и ИВПТЗ вместе в целях оказания запрошенной помощи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Предполагаемая окончательная цель таких посещений по оказанию помощи состоит в том, что к марту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осуществляющие сотрудничество МПО/ОМПЭ представят отчет об оценке, который будет использоваться ТПИ в процессе подачи им заявки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Для завершения работы над окончательным отчетом ТПИ счел необходимым провести второе посещение в рамках сотрудничества в марте 2016 г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пояснила, что ТПИ находится в Анкаре и располагается в современном здании, построенном около 10 лет назад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помещениях хорошее естественное </w:t>
      </w:r>
      <w:r w:rsidRPr="008A3790">
        <w:rPr>
          <w:rFonts w:eastAsia="Times New Roman"/>
          <w:szCs w:val="24"/>
          <w:lang w:val="ru-RU"/>
        </w:rPr>
        <w:lastRenderedPageBreak/>
        <w:t>освещение, они современны и просторны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Патентные эксперты работают в кабинетах, рассчитанных на два или три человека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Ведомство спланировано аналогично другим европейским патентным ведомствам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 здании достаточно места, чтобы организовать новые рабочие кабинеты для новых патентных экспертов, которых планируется принять на работу в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У каждого эксперта есть современный стол, у всех экспертов есть компьютер с двумя примерно 24-дюймовыми экранами и доступ к патентной базе данных </w:t>
      </w:r>
      <w:r w:rsidRPr="008A3790">
        <w:rPr>
          <w:rFonts w:eastAsia="Times New Roman"/>
          <w:szCs w:val="24"/>
          <w:lang w:val="en-GB"/>
        </w:rPr>
        <w:t>EPOQUENet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 здании ТПИ есть несколько помещений для проведения заседаний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Следует отметить, что в том числе имеется зал на 400 человек, а также кабинет для проведения обучения, где оборудовано более 20 компьютерных мест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получает порядка 5</w:t>
      </w:r>
      <w:r w:rsidRPr="008A3790">
        <w:rPr>
          <w:rFonts w:eastAsia="Times New Roman"/>
          <w:szCs w:val="24"/>
          <w:lang w:val="en-GB"/>
        </w:rPr>
        <w:t> </w:t>
      </w:r>
      <w:r w:rsidRPr="008A3790">
        <w:rPr>
          <w:rFonts w:eastAsia="Times New Roman"/>
          <w:szCs w:val="24"/>
          <w:lang w:val="ru-RU"/>
        </w:rPr>
        <w:t>500 национальных патентных заявок в год, а объем нерассмотренных заявок очень незначителен</w:t>
      </w:r>
      <w:r w:rsidR="00F02D73">
        <w:rPr>
          <w:rFonts w:eastAsia="Times New Roman"/>
          <w:szCs w:val="24"/>
          <w:lang w:val="ru-RU"/>
        </w:rPr>
        <w:t>:</w:t>
      </w:r>
      <w:r w:rsidRPr="008A3790">
        <w:rPr>
          <w:rFonts w:eastAsia="Times New Roman"/>
          <w:szCs w:val="24"/>
          <w:lang w:val="ru-RU"/>
        </w:rPr>
        <w:t xml:space="preserve"> на их обработку требуется около четырех месяцев</w:t>
      </w:r>
      <w:r w:rsidR="00F02D73">
        <w:rPr>
          <w:rFonts w:eastAsia="Times New Roman"/>
          <w:szCs w:val="24"/>
          <w:lang w:val="ru-RU"/>
        </w:rPr>
        <w:t>;  столь низкая задержка</w:t>
      </w:r>
      <w:r w:rsidRPr="008A3790">
        <w:rPr>
          <w:rFonts w:eastAsia="Times New Roman"/>
          <w:szCs w:val="24"/>
          <w:lang w:val="ru-RU"/>
        </w:rPr>
        <w:t xml:space="preserve"> </w:t>
      </w:r>
      <w:r w:rsidR="00F02D73" w:rsidRPr="008A3790">
        <w:rPr>
          <w:rFonts w:eastAsia="Times New Roman"/>
          <w:szCs w:val="24"/>
          <w:lang w:val="ru-RU"/>
        </w:rPr>
        <w:t>обусловлен</w:t>
      </w:r>
      <w:r w:rsidR="00F02D73">
        <w:rPr>
          <w:rFonts w:eastAsia="Times New Roman"/>
          <w:szCs w:val="24"/>
          <w:lang w:val="ru-RU"/>
        </w:rPr>
        <w:t>а</w:t>
      </w:r>
      <w:r w:rsidR="00F02D73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ау</w:t>
      </w:r>
      <w:r w:rsidR="00F02D73">
        <w:rPr>
          <w:rFonts w:eastAsia="Times New Roman"/>
          <w:szCs w:val="24"/>
          <w:lang w:val="ru-RU"/>
        </w:rPr>
        <w:t>т</w:t>
      </w:r>
      <w:r w:rsidRPr="008A3790">
        <w:rPr>
          <w:rFonts w:eastAsia="Times New Roman"/>
          <w:szCs w:val="24"/>
          <w:lang w:val="ru-RU"/>
        </w:rPr>
        <w:t>сорсингом в другие патентные ведомства, а именно Ведомство ИС Австралии, Шведское ведомство по патентам и регистрации, Ведомство Соединенного Королевства по вопросам интеллектуальной собственности, Датское ведомство по патентам и товарным знакам и Европейское патентное ведомство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Благодаря расширению возможностей ТПИ в области поиска и экспертизы в последние годы снизилось число заявок, передаваемых в рамках аутсорсинга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по состоянию на конец 2015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вся работа по проведению поиска и экспертизы проводится ТПИ самостоятельно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сообщила о количестве экспертов в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Патентное ведомство, которое хочет быть назначено в качестве МПО/ОМПЭ, должно соответствовать требованию правил 36.1(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 и 63.1(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 xml:space="preserve">«национальное ведомство или межправительственная организация должна иметь по крайней мере 100 сотрудников, занятых полную рабочую неделю и обладающих достаточной технической квалификацией для проведения поиска», а также соответствующему требованию, изложенному в согласованном понимании Ассамблеи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2014 г.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«Любая такая заявка должна подаваться исходя из того понимания, что ведомство, стремящееся получить назначение, должно соответствовать всем основным критериям для назначения в момент назначения Ассамблеей» (см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пункт 25(</w:t>
      </w:r>
      <w:r w:rsidRPr="008A3790">
        <w:rPr>
          <w:rFonts w:eastAsia="Times New Roman"/>
          <w:szCs w:val="24"/>
          <w:lang w:val="en-GB"/>
        </w:rPr>
        <w:t>d</w:t>
      </w:r>
      <w:r w:rsidRPr="008A3790">
        <w:rPr>
          <w:rFonts w:eastAsia="Times New Roman"/>
          <w:szCs w:val="24"/>
          <w:lang w:val="ru-RU"/>
        </w:rPr>
        <w:t xml:space="preserve">) документа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  <w:lang w:val="en-GB"/>
        </w:rPr>
        <w:t>A</w:t>
      </w:r>
      <w:r w:rsidRPr="008A3790">
        <w:rPr>
          <w:rFonts w:eastAsia="Times New Roman"/>
          <w:szCs w:val="24"/>
          <w:lang w:val="ru-RU"/>
        </w:rPr>
        <w:t>/46/6)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ходе процесса оказания технической помощи в период с декабря 2015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по март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ТПИ предприняло огромные усилия для обеспечения соответствия требованиям, указанным в правилах 36.1(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 и 63.1(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Изначально в ТПИ было 89 экспертов, но руководство ТПИ перераспределило тех патентных экспертов, которые ранее работали в других департаментах ТПИ и занимались вспомогательными аспектами (в частности, повышением информированности, продвижением и обучением)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результате такого перераспределения число экспертов в ТПИ в январе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достигло целевого показателя и составило 103 эксперта, обладающих полными возможностями в области поиска и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получил разрешение от Турецкого центрального кадрового агентства на прием еще девяти экспертов в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Ожидается, что новые эксперты начнут работу не позднее марта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Таким образом, к моменту подачи официального заявления в Международное бюро в ТПИ будет работать 112 экспертов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 феврале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ТПИ получил одобрение правительства Турции на набор еще 50 экспертов до 2019 г., т.е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итоге число патентных экспертов составит 162, когда ТПИ будет в полной мере выполнять свои функции в качестве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Следовательно, ТПИ соответствует требованиям, содержащимся в правилах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36.1(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 и 63.1(</w:t>
      </w:r>
      <w:r w:rsidRPr="008A3790">
        <w:rPr>
          <w:rFonts w:eastAsia="Times New Roman"/>
          <w:szCs w:val="24"/>
          <w:lang w:val="en-GB"/>
        </w:rPr>
        <w:t>i</w:t>
      </w:r>
      <w:r w:rsidRPr="008A3790">
        <w:rPr>
          <w:rFonts w:eastAsia="Times New Roman"/>
          <w:szCs w:val="24"/>
          <w:lang w:val="ru-RU"/>
        </w:rPr>
        <w:t>)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заявила, что процесс оказания помощи и проведения оценки осуществлялся в ходе двух основных посещений ТПИ, а также в ходе </w:t>
      </w:r>
      <w:r w:rsidR="00F02D73" w:rsidRPr="008A3790">
        <w:rPr>
          <w:rFonts w:eastAsia="Times New Roman"/>
          <w:szCs w:val="24"/>
          <w:lang w:val="ru-RU"/>
        </w:rPr>
        <w:t>активно</w:t>
      </w:r>
      <w:r w:rsidR="00F02D73">
        <w:rPr>
          <w:rFonts w:eastAsia="Times New Roman"/>
          <w:szCs w:val="24"/>
          <w:lang w:val="ru-RU"/>
        </w:rPr>
        <w:t>й</w:t>
      </w:r>
      <w:r w:rsidR="00F02D73" w:rsidRPr="008A3790">
        <w:rPr>
          <w:rFonts w:eastAsia="Times New Roman"/>
          <w:szCs w:val="24"/>
          <w:lang w:val="ru-RU"/>
        </w:rPr>
        <w:t xml:space="preserve"> </w:t>
      </w:r>
      <w:r w:rsidR="00F02D73">
        <w:rPr>
          <w:rFonts w:eastAsia="Times New Roman"/>
          <w:szCs w:val="24"/>
          <w:lang w:val="ru-RU"/>
        </w:rPr>
        <w:t>переписке</w:t>
      </w:r>
      <w:r w:rsidR="00F02D73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по электронной почте общей продолжительностью примерно четыре месяца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ходе посещений по оценке была проведена серия презентаций как ТПИ, так и КВИС и ИВПТЗ в целях обмена опытом и мнениями о деятельности в рамках </w:t>
      </w:r>
      <w:r w:rsidRPr="008A3790">
        <w:rPr>
          <w:rFonts w:eastAsia="Times New Roman"/>
          <w:szCs w:val="24"/>
          <w:lang w:val="en-GB"/>
        </w:rPr>
        <w:t>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были проведены встречи с представителями наиболее важных подразделений ТПИ, а именно Патентный департамент, Рабочая группа по системе управления качеством, Рабочая группа по Руководству по поиску и экспертизе и Группа планирования обучения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</w:t>
      </w:r>
      <w:r w:rsidRPr="008A3790">
        <w:rPr>
          <w:rFonts w:eastAsia="Times New Roman"/>
          <w:szCs w:val="24"/>
          <w:lang w:val="ru-RU"/>
        </w:rPr>
        <w:lastRenderedPageBreak/>
        <w:t>образом, сотрудничество в целях проведения оценки в целом осуществлялось согласно программе, сосредоточенной на основных областях работы, связанных с требованиями правил 36 и 63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система управления качеством (СУК)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минимум документации </w:t>
      </w:r>
      <w:r w:rsidRPr="008A3790">
        <w:rPr>
          <w:rFonts w:eastAsia="Times New Roman"/>
          <w:szCs w:val="24"/>
          <w:lang w:val="en-GB"/>
        </w:rPr>
        <w:t>PCT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ИТ-инструменты и базы данных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и обучение экспертов возможностям в области проведения поиска и экспертизы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привела описание системы управления качеством (СУК) ТПИ, которую она проанализировала посредством посещений и обмена электронными письмами с рабочей группой ТПИ по СУК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Правила 36 и 63 требуют наличия СУК во всех Международных органах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главе 21 Руководства РСТ по проведению международного поиска и международной предварительной экспертизы подробно описаны те организационные, функциональные и операционные аспекты, которые должна охватывать СУК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этой связи был проведен обмен опытом между тремя ведомствами (ТПИ, КВИС и ИВПТЗ)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этот период были проанализированы все пункты главы 21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руководство и политика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ресурсы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выполнение административной работы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обеспечение качества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коммуникация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документация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документация, касающаяся процесса патентного поиска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внутренний контроль и процедура отчетности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ТПИ существует организационная структура СУК, реализованная на национальном уровне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Действует система контроля качества, в рамках которой все отчеты проверяются двумя старшими экспертами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ходе процесса оказания помощи ИВПТЗ осуществляло обмен информацией и опытом, связанным с собственной СУК, а также рассказало о способах ее адаптации к требованиям главы 21, в частности, касающимся несоответствий, регистрации исправительных и профилактических действий, инструкций по регистрации или учету поисковой стратегии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Обсуждались и другие аспекты, такие, как процессы документации и организация внутреннего контроля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частности, ТПИ были переданы следующие инструкции и руководства ИВПТЗ по вопросам качества в переводе на английский язык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политика, цели и стандарты ИВПТЗ в области качества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руководство по процедурам обеспечения качества отчетов о международном поиске и письменных сообщений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стандартные положения ИВПТЗ по </w:t>
      </w:r>
      <w:r w:rsidRPr="008A3790">
        <w:rPr>
          <w:rFonts w:eastAsia="Times New Roman"/>
          <w:szCs w:val="24"/>
          <w:lang w:val="en-GB"/>
        </w:rPr>
        <w:t>PCT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контрольные перечни для отчетов о международном поиске и письменных сообщений ИВПТЗ (бланки </w:t>
      </w:r>
      <w:r w:rsidRPr="008A3790">
        <w:rPr>
          <w:rFonts w:eastAsia="Times New Roman"/>
          <w:szCs w:val="24"/>
          <w:lang w:val="en-GB"/>
        </w:rPr>
        <w:t>ISA</w:t>
      </w:r>
      <w:r w:rsidRPr="008A3790">
        <w:rPr>
          <w:rFonts w:eastAsia="Times New Roman"/>
          <w:szCs w:val="24"/>
          <w:lang w:val="ru-RU"/>
        </w:rPr>
        <w:t xml:space="preserve">210 и </w:t>
      </w:r>
      <w:r w:rsidRPr="008A3790">
        <w:rPr>
          <w:rFonts w:eastAsia="Times New Roman"/>
          <w:szCs w:val="24"/>
          <w:lang w:val="en-GB"/>
        </w:rPr>
        <w:t>ISA</w:t>
      </w:r>
      <w:r w:rsidRPr="008A3790">
        <w:rPr>
          <w:rFonts w:eastAsia="Times New Roman"/>
          <w:szCs w:val="24"/>
          <w:lang w:val="ru-RU"/>
        </w:rPr>
        <w:t>237);</w:t>
      </w:r>
      <w:r w:rsidR="00F02D73">
        <w:rPr>
          <w:rFonts w:eastAsia="Times New Roman"/>
          <w:szCs w:val="24"/>
          <w:lang w:val="ru-RU"/>
        </w:rPr>
        <w:t xml:space="preserve">  </w:t>
      </w:r>
      <w:r w:rsidRPr="008A3790">
        <w:rPr>
          <w:rFonts w:eastAsia="Times New Roman"/>
          <w:szCs w:val="24"/>
          <w:lang w:val="ru-RU"/>
        </w:rPr>
        <w:t>форма и руководящие принципы по стратегиям поиска с примерами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определения и процедуры по показателям качества ИВПТЗ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процедура работы с несоответствиями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процедура осуществления исправительных и профилактических мер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процедура обращения с жалобами, предложениями и поздравлениями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процедура оценки удовлетворенности клиентов и заинтересованных сторон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Что касается срока, в течение которого ведомство, желающее быть назначенным в качестве Международного органа, должно внедрить СУК, то в согласованном понимании Ассамблеи PCT 2014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допускается отсутствие системы СУК на момент назначения Ассамблеей, однако такая система должна начать действовать хотя бы на момент начала Международным органом своей деятельности в этом качестве, не позднее, чем примерно через 18 месяцев после назначения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Таким образом, достаточно того, чтобы такая система была полностью спланирована в момент назначения, и желательно, чтобы аналогичные системы уже действовали в отношении поиска и экспертизы, проводимых по национальным заявкам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 основании обмена информацией между всеми осуществлявшими сотрудничество институтами в ходе периода оценки ТПИ завершил к моменту подачи заявления (март</w:t>
      </w:r>
      <w:r w:rsidR="00F0058C">
        <w:rPr>
          <w:rFonts w:eastAsia="Times New Roman"/>
          <w:szCs w:val="24"/>
          <w:lang w:val="ru-RU"/>
        </w:rPr>
        <w:t> </w:t>
      </w:r>
      <w:r w:rsidRPr="008A3790">
        <w:rPr>
          <w:rFonts w:eastAsia="Times New Roman"/>
          <w:szCs w:val="24"/>
          <w:lang w:val="ru-RU"/>
        </w:rPr>
        <w:t>2016 г.) непосредственное планирование Системы управления качеством PCT, адаптированной к формулировкам главы 21 Руководства РСТ по проведению международного поиска и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частности, среди прочего следует отметить следующее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декларацию принципов новой политики в области качества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реструктурирование СУК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и новую организационную структуру управления качеством, которая отражает подход ПДПМ (Планирование - Действия - Проверка – Меры)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инициировал процедуры по получению сертификации ISO 9001 и ISO 27001 в течение 2016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в качестве нормативной базы для СУК в целях повышения эффективности СУК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Зарегистрированные поисковые стратегии для всех отчетов о поиске были интегрированы в ИТ-систему ТПИ (Систему управления патентными файлами – PATUNA), так же как и контрольные перечни для проверки всех отчетов о </w:t>
      </w:r>
      <w:r w:rsidRPr="008A3790">
        <w:rPr>
          <w:rFonts w:eastAsia="Times New Roman"/>
          <w:szCs w:val="24"/>
          <w:lang w:val="ru-RU"/>
        </w:rPr>
        <w:lastRenderedPageBreak/>
        <w:t>международном поиске по формату бланка PCT/ISA/210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ТПИ приложил значительные усилия для планирования адаптации своей СУК таким образом, что СУК ТПИ полностью готова для осуществления деятельности в рамках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В продолжение делегация предоставила сведения о доступе ТПИ к минимуму документации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, его ИТ-инструментах и базах данных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ТПИ действует система безбумажной работы, и 95 процентов заявок подаются через интернет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Каждая заявка сканируется таким образом, чтобы значительно уменьшить физический размер файлов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Что касается патентной экспертизы, то вся работа проводится в собственной ИТ-системе ТПИ, в Программе управления патентными файлами (</w:t>
      </w:r>
      <w:r w:rsidRPr="008A3790">
        <w:rPr>
          <w:rFonts w:eastAsia="Times New Roman"/>
          <w:szCs w:val="24"/>
        </w:rPr>
        <w:t>PATUNA</w:t>
      </w:r>
      <w:r w:rsidRPr="008A3790">
        <w:rPr>
          <w:rFonts w:eastAsia="Times New Roman"/>
          <w:szCs w:val="24"/>
          <w:lang w:val="ru-RU"/>
        </w:rPr>
        <w:t>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Эта система позволяет заполнять отчеты о поиске и письменные заключения в формате, аналогичном формату ЕПВ или </w:t>
      </w:r>
      <w:r w:rsidRPr="008A3790">
        <w:rPr>
          <w:rFonts w:eastAsia="Times New Roman"/>
          <w:szCs w:val="24"/>
          <w:lang w:val="en-GB"/>
        </w:rPr>
        <w:t>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результате проведения оценки в систему </w:t>
      </w:r>
      <w:r w:rsidRPr="008A3790">
        <w:rPr>
          <w:rFonts w:eastAsia="Times New Roman"/>
          <w:szCs w:val="24"/>
          <w:lang w:val="en-GB"/>
        </w:rPr>
        <w:t>PATUNA</w:t>
      </w:r>
      <w:r w:rsidRPr="008A3790">
        <w:rPr>
          <w:rFonts w:eastAsia="Times New Roman"/>
          <w:szCs w:val="24"/>
          <w:lang w:val="ru-RU"/>
        </w:rPr>
        <w:t xml:space="preserve"> были внесены некоторые изменения, связанные с требованиями в области системы управления качеством, как, например, контрольные перечни и возможность регистрации поисковых стратегий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Примечательно, что в целях обеспечения прозрачности ТПИ после публикации патента размещает документацию в общем доступе в интернете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ходе проведения оценки состоялся активный обмен опытом по поводу того, как обеспечить соблюдение требования правила 34, касающегося минимума документации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, и, в частности, непатентной литературы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Было проведено сравнение всех баз данных, используемых ТПИ, с базами данных, используемыми ИВПТЗ, а различия были проанализированы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Примечательно также, что начальный уровень ТПИ был очень высок, поскольку все патентные эксперты имели доступ к базе данных </w:t>
      </w:r>
      <w:r w:rsidRPr="008A3790">
        <w:rPr>
          <w:rFonts w:eastAsia="Times New Roman"/>
          <w:szCs w:val="24"/>
          <w:lang w:val="en-GB"/>
        </w:rPr>
        <w:t>EPOQUEnet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Был выделен ряд баз данных, возможно, необходимых ТПИ, которые предоставляют различные поставщики, и указана стоимость доступа к ним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частности, речь шла о базах </w:t>
      </w:r>
      <w:r w:rsidRPr="008A3790">
        <w:rPr>
          <w:rFonts w:eastAsia="Times New Roman"/>
          <w:szCs w:val="24"/>
          <w:lang w:val="en-GB"/>
        </w:rPr>
        <w:t>BIOSIS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COMPENDEX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EMBASE</w:t>
      </w:r>
      <w:r w:rsidRPr="008A3790">
        <w:rPr>
          <w:rFonts w:eastAsia="Times New Roman"/>
          <w:szCs w:val="24"/>
          <w:lang w:val="ru-RU"/>
        </w:rPr>
        <w:t xml:space="preserve"> и </w:t>
      </w:r>
      <w:r w:rsidRPr="008A3790">
        <w:rPr>
          <w:rFonts w:eastAsia="Times New Roman"/>
          <w:szCs w:val="24"/>
          <w:lang w:val="en-GB"/>
        </w:rPr>
        <w:t>INSPEC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была отмечена значимость доступа к базе данных </w:t>
      </w:r>
      <w:r w:rsidRPr="008A3790">
        <w:rPr>
          <w:rFonts w:eastAsia="Times New Roman"/>
          <w:szCs w:val="24"/>
          <w:lang w:val="en-GB"/>
        </w:rPr>
        <w:t>STN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International</w:t>
      </w:r>
      <w:r w:rsidRPr="008A3790">
        <w:rPr>
          <w:rFonts w:eastAsia="Times New Roman"/>
          <w:szCs w:val="24"/>
          <w:lang w:val="ru-RU"/>
        </w:rPr>
        <w:t>, так как она в основном используется в химической, фармацевтической, продовольственной областях и в сфере биотехнологий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База данных </w:t>
      </w:r>
      <w:r w:rsidRPr="008A3790">
        <w:rPr>
          <w:rFonts w:eastAsia="Times New Roman"/>
          <w:szCs w:val="24"/>
          <w:lang w:val="en-GB"/>
        </w:rPr>
        <w:t>STN</w:t>
      </w:r>
      <w:r w:rsidRPr="008A3790">
        <w:rPr>
          <w:rFonts w:eastAsia="Times New Roman"/>
          <w:szCs w:val="24"/>
          <w:lang w:val="ru-RU"/>
        </w:rPr>
        <w:t xml:space="preserve"> поддерживает поиск по начертанию химической формулы, которую эксперт вводит в систему, что позволяет проводить поиск не только с помощью доступных способов, таких, как классификационные коды и ключевые слова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На основании указанной рекомендации ТПИ подписал контракт с </w:t>
      </w:r>
      <w:r w:rsidRPr="008A3790">
        <w:rPr>
          <w:rFonts w:eastAsia="Times New Roman"/>
          <w:szCs w:val="24"/>
          <w:lang w:val="en-GB"/>
        </w:rPr>
        <w:t>Chemical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Abstract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Service</w:t>
      </w:r>
      <w:r w:rsidRPr="008A3790">
        <w:rPr>
          <w:rFonts w:eastAsia="Times New Roman"/>
          <w:szCs w:val="24"/>
          <w:lang w:val="ru-RU"/>
        </w:rPr>
        <w:t xml:space="preserve"> (</w:t>
      </w:r>
      <w:r w:rsidRPr="008A3790">
        <w:rPr>
          <w:rFonts w:eastAsia="Times New Roman"/>
          <w:szCs w:val="24"/>
          <w:lang w:val="en-GB"/>
        </w:rPr>
        <w:t>CAS</w:t>
      </w:r>
      <w:r w:rsidRPr="008A3790">
        <w:rPr>
          <w:rFonts w:eastAsia="Times New Roman"/>
          <w:szCs w:val="24"/>
          <w:lang w:val="ru-RU"/>
        </w:rPr>
        <w:t xml:space="preserve">) о предоставлении доступа к </w:t>
      </w:r>
      <w:r w:rsidRPr="008A3790">
        <w:rPr>
          <w:rFonts w:eastAsia="Times New Roman"/>
          <w:szCs w:val="24"/>
          <w:lang w:val="en-GB"/>
        </w:rPr>
        <w:t>STN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Условия контракта также предусматривают обучение экспертов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ИВПТЗ также провело оценку бесплатных баз данных, в которой были отмечены базы данных для поиска генетических последовательностей, которые предоставляет </w:t>
      </w:r>
      <w:r w:rsidRPr="008A3790">
        <w:rPr>
          <w:rFonts w:eastAsia="Times New Roman"/>
          <w:szCs w:val="24"/>
          <w:lang w:val="en-GB"/>
        </w:rPr>
        <w:t>EMBL</w:t>
      </w:r>
      <w:r w:rsidRPr="008A3790">
        <w:rPr>
          <w:rFonts w:eastAsia="Times New Roman"/>
          <w:szCs w:val="24"/>
          <w:lang w:val="ru-RU"/>
        </w:rPr>
        <w:t>-</w:t>
      </w:r>
      <w:r w:rsidRPr="008A3790">
        <w:rPr>
          <w:rFonts w:eastAsia="Times New Roman"/>
          <w:szCs w:val="24"/>
          <w:lang w:val="en-GB"/>
        </w:rPr>
        <w:t>EBI</w:t>
      </w:r>
      <w:r w:rsidRPr="008A3790">
        <w:rPr>
          <w:rFonts w:eastAsia="Times New Roman"/>
          <w:szCs w:val="24"/>
          <w:lang w:val="ru-RU"/>
        </w:rPr>
        <w:t xml:space="preserve"> (Европейская молекулярная биологическая лаборатория — Европейский институт биоинформатики), и встроенный в них механизм </w:t>
      </w:r>
      <w:r w:rsidRPr="008A3790">
        <w:rPr>
          <w:rFonts w:eastAsia="Times New Roman"/>
          <w:szCs w:val="24"/>
          <w:lang w:val="en-GB"/>
        </w:rPr>
        <w:t>ChEMBL</w:t>
      </w:r>
      <w:r w:rsidRPr="008A3790">
        <w:rPr>
          <w:rFonts w:eastAsia="Times New Roman"/>
          <w:szCs w:val="24"/>
          <w:lang w:val="ru-RU"/>
        </w:rPr>
        <w:t>, который также позволяет проводить поиск по начертанию формулы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у ИВПТЗ имеется доступ к бесплатной подборке публикаций </w:t>
      </w:r>
      <w:r w:rsidRPr="008A3790">
        <w:rPr>
          <w:rFonts w:eastAsia="Times New Roman"/>
          <w:szCs w:val="24"/>
          <w:lang w:val="en-GB"/>
        </w:rPr>
        <w:t>Elsevier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Science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Direct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число других отмеченных баз данных вошла базирующаяся в США база данных </w:t>
      </w:r>
      <w:r w:rsidRPr="008A3790">
        <w:rPr>
          <w:rFonts w:eastAsia="Times New Roman"/>
          <w:szCs w:val="24"/>
          <w:lang w:val="en-GB"/>
        </w:rPr>
        <w:t>NCBI</w:t>
      </w:r>
      <w:r w:rsidRPr="008A3790">
        <w:rPr>
          <w:rFonts w:eastAsia="Times New Roman"/>
          <w:szCs w:val="24"/>
          <w:lang w:val="ru-RU"/>
        </w:rPr>
        <w:t xml:space="preserve"> (Национального центра биотехнологий и информации)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Что касается журнальных статей, ТПИ обладает важным источником местной официальной информации, так как базы данных Турецкого совета научных и технологических исследований включают в себя </w:t>
      </w:r>
      <w:r w:rsidRPr="008A3790">
        <w:rPr>
          <w:rFonts w:eastAsia="Times New Roman"/>
          <w:szCs w:val="24"/>
          <w:lang w:val="en-GB"/>
        </w:rPr>
        <w:t>EBSCOhost</w:t>
      </w:r>
      <w:r w:rsidRPr="008A3790">
        <w:rPr>
          <w:rFonts w:eastAsia="Times New Roman"/>
          <w:szCs w:val="24"/>
          <w:lang w:val="ru-RU"/>
        </w:rPr>
        <w:t xml:space="preserve"> (где содержится 375 полнотекстовых баз данных, коллекция из более чем 600 тыс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электронных книг, тематические индексы, медицинские справочники лечебных учреждений и целый ряд исторических цифровых архивов)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Была также предоставлена рекомендация по поводу действий ИВПТЗ в тех случаях, когда конкретную статью сложно найти даже в полнотекстовых базах данных, таких, как </w:t>
      </w:r>
      <w:r w:rsidRPr="008A3790">
        <w:rPr>
          <w:rFonts w:eastAsia="Times New Roman"/>
          <w:szCs w:val="24"/>
          <w:lang w:val="en-GB"/>
        </w:rPr>
        <w:t>Elsevier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таких исключительных случаях ИВПТЗ направляет запрос в коллекцию Британской библиотеки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Чтобы получить доступ к указанной услуге Британской библиотеки, необходимо предварительно заключить договор на оказание услуг, и ИВПТЗ предоставило ТПИ информацию по данному вопросу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результате процесса указаны базы данных, которыми в настоящее время пользуется ТПИ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en-GB"/>
        </w:rPr>
        <w:t>EPOQUENet</w:t>
      </w:r>
      <w:r w:rsidRPr="008A3790">
        <w:rPr>
          <w:rFonts w:eastAsia="Times New Roman"/>
          <w:szCs w:val="24"/>
          <w:lang w:val="ru-RU"/>
        </w:rPr>
        <w:t xml:space="preserve">, включая доступ к базе данных </w:t>
      </w:r>
      <w:r w:rsidRPr="008A3790">
        <w:rPr>
          <w:rFonts w:eastAsia="Times New Roman"/>
          <w:szCs w:val="24"/>
          <w:lang w:val="en-GB"/>
        </w:rPr>
        <w:t>Derwent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World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Patent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Index</w:t>
      </w:r>
      <w:r w:rsidRPr="008A3790">
        <w:rPr>
          <w:rFonts w:eastAsia="Times New Roman"/>
          <w:szCs w:val="24"/>
          <w:lang w:val="ru-RU"/>
        </w:rPr>
        <w:t xml:space="preserve"> (</w:t>
      </w:r>
      <w:r w:rsidRPr="008A3790">
        <w:rPr>
          <w:rFonts w:eastAsia="Times New Roman"/>
          <w:szCs w:val="24"/>
          <w:lang w:val="en-GB"/>
        </w:rPr>
        <w:t>DWPI</w:t>
      </w:r>
      <w:r w:rsidRPr="008A3790">
        <w:rPr>
          <w:rFonts w:eastAsia="Times New Roman"/>
          <w:szCs w:val="24"/>
          <w:lang w:val="ru-RU"/>
        </w:rPr>
        <w:t>)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коммерческие базы данных, такие, как </w:t>
      </w:r>
      <w:r w:rsidRPr="008A3790">
        <w:rPr>
          <w:rFonts w:eastAsia="Times New Roman"/>
          <w:szCs w:val="24"/>
          <w:lang w:val="en-GB"/>
        </w:rPr>
        <w:t>IEEE</w:t>
      </w:r>
      <w:r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en-GB"/>
        </w:rPr>
        <w:t>Xplore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Elsevier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Springer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турецкая национальная патентная база данных (</w:t>
      </w:r>
      <w:r w:rsidRPr="008A3790">
        <w:rPr>
          <w:rFonts w:eastAsia="Times New Roman"/>
          <w:szCs w:val="24"/>
          <w:lang w:val="en-GB"/>
        </w:rPr>
        <w:t>PATUNA</w:t>
      </w:r>
      <w:r w:rsidRPr="008A3790">
        <w:rPr>
          <w:rFonts w:eastAsia="Times New Roman"/>
          <w:szCs w:val="24"/>
          <w:lang w:val="ru-RU"/>
        </w:rPr>
        <w:t xml:space="preserve">), базы данных Турецкого совета научных и технологических исследований, включая </w:t>
      </w:r>
      <w:r w:rsidRPr="008A3790">
        <w:rPr>
          <w:rFonts w:eastAsia="Times New Roman"/>
          <w:szCs w:val="24"/>
          <w:lang w:val="en-GB"/>
        </w:rPr>
        <w:t>EBSCOhost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en-GB"/>
        </w:rPr>
        <w:t>STN</w:t>
      </w:r>
      <w:r w:rsidRPr="008A3790">
        <w:rPr>
          <w:rFonts w:eastAsia="Times New Roman"/>
          <w:szCs w:val="24"/>
          <w:lang w:val="ru-RU"/>
        </w:rPr>
        <w:t xml:space="preserve">, включая </w:t>
      </w:r>
      <w:r w:rsidRPr="008A3790">
        <w:rPr>
          <w:rFonts w:eastAsia="Times New Roman"/>
          <w:szCs w:val="24"/>
          <w:lang w:val="en-GB"/>
        </w:rPr>
        <w:t>BIOSIS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CAPLUS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Embase</w:t>
      </w:r>
      <w:r w:rsidRPr="008A3790">
        <w:rPr>
          <w:rFonts w:eastAsia="Times New Roman"/>
          <w:szCs w:val="24"/>
          <w:lang w:val="ru-RU"/>
        </w:rPr>
        <w:t xml:space="preserve">, </w:t>
      </w:r>
      <w:r w:rsidRPr="008A3790">
        <w:rPr>
          <w:rFonts w:eastAsia="Times New Roman"/>
          <w:szCs w:val="24"/>
          <w:lang w:val="en-GB"/>
        </w:rPr>
        <w:t>MEDLINE</w:t>
      </w:r>
      <w:r w:rsidRPr="008A3790">
        <w:rPr>
          <w:rFonts w:eastAsia="Times New Roman"/>
          <w:szCs w:val="24"/>
          <w:lang w:val="ru-RU"/>
        </w:rPr>
        <w:t>, базу данных Американского химического общества (</w:t>
      </w:r>
      <w:r w:rsidRPr="008A3790">
        <w:rPr>
          <w:rFonts w:eastAsia="Times New Roman"/>
          <w:szCs w:val="24"/>
          <w:lang w:val="en-GB"/>
        </w:rPr>
        <w:t>ACS</w:t>
      </w:r>
      <w:r w:rsidRPr="008A3790">
        <w:rPr>
          <w:rFonts w:eastAsia="Times New Roman"/>
          <w:szCs w:val="24"/>
          <w:lang w:val="ru-RU"/>
        </w:rPr>
        <w:t>)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и </w:t>
      </w:r>
      <w:r w:rsidRPr="008A3790">
        <w:rPr>
          <w:rFonts w:eastAsia="Times New Roman"/>
          <w:szCs w:val="24"/>
          <w:lang w:val="ru-RU"/>
        </w:rPr>
        <w:lastRenderedPageBreak/>
        <w:t xml:space="preserve">комплекс дополнительных баз данных, перечисленных в пункте 32 приложения </w:t>
      </w:r>
      <w:r w:rsidRPr="008A3790">
        <w:rPr>
          <w:rFonts w:eastAsia="Times New Roman"/>
          <w:szCs w:val="24"/>
          <w:lang w:val="en-GB"/>
        </w:rPr>
        <w:t>VI</w:t>
      </w:r>
      <w:r w:rsidRPr="008A3790">
        <w:rPr>
          <w:rFonts w:eastAsia="Times New Roman"/>
          <w:szCs w:val="24"/>
          <w:lang w:val="ru-RU"/>
        </w:rPr>
        <w:t xml:space="preserve"> к документу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  <w:lang w:val="en-GB"/>
        </w:rPr>
        <w:t>CTC</w:t>
      </w:r>
      <w:r w:rsidRPr="008A3790">
        <w:rPr>
          <w:rFonts w:eastAsia="Times New Roman"/>
          <w:szCs w:val="24"/>
          <w:lang w:val="ru-RU"/>
        </w:rPr>
        <w:t>/29/2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Доступ ТПИ к патентной документации и непатентной литературе значительно превышает минимум документации, требуемый в соответствии с правилом 34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образом, ТПИ более чем соответствует минимальным требованиям, содержащимся в правилах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36.1(</w:t>
      </w:r>
      <w:r w:rsidRPr="008A3790">
        <w:rPr>
          <w:rFonts w:eastAsia="Times New Roman"/>
          <w:szCs w:val="24"/>
          <w:lang w:val="en-GB"/>
        </w:rPr>
        <w:t>ii</w:t>
      </w:r>
      <w:r w:rsidRPr="008A3790">
        <w:rPr>
          <w:rFonts w:eastAsia="Times New Roman"/>
          <w:szCs w:val="24"/>
          <w:lang w:val="ru-RU"/>
        </w:rPr>
        <w:t>) и 63.1(</w:t>
      </w:r>
      <w:r w:rsidRPr="008A3790">
        <w:rPr>
          <w:rFonts w:eastAsia="Times New Roman"/>
          <w:szCs w:val="24"/>
          <w:lang w:val="en-GB"/>
        </w:rPr>
        <w:t>ii</w:t>
      </w:r>
      <w:r w:rsidRPr="008A3790">
        <w:rPr>
          <w:rFonts w:eastAsia="Times New Roman"/>
          <w:szCs w:val="24"/>
          <w:lang w:val="ru-RU"/>
        </w:rPr>
        <w:t>)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Далее делегация привела описание возможностей для проведения поиска и экспертизы и обучения патентных экспертов в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Все 103 работающих в настоящее время в ТПИ патентных эксперта имеют, как минимум, степень бакалавра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47 процентов экспертов имеют также степень магистра или кандидата наук либо являются кандидатами на ее получение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Прием на работу в ТПИ новых экспертов представляет собой весьма сложный процесс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Чтобы стать младшим патентным экспертом в ТПИ, необходимо иметь, как минимум, степень бакалавра в соответствующей области (предпочтительно иметь степень магистра/кандидата наук), обладать знанием иностранных языков (хотя бы одного языка, предпочтительно английского), получить высокий бал на </w:t>
      </w:r>
      <w:r w:rsidR="00F0058C">
        <w:rPr>
          <w:rFonts w:eastAsia="Times New Roman"/>
          <w:szCs w:val="24"/>
          <w:lang w:val="ru-RU"/>
        </w:rPr>
        <w:t>э</w:t>
      </w:r>
      <w:r w:rsidR="00F0058C" w:rsidRPr="008A3790">
        <w:rPr>
          <w:rFonts w:eastAsia="Times New Roman"/>
          <w:szCs w:val="24"/>
          <w:lang w:val="ru-RU"/>
        </w:rPr>
        <w:t xml:space="preserve">кзамене </w:t>
      </w:r>
      <w:r w:rsidRPr="008A3790">
        <w:rPr>
          <w:rFonts w:eastAsia="Times New Roman"/>
          <w:szCs w:val="24"/>
          <w:lang w:val="ru-RU"/>
        </w:rPr>
        <w:t>по отбору государственных служащих и успешно сдать специальный (устный и письменный) экзамен в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После отбора на должность младшего патентного эксперта, чтобы стать патентным экспертом, требуется успешно сдать кандидатский экзамен на гражданскую службу, представить реферат в соответствующей области техники и получить одобрение комиссии и успешно сдать письменный профессиональный экзамен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соответствии с их техническими областями 103 эксперта распределяются следующим образом</w:t>
      </w:r>
      <w:r w:rsidR="00001604">
        <w:rPr>
          <w:rFonts w:eastAsia="Times New Roman"/>
          <w:szCs w:val="24"/>
          <w:lang w:val="ru-RU"/>
        </w:rPr>
        <w:t xml:space="preserve">: </w:t>
      </w:r>
      <w:r w:rsidRPr="008A3790">
        <w:rPr>
          <w:rFonts w:eastAsia="Times New Roman"/>
          <w:szCs w:val="24"/>
          <w:lang w:val="ru-RU"/>
        </w:rPr>
        <w:t>механика 45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электричество/электроника 29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химия 23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и биотехнологии шесть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Что касается методологии, используемой экспертами при проведении поиска и экспертизы, при проведении посещений по оценке был проведен обстоятельный обмен информацией с Рабочей группой по руководящим принципам ТПИ, которая отвечает за внутренние руководящие принципы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Они весьма неплохо разработаны и отличаются полнотой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адаптировал и включил положения PCT в собственное руководство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 поводу обучения экспертов были проведены дискуссии с Группой ТПИ по планированию обучения, где обсуждались основы его образовательного плана, который обладает значительным сходством с учебным планом ИВПТЗ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проводит обучение в области патентного права, формальной экспертизы, экспертизы по существу, новизны, изобретательского уровня, промышленной применимости, единства, ясности, баз данных (EPOQUENET, ESPACENET и др.), систем классификации (МПК, СПК), а также языковые курсы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экспертам необходимо пройти дистанционные образовательные курсы в ВОИС и ЕПВ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План является комплексным, а осуществление нового вида деятельности в качестве Международного органа потребует разработки конкретной обучающей программы по PCT, в рамках которой эксперты пройдут обучение по конкретным вопросам PCT в форме, отличающейся от обычных процедур, используемых национальным ведомством</w:t>
      </w:r>
      <w:r w:rsidR="00F0058C">
        <w:rPr>
          <w:rFonts w:eastAsia="Times New Roman"/>
          <w:szCs w:val="24"/>
          <w:lang w:val="ru-RU"/>
        </w:rPr>
        <w:t>;</w:t>
      </w:r>
      <w:r w:rsidRPr="008A3790">
        <w:rPr>
          <w:rFonts w:eastAsia="Times New Roman"/>
          <w:szCs w:val="24"/>
          <w:lang w:val="ru-RU"/>
        </w:rPr>
        <w:t xml:space="preserve"> в частности, речь идет о процедурах PCT, касающихся непатентуемых изобретений в Турции, единства изобретения в рамках PCT, заполнения бланков PCT и т.д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этих целях ТПИ разработал специальный учебный план по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, включающий рассмотрение новых аспектов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, отличающихся от национальных процедур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Учебный план ТПИ предусматривает направление всех патентных экспертов в ЕПВ и другие патентные ведомства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настоящее время все эксперты прошли обучение за границей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результате этого ТПИ соответствует требованиям, изложенным в правилах 36.1(i) и 63(i), где говорится, что «национальное ведомство или межправительственная организация должна иметь по крайней мере 100 сотрудников, занятых полную рабочую неделю и обладающих достаточной технической квалификацией для проведения экспертизы»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В заключение делегация обратилась к согласованному пониманию, принятому Ассамблеей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2014</w:t>
      </w:r>
      <w:r>
        <w:rPr>
          <w:rFonts w:eastAsia="Times New Roman"/>
          <w:szCs w:val="24"/>
          <w:lang w:val="ru-RU"/>
        </w:rPr>
        <w:t xml:space="preserve"> г. </w:t>
      </w:r>
      <w:r w:rsidRPr="008A3790">
        <w:rPr>
          <w:rFonts w:eastAsia="Times New Roman"/>
          <w:szCs w:val="24"/>
          <w:lang w:val="ru-RU"/>
        </w:rPr>
        <w:t>(см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пункт 25 документа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</w:rPr>
        <w:t>A</w:t>
      </w:r>
      <w:r w:rsidRPr="008A3790">
        <w:rPr>
          <w:rFonts w:eastAsia="Times New Roman"/>
          <w:szCs w:val="24"/>
          <w:lang w:val="ru-RU"/>
        </w:rPr>
        <w:t xml:space="preserve">/16/6), где настоятельно рекомендуется воспользоваться помощью одного или нескольких действующих международных органов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Сотрудничество с ИВПТЗ в этой связи касалось двух различных аспектов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Первый аспект касался предоставления ТПИ всей возможной информации и оказания необходимого содействия в получении назначения в качестве </w:t>
      </w:r>
      <w:r w:rsidRPr="008A3790">
        <w:rPr>
          <w:rFonts w:eastAsia="Times New Roman"/>
          <w:szCs w:val="24"/>
          <w:lang w:val="ru-RU"/>
        </w:rPr>
        <w:lastRenderedPageBreak/>
        <w:t>нового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этой связи работа с ТПИ проходила весьма гладко, и делегация отмечает значительные усилия, приложенные ТПИ, а также готовность ТПИ к сотрудничеству и его активное стремление получить назначение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ТПИ преодолевал все трудности в рекордные сроки, хотя также следует отметить, что стартовый уровень ТПИ был весьма высок и близок к преследуемой цели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Второй аспект технической помощи ИВПТЗ касается отчетности перед Комитетом по всем вопросам проведенной оценки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отчете, представленном с настоящим докладом, все указанные аспекты подробно описаны, что может являться весьма прочной основой для надлежащей оценки членами Комитета заявления ТПИ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В заключение делегация подчеркнула, что на настоящий момент ТПИ отвечает всем требованиям правил 36 и 63, а также новым условиям, сформулированным в согласованном понимании, принятом Ассамблеей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в 2014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Поэтому ИВПТЗ выносит заключение в пользу назначения ТПИ в качестве нового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Японии поддержала назначение ТПИ в качестве Международного поискового органа и Органа международной предварительной экспертизы в рамках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Делегация приветствует вклад, который ТПИ может внести в части развития Системы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качестве важного инструмента для всех участников инновационной деятельности, стремящихся получить патентную защиту на международном уровне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Назначение ТПИ в качестве Международного поискового органа и Органа международной предварительной экспертизы принесет значительную пользу большому количеству иностранных компаний, осуществляющих деятельность в Турции, благодаря расширению предоставляемого им выбора МПО/ОМПЭ для подачи международных заявок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делегация ожидает, что ТПИ сыграет важную роль в развитии Системы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качестве моста между Европой и Азией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Казахстана заявила, что, по ее мнению, ТПИ отвечает всем требованиям и критериям в качестве Международного поискового органа и Органа международной предварительной экспертизы, и выразила твердую поддержку его назначения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Поэтому делегация обратилась к Комитету с просьбой рекомендовать Ассамблее Союза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назначить ТПИ в качестве Международного поискового органа и Органа международной предварительной экспертизы в рамках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Ирана (Исламская Республика) поддержала назначение ТПИ в качестве Международного поискового органа и Органа международной предварительной экспертизы и выразила уверенность в том, что в Западной Азии Международный поисковый орган и Орган международной предварительной экспертизы необходим для того, чтобы оказывать помощь пользователям и национальным патентным ведомствам в регионе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У Генерального ведомства по интеллектуальной собственности Государственной организации по регистрации сделок и собственности сложились положительные двусторонние отношения сотрудничества с ТПИ, о чем свидетельствует подписанный между двумя ведомствами ИС меморандум о </w:t>
      </w:r>
      <w:r w:rsidR="00F0058C">
        <w:rPr>
          <w:rFonts w:eastAsia="Times New Roman"/>
          <w:szCs w:val="24"/>
          <w:lang w:val="ru-RU"/>
        </w:rPr>
        <w:t>договоренности</w:t>
      </w:r>
      <w:r w:rsidR="00F0058C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в целях расширения сотрудничества в области патентов и товарных знаков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в процессе присоединения Исламской Республики Иран к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патентные эксперты и специалисты Генерального ведомства по интеллектуальной собственности прошли обучение в ТПИ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Судана заявила о своей поддержке назначения ТПИ в качестве Международного поискового органа и Органа международной предварительной экспертизы, поскольку он отвечает минимальным требованиям для назначения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szCs w:val="24"/>
          <w:lang w:val="ru-RU"/>
        </w:rPr>
      </w:pPr>
      <w:r w:rsidRPr="008A3790">
        <w:rPr>
          <w:szCs w:val="24"/>
          <w:lang w:val="ru-RU"/>
        </w:rPr>
        <w:t xml:space="preserve">Делегация Соединенных Штатов Америки подчеркнула, что Комитет </w:t>
      </w:r>
      <w:r w:rsidR="00AE5D38">
        <w:rPr>
          <w:szCs w:val="24"/>
          <w:lang w:val="ru-RU"/>
        </w:rPr>
        <w:t>создавался</w:t>
      </w:r>
      <w:r w:rsidR="00AE5D38" w:rsidRPr="008A3790">
        <w:rPr>
          <w:szCs w:val="24"/>
          <w:lang w:val="ru-RU"/>
        </w:rPr>
        <w:t xml:space="preserve"> </w:t>
      </w:r>
      <w:r w:rsidRPr="008A3790">
        <w:rPr>
          <w:szCs w:val="24"/>
          <w:lang w:val="ru-RU"/>
        </w:rPr>
        <w:t>в качестве форума для обсуждения технического потенциала ведомств, подающих заявку о назначении в качестве Международного поискового органа и Органа международной предварительной экспертизы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 xml:space="preserve">В </w:t>
      </w:r>
      <w:r w:rsidR="00AE5D38" w:rsidRPr="008A3790">
        <w:rPr>
          <w:szCs w:val="24"/>
          <w:lang w:val="ru-RU"/>
        </w:rPr>
        <w:t>это</w:t>
      </w:r>
      <w:r w:rsidR="00AE5D38">
        <w:rPr>
          <w:szCs w:val="24"/>
          <w:lang w:val="ru-RU"/>
        </w:rPr>
        <w:t>й</w:t>
      </w:r>
      <w:r w:rsidR="00AE5D38" w:rsidRPr="008A3790">
        <w:rPr>
          <w:szCs w:val="24"/>
          <w:lang w:val="ru-RU"/>
        </w:rPr>
        <w:t xml:space="preserve"> </w:t>
      </w:r>
      <w:r w:rsidR="00AE5D38">
        <w:rPr>
          <w:szCs w:val="24"/>
          <w:lang w:val="ru-RU"/>
        </w:rPr>
        <w:t>связи</w:t>
      </w:r>
      <w:r w:rsidR="00AE5D38" w:rsidRPr="008A3790">
        <w:rPr>
          <w:szCs w:val="24"/>
          <w:lang w:val="ru-RU"/>
        </w:rPr>
        <w:t xml:space="preserve"> </w:t>
      </w:r>
      <w:r w:rsidRPr="008A3790">
        <w:rPr>
          <w:szCs w:val="24"/>
          <w:lang w:val="ru-RU"/>
        </w:rPr>
        <w:t xml:space="preserve">у делегации возник ряд вопросов с целью лучше понять технический потенциал ТПИ в части более подробных сведений об опыте </w:t>
      </w:r>
      <w:r w:rsidRPr="008A3790">
        <w:rPr>
          <w:szCs w:val="24"/>
          <w:lang w:val="ru-RU"/>
        </w:rPr>
        <w:lastRenderedPageBreak/>
        <w:t xml:space="preserve">экспертов и </w:t>
      </w:r>
      <w:r w:rsidR="00AE5D38">
        <w:rPr>
          <w:szCs w:val="24"/>
          <w:lang w:val="ru-RU"/>
        </w:rPr>
        <w:t xml:space="preserve">получить </w:t>
      </w:r>
      <w:r w:rsidR="00AE5D38" w:rsidRPr="008A3790">
        <w:rPr>
          <w:szCs w:val="24"/>
          <w:lang w:val="ru-RU"/>
        </w:rPr>
        <w:t>дополнительн</w:t>
      </w:r>
      <w:r w:rsidR="00AE5D38">
        <w:rPr>
          <w:szCs w:val="24"/>
          <w:lang w:val="ru-RU"/>
        </w:rPr>
        <w:t>ую</w:t>
      </w:r>
      <w:r w:rsidR="00AE5D38" w:rsidRPr="008A3790">
        <w:rPr>
          <w:szCs w:val="24"/>
          <w:lang w:val="ru-RU"/>
        </w:rPr>
        <w:t xml:space="preserve"> информаци</w:t>
      </w:r>
      <w:r w:rsidR="00AE5D38">
        <w:rPr>
          <w:szCs w:val="24"/>
          <w:lang w:val="ru-RU"/>
        </w:rPr>
        <w:t>ю</w:t>
      </w:r>
      <w:r w:rsidR="00AE5D38" w:rsidRPr="008A3790">
        <w:rPr>
          <w:szCs w:val="24"/>
          <w:lang w:val="ru-RU"/>
        </w:rPr>
        <w:t xml:space="preserve"> </w:t>
      </w:r>
      <w:r w:rsidRPr="008A3790">
        <w:rPr>
          <w:szCs w:val="24"/>
          <w:lang w:val="ru-RU"/>
        </w:rPr>
        <w:t xml:space="preserve">о типе рассматриваемых заявок в </w:t>
      </w:r>
      <w:r w:rsidR="00AE5D38">
        <w:rPr>
          <w:szCs w:val="24"/>
          <w:lang w:val="ru-RU"/>
        </w:rPr>
        <w:t>плане</w:t>
      </w:r>
      <w:r w:rsidR="00AE5D38" w:rsidRPr="008A3790">
        <w:rPr>
          <w:szCs w:val="24"/>
          <w:lang w:val="ru-RU"/>
        </w:rPr>
        <w:t xml:space="preserve"> </w:t>
      </w:r>
      <w:r w:rsidRPr="008A3790">
        <w:rPr>
          <w:szCs w:val="24"/>
          <w:lang w:val="ru-RU"/>
        </w:rPr>
        <w:t xml:space="preserve">различных областей техники и происхождения заявок, а именно национальных заявок, заявок по процедуре </w:t>
      </w:r>
      <w:r w:rsidRPr="008A3790">
        <w:rPr>
          <w:szCs w:val="24"/>
          <w:lang w:val="en-GB"/>
        </w:rPr>
        <w:t>PCT</w:t>
      </w:r>
      <w:r w:rsidRPr="008A3790">
        <w:rPr>
          <w:szCs w:val="24"/>
          <w:lang w:val="ru-RU"/>
        </w:rPr>
        <w:t xml:space="preserve"> или</w:t>
      </w:r>
      <w:r w:rsidR="00AE5D38">
        <w:rPr>
          <w:szCs w:val="24"/>
          <w:lang w:val="ru-RU"/>
        </w:rPr>
        <w:t xml:space="preserve"> заявок, поданных</w:t>
      </w:r>
      <w:r w:rsidRPr="008A3790">
        <w:rPr>
          <w:szCs w:val="24"/>
          <w:lang w:val="ru-RU"/>
        </w:rPr>
        <w:t xml:space="preserve"> в рамках Парижской конвенции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Делегация выразила удовлетворение тем фактом, что ответы на указанные вопросы были в основном даны в выступлении ТПИ и информации, содержащейся в его годовом отчете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 xml:space="preserve">Соответственно, делегация с удовлетворением выражает поддержку заявки ТПИ о назначении в качестве Международного поискового органа и Органа международной предварительной экспертизы в рамках </w:t>
      </w:r>
      <w:r w:rsidRPr="008A3790">
        <w:rPr>
          <w:szCs w:val="24"/>
          <w:lang w:val="en-GB"/>
        </w:rPr>
        <w:t>PCT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 xml:space="preserve">Кроме того, делегация приветствует шаги, предпринятые ТПИ в процессе подготовки заявки посредством совместной работы с Ведомством интеллектуальной собственности Республики Корея и Испанским ведомством по патентам и товарным знакам, оба из которых провели отдельные миссии в ТПИ с целью оценки его физической и технической инфраструктуры в соответствии с рекомендацией Ассамблеи </w:t>
      </w:r>
      <w:r w:rsidRPr="008A3790">
        <w:rPr>
          <w:szCs w:val="24"/>
          <w:lang w:val="en-GB"/>
        </w:rPr>
        <w:t>PCT</w:t>
      </w:r>
      <w:r w:rsidRPr="008A3790">
        <w:rPr>
          <w:szCs w:val="24"/>
          <w:lang w:val="ru-RU"/>
        </w:rPr>
        <w:t xml:space="preserve"> о том, что ведомству, добивающемуся назначения, следует заручиться помощью одного или более существующих Международных органов для оказания содействия в оценке того, в какой степени оно соответствует минимальным критериям для назначения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Помимо демонстрации достижения минимальных существенных требований для присвоения статуса Международного органа, заявка содержит полезную информацию о других аспектах деятельности ТПИ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Кроме того, делегация обратилась к стандартной форме заявки для ведомств-кандидатов в рамках обсуждения Подгруппы обеспечения качества Заседания международных органов и добавила, что значительная часть информации, которую ТПИ предоставил в своей заявке, совпадает с той информацией, которая запрашивается в указанной форме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Таким образом, эта заявка демонстрирует полезность указанной информации в процессе назначения ведомства в качестве Международного органа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В соответствии с этим делегация призвала членов Подгруппы обеспечения качества рекомендовать использование стандартной формы заявки на предстоящем заседании Подгруппы в ходе Заседания международных органов в 2017 г</w:t>
      </w:r>
      <w:r>
        <w:rPr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Китая заявила, что, исходя из представления ТПИ и отчетов Ведомства интеллектуальной собственности Республики Корея и Испанского ведомства по патентам и товарным знакам, по ее мнению, ТПИ соответствует требованиям для назначения в качестве Международного поискового органа и Органа международной предварительной экспертизы в отношении количества экспертов, минимальной документации, персонала, владеющего языками и методиками поиска, и системы управления качеством, как </w:t>
      </w:r>
      <w:r w:rsidR="00AE5D38">
        <w:rPr>
          <w:rFonts w:eastAsia="Times New Roman"/>
          <w:szCs w:val="24"/>
          <w:lang w:val="ru-RU"/>
        </w:rPr>
        <w:t xml:space="preserve">это </w:t>
      </w:r>
      <w:r w:rsidRPr="008A3790">
        <w:rPr>
          <w:rFonts w:eastAsia="Times New Roman"/>
          <w:szCs w:val="24"/>
          <w:lang w:val="ru-RU"/>
        </w:rPr>
        <w:t>предусмотрено Инструкцией PCT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Назначение ТПИ в качестве Международного поискового органа и Органа международной предварительной экспертизы может обеспечить пользователям, в особенности в Турции, Западной Азии и на Ближнем Востоке, доступ к услугам международного поиска и международной предварительной экспертизы, что может способствовать развитию Системы PCT в указанных регионах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Таким образом, делегация поддерживает назначение ТПИ в качестве Международного поискового органа и Органа международной предварительной экспертизы Ассамблеей PCT в текущем году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Сингапура выразила поддержку заявки ТПИ о присвоении статуса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Результаты посещений для сбора фактической информации Ведомством интеллектуальной собственности Республики Корея и Испанским ведомством по патентам и товарным знакам придают делегации уверенность в том, что ТПИ отвечает всем критериям для назначения в качестве Международного органа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Из этого явствует, что ТПИ приложил огромные усилия к тому, чтобы обеспечить достоверность и высокое качество своей заявки</w:t>
      </w:r>
      <w:r>
        <w:rPr>
          <w:rFonts w:eastAsia="Times New Roman"/>
          <w:szCs w:val="24"/>
          <w:lang w:val="ru-RU"/>
        </w:rPr>
        <w:t xml:space="preserve">.  </w:t>
      </w:r>
      <w:r w:rsidR="00AE5D38">
        <w:rPr>
          <w:rFonts w:eastAsia="Times New Roman"/>
          <w:szCs w:val="24"/>
          <w:lang w:val="ru-RU"/>
        </w:rPr>
        <w:t xml:space="preserve">Поэтому </w:t>
      </w:r>
      <w:r w:rsidRPr="008A3790">
        <w:rPr>
          <w:rFonts w:eastAsia="Times New Roman"/>
          <w:szCs w:val="24"/>
          <w:lang w:val="ru-RU"/>
        </w:rPr>
        <w:t xml:space="preserve">делегация выражает поддержку ТПИ и уверенность в том, что его назначение в качестве Международного органа в значительной мере повысит ценность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Швеции заявила, что она с нетерпением ожидает возможности приветствовать ТПИ в составе семьи Международных поисковых органов и Органов </w:t>
      </w:r>
      <w:r w:rsidRPr="008A3790">
        <w:rPr>
          <w:rFonts w:eastAsia="Times New Roman"/>
          <w:szCs w:val="24"/>
          <w:lang w:val="ru-RU"/>
        </w:rPr>
        <w:lastRenderedPageBreak/>
        <w:t>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По мнению Шведского ведомства по патентам и регистрации, </w:t>
      </w:r>
      <w:r w:rsidR="004C3594">
        <w:rPr>
          <w:rFonts w:eastAsia="Times New Roman"/>
          <w:szCs w:val="24"/>
          <w:lang w:val="ru-RU"/>
        </w:rPr>
        <w:t>подготовленная</w:t>
      </w:r>
      <w:r w:rsidR="004C3594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документации носит весьма тщательный характер и свидетельствует о том, что минимальные требования к исполнению обязанностей Международного поискового органа и Органа международной предварительной экспертизы были выполнены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Тем не менее у делегации возникли два замечания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Во-первых, в отношении технической квалификации экспертов, описанной в пункте 36 Приложения III, Шведское ведомство по патентам и регистрации требует от своих экспертов наличия степени магистра наук в качестве минимального уровня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 xml:space="preserve">по мнению делегации, степень бакалавра не является достаточным уровнем образования для </w:t>
      </w:r>
      <w:r w:rsidR="004C3594">
        <w:rPr>
          <w:rFonts w:eastAsia="Times New Roman"/>
          <w:szCs w:val="24"/>
          <w:lang w:val="ru-RU"/>
        </w:rPr>
        <w:t>проведения</w:t>
      </w:r>
      <w:r w:rsidR="004C3594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патентного поиска и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Таким образом, делегация выражает твердую поддержку любых действий, предпринимаемых ТПИ в целях повышения указанного минимального требования в будущем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Во-вторых, в отношении пункта 38 Приложения III, по мнению делегации, обладания знанием одного иностранного языка, а именно английского, не вполне достаточно</w:t>
      </w:r>
      <w:r w:rsidR="00CE6BDC">
        <w:rPr>
          <w:rFonts w:eastAsia="Times New Roman"/>
          <w:szCs w:val="24"/>
          <w:lang w:val="ru-RU"/>
        </w:rPr>
        <w:t xml:space="preserve">; </w:t>
      </w:r>
      <w:r w:rsidRPr="008A3790">
        <w:rPr>
          <w:rFonts w:eastAsia="Times New Roman"/>
          <w:szCs w:val="24"/>
          <w:lang w:val="ru-RU"/>
        </w:rPr>
        <w:t>насколько она понимает, патентному эксперту, осуществляющему международный поиск по минимальной документации PCT, необходимо превосходно владеть как минимум английским языком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Эти два замечания, тем не менее, не указывают на то, что ТПИ не выполнил существующие требования для назначения в качестве Международного поискового органа и Органа международной предварительной экспертизы, но обозначают направления в системе управления качеством, в которых в будущем может быть достигнуто улучшение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szCs w:val="24"/>
          <w:lang w:val="ru-RU"/>
        </w:rPr>
      </w:pPr>
      <w:r w:rsidRPr="008A3790">
        <w:rPr>
          <w:szCs w:val="24"/>
          <w:lang w:val="ru-RU"/>
        </w:rPr>
        <w:t>Делегация Чили заявила, что она изучила всю информацию в документе, в том числе отчеты Испанского ведомства по патентам и товарным знакам и Ведомства интеллектуальной собственности Республики Корея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Исходя из указанной информации, делегация выражает поддержку назначения ТПИ в качестве Международного поискового органа и Органа международной предварительной экспертизы и убеждена в том, что он отвечает всем предварительным условиям правил 36.1 и 63.1</w:t>
      </w:r>
      <w:r>
        <w:rPr>
          <w:szCs w:val="24"/>
          <w:lang w:val="ru-RU"/>
        </w:rPr>
        <w:t xml:space="preserve">.  </w:t>
      </w:r>
      <w:r w:rsidRPr="008A3790">
        <w:rPr>
          <w:szCs w:val="24"/>
          <w:lang w:val="ru-RU"/>
        </w:rPr>
        <w:t>Назначение ТПИ будет способствовать приданию импульса Системе PCT и оказанию помощи пользователям, которым необходима техническая помощь в процессе составления своих заявок</w:t>
      </w:r>
      <w:r>
        <w:rPr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Азербайджана заявила о своей поддержке заявки ТПИ о назначении в качестве Международного поискового органа и Органа международной предварительной экспертизы в свете документации, предоставленной делегацией Турции, и результатов оценки, проведенной Ведомством интеллектуальной собственности Республики Корея и Испанским ведомством по патентам и товарным знакам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образом, делегация обращается к Комитету с просьбой рекомендовать данное назначение Ассамблее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и выражает уверенность в том, что ТПИ внесет вклад в развитие Системы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регионе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Саудовской Аравии выразила поддержку назначения ТПИ в качестве Международного поискового органа и Органа международной предварительной экспертизы, поскольку он отвечает всем минимальным требованиям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Австрии выразила согласие с выраженной другими делегациями поддержкой назначения ТПИ в качестве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Австрийское патентное ведомство на протяжении многих лет следило за развитием ТПИ в качестве одного из ведомств, получавших от ТПИ работу в рамках аутсорсинга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Наблюдая развитие ТПИ, делегация осведомлена о превосходной квалификации и навыках экспертов и штатных сотрудников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Таким образом, делегация с удовлетворением выражает поддержку заявки и обращается к Комитету с просьбой рекомендовать Ассамблее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назначить ТПИ в качестве Международного поискового органа и Органа международной предварительной экспертизы, что внесет вклад в развитие Системы </w:t>
      </w:r>
      <w:r w:rsidRPr="008A3790">
        <w:rPr>
          <w:rFonts w:eastAsia="Times New Roman"/>
          <w:szCs w:val="24"/>
          <w:lang w:val="en-GB"/>
        </w:rPr>
        <w:t>PCT</w:t>
      </w:r>
      <w:r w:rsidRPr="008A3790">
        <w:rPr>
          <w:rFonts w:eastAsia="Times New Roman"/>
          <w:szCs w:val="24"/>
          <w:lang w:val="ru-RU"/>
        </w:rPr>
        <w:t xml:space="preserve"> в регионе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Делегация Российской Федерации приветствовала прогрессивные преобразования в ТПИ, которые были осуществлены до подачи ходатайства о назначении в качестве Международного поискового органа и Органа международной предварительной </w:t>
      </w:r>
      <w:r w:rsidRPr="008A3790">
        <w:rPr>
          <w:rFonts w:eastAsia="Times New Roman"/>
          <w:szCs w:val="24"/>
          <w:lang w:val="ru-RU"/>
        </w:rPr>
        <w:lastRenderedPageBreak/>
        <w:t>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делегация выражает поддержку положительных заключений двух существующих Международных органов, которые оказали ТПИ техническую помощь и провели его оценку в процессе ходатайства о назначении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Тем не менее в свете планирования работы Федеральной службы по интеллектуальной собственности (РОСПАТЕНТ), которая ранее получала от ТПИ работу в рамках аутсорсинга, делегация осведомилась, намеревается ли ТПИ продолжать передачу работы другим ведомствам в рамках аутсорсинга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szCs w:val="24"/>
          <w:lang w:val="ru-RU"/>
        </w:rPr>
      </w:pPr>
      <w:r w:rsidRPr="008A3790">
        <w:rPr>
          <w:szCs w:val="24"/>
          <w:lang w:val="ru-RU"/>
        </w:rPr>
        <w:t>Делегация Финляндии заявила, что</w:t>
      </w:r>
      <w:r w:rsidR="004C3594">
        <w:rPr>
          <w:szCs w:val="24"/>
          <w:lang w:val="ru-RU"/>
        </w:rPr>
        <w:t xml:space="preserve"> еслиисходить</w:t>
      </w:r>
      <w:r w:rsidR="004C3594" w:rsidRPr="008A3790">
        <w:rPr>
          <w:szCs w:val="24"/>
          <w:lang w:val="ru-RU"/>
        </w:rPr>
        <w:t xml:space="preserve"> </w:t>
      </w:r>
      <w:r w:rsidRPr="008A3790">
        <w:rPr>
          <w:szCs w:val="24"/>
          <w:lang w:val="ru-RU"/>
        </w:rPr>
        <w:t xml:space="preserve">из заявки и отчетов Ведомства интеллектуальной собственности Республики Корея и Испанского ведомства по патентам и товарным знакам, </w:t>
      </w:r>
      <w:r w:rsidR="004C3594">
        <w:rPr>
          <w:szCs w:val="24"/>
          <w:lang w:val="ru-RU"/>
        </w:rPr>
        <w:t xml:space="preserve">то, </w:t>
      </w:r>
      <w:r w:rsidRPr="008A3790">
        <w:rPr>
          <w:szCs w:val="24"/>
          <w:lang w:val="ru-RU"/>
        </w:rPr>
        <w:t>по ее мнению, ТПИ соответствует требованиям для назначения в качестве Международного поискового органа и Органа международной предварительной экспертизы в отношении количества экспертов, доступа к минимальной документации, персонала, владеющего языками и методиками поиска, и системы управления качеством</w:t>
      </w:r>
      <w:r>
        <w:rPr>
          <w:szCs w:val="24"/>
          <w:lang w:val="ru-RU"/>
        </w:rPr>
        <w:t xml:space="preserve">.  </w:t>
      </w:r>
      <w:r w:rsidR="004C3594">
        <w:rPr>
          <w:szCs w:val="24"/>
          <w:lang w:val="ru-RU"/>
        </w:rPr>
        <w:t xml:space="preserve">Поэтому </w:t>
      </w:r>
      <w:r w:rsidRPr="008A3790">
        <w:rPr>
          <w:szCs w:val="24"/>
          <w:lang w:val="ru-RU"/>
        </w:rPr>
        <w:t>делегация поддерживает назначение ТПИ в качестве Международного поискового органа и Органа международной предварительной экспертизы</w:t>
      </w:r>
      <w:r>
        <w:rPr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Алжира заявила о своем одобрении назначения ТПИ в качестве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Норвегии приветствовала заявку ТПИ о назначении в качестве Международного поискового органа и Органа международной предварительной экспертизы, которая показывает, что минимальные требования для назначения были выполнены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Кроме того, по мнению делегации, это назначение будет иметь важное значение на региональном уровне и представлять собой укрепление Системы </w:t>
      </w:r>
      <w:r w:rsidRPr="008A3790">
        <w:rPr>
          <w:rFonts w:eastAsia="Times New Roman"/>
          <w:szCs w:val="24"/>
        </w:rPr>
        <w:t>PCT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Делегация Турции выразила благодарность членам Комитета за их заинтересованность в назначении ТПИ в качестве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Отвечая на замечание со стороны делегации Швеции по минимальной квалификации патентных экспертов, делегация заявила, что политика ТПИ допускает обучение экспертов для получения степеней магистра и кандидата наук в университетах Анкары, которые входят в число лучших в Турции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в рамках стратегического планирования ТПИ намерен увеличить долю экспертов, имеющих степени уровня магистра или кандидата наук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При этом для того, чтобы стать старшим экспертом, экспертам требуется подготовить </w:t>
      </w:r>
      <w:r w:rsidR="0018712B">
        <w:rPr>
          <w:rFonts w:eastAsia="Times New Roman"/>
          <w:szCs w:val="24"/>
          <w:lang w:val="ru-RU"/>
        </w:rPr>
        <w:t>диссертацию</w:t>
      </w:r>
      <w:r w:rsidR="0018712B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на уровне, сопоставимом с </w:t>
      </w:r>
      <w:r w:rsidR="0018712B">
        <w:rPr>
          <w:rFonts w:eastAsia="Times New Roman"/>
          <w:szCs w:val="24"/>
          <w:lang w:val="ru-RU"/>
        </w:rPr>
        <w:t>диссертацией</w:t>
      </w:r>
      <w:r w:rsidR="0018712B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для получения степени магистра, или даже превышающем его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Кроме того, ТПИ придает приоритет повышению уровня владения иностранным языком среди экспертов, в особенности в силу того, что Турция является Договаривающимся государством Европейской патентной конвенции и работает над двусторонними проектами с Европейским патентным ведомством</w:t>
      </w:r>
      <w:r>
        <w:rPr>
          <w:rFonts w:eastAsia="Times New Roman"/>
          <w:szCs w:val="24"/>
          <w:lang w:val="ru-RU"/>
        </w:rPr>
        <w:t xml:space="preserve">.  </w:t>
      </w:r>
      <w:r w:rsidR="0018712B">
        <w:rPr>
          <w:rFonts w:eastAsia="Times New Roman"/>
          <w:szCs w:val="24"/>
          <w:lang w:val="ru-RU"/>
        </w:rPr>
        <w:t xml:space="preserve">Что касается </w:t>
      </w:r>
      <w:r w:rsidRPr="008A3790">
        <w:rPr>
          <w:rFonts w:eastAsia="Times New Roman"/>
          <w:szCs w:val="24"/>
          <w:lang w:val="ru-RU"/>
        </w:rPr>
        <w:t xml:space="preserve">вопроса со стороны делегации Российской Федерации, </w:t>
      </w:r>
      <w:r w:rsidR="0018712B">
        <w:rPr>
          <w:rFonts w:eastAsia="Times New Roman"/>
          <w:szCs w:val="24"/>
          <w:lang w:val="ru-RU"/>
        </w:rPr>
        <w:t xml:space="preserve">то </w:t>
      </w:r>
      <w:r w:rsidRPr="008A3790">
        <w:rPr>
          <w:rFonts w:eastAsia="Times New Roman"/>
          <w:szCs w:val="24"/>
          <w:lang w:val="ru-RU"/>
        </w:rPr>
        <w:t>в свете укрепления потенциала ТПИ передача работы по проведению поиска и экспертизы другим ведомствам ИС в рамках аутсорсинга будет прекращена не позднее конца 2016 г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Делегация выразила благодарность делегациям за плодотворное обсуждение по вопросу о назначении, которое обеспечивает транспарентность процесса и предоставляет ТПИ возможность углубленной проработки своего институционального потенциала для исполнения обязанностей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>В заключение делегация выразила благодарность делегациям за их поддержку, особо подчеркнув сотрудничество с Республикой Корея и Испанией, чьи ведомства ИС не только обеспечили проведение углубленного анализа потенциала ТПИ, но и великодушно предоставили рекомендации и указания по дальнейшей работе в качестве действующего Международного поискового органа и Органа международной предварительной экспертизы</w:t>
      </w:r>
      <w:r>
        <w:rPr>
          <w:rFonts w:eastAsia="Times New Roman"/>
          <w:szCs w:val="24"/>
          <w:lang w:val="ru-RU"/>
        </w:rPr>
        <w:t xml:space="preserve">.  </w:t>
      </w:r>
      <w:r w:rsidRPr="008A3790">
        <w:rPr>
          <w:rFonts w:eastAsia="Times New Roman"/>
          <w:szCs w:val="24"/>
          <w:lang w:val="ru-RU"/>
        </w:rPr>
        <w:t xml:space="preserve">Поддержка, полученная со стороны делегаций, еще более укрепила решимость ТПИ </w:t>
      </w:r>
      <w:r w:rsidR="004C3594">
        <w:rPr>
          <w:rFonts w:eastAsia="Times New Roman"/>
          <w:szCs w:val="24"/>
          <w:lang w:val="ru-RU"/>
        </w:rPr>
        <w:t xml:space="preserve">и его приверженность </w:t>
      </w:r>
      <w:r w:rsidRPr="008A3790">
        <w:rPr>
          <w:rFonts w:eastAsia="Times New Roman"/>
          <w:szCs w:val="24"/>
          <w:lang w:val="ru-RU"/>
        </w:rPr>
        <w:t xml:space="preserve"> </w:t>
      </w:r>
      <w:r w:rsidR="004C3594">
        <w:rPr>
          <w:rFonts w:eastAsia="Times New Roman"/>
          <w:szCs w:val="24"/>
          <w:lang w:val="ru-RU"/>
        </w:rPr>
        <w:lastRenderedPageBreak/>
        <w:t>обслуживанию</w:t>
      </w:r>
      <w:r w:rsidR="004C3594" w:rsidRPr="008A3790">
        <w:rPr>
          <w:rFonts w:eastAsia="Times New Roman"/>
          <w:szCs w:val="24"/>
          <w:lang w:val="ru-RU"/>
        </w:rPr>
        <w:t xml:space="preserve"> пользовател</w:t>
      </w:r>
      <w:r w:rsidR="004C3594">
        <w:rPr>
          <w:rFonts w:eastAsia="Times New Roman"/>
          <w:szCs w:val="24"/>
          <w:lang w:val="ru-RU"/>
        </w:rPr>
        <w:t>ей</w:t>
      </w:r>
      <w:r w:rsidR="004C3594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 xml:space="preserve">Системы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 xml:space="preserve"> в соответствии с высочайшими стандартами качества и </w:t>
      </w:r>
      <w:r w:rsidR="004C3594" w:rsidRPr="008A3790">
        <w:rPr>
          <w:rFonts w:eastAsia="Times New Roman"/>
          <w:szCs w:val="24"/>
          <w:lang w:val="ru-RU"/>
        </w:rPr>
        <w:t>решени</w:t>
      </w:r>
      <w:r w:rsidR="004C3594">
        <w:rPr>
          <w:rFonts w:eastAsia="Times New Roman"/>
          <w:szCs w:val="24"/>
          <w:lang w:val="ru-RU"/>
        </w:rPr>
        <w:t>ю</w:t>
      </w:r>
      <w:r w:rsidR="004C3594" w:rsidRPr="008A3790">
        <w:rPr>
          <w:rFonts w:eastAsia="Times New Roman"/>
          <w:szCs w:val="24"/>
          <w:lang w:val="ru-RU"/>
        </w:rPr>
        <w:t xml:space="preserve"> </w:t>
      </w:r>
      <w:r w:rsidRPr="008A3790">
        <w:rPr>
          <w:rFonts w:eastAsia="Times New Roman"/>
          <w:szCs w:val="24"/>
          <w:lang w:val="ru-RU"/>
        </w:rPr>
        <w:t>будущих проблем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ind w:left="567"/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Комитет единогласно постановил рекомендовать Ассамблее Союза РСТ назначить Турецкий патентный институт Международным поисковым органом и Органом международной предварительной экспертизы в рамках РСТ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001604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</w:t>
      </w:r>
      <w:r w:rsidRPr="00001604">
        <w:rPr>
          <w:rFonts w:eastAsia="Times New Roman"/>
          <w:bCs w:val="0"/>
          <w:szCs w:val="24"/>
          <w:lang w:val="ru-RU"/>
        </w:rPr>
        <w:t xml:space="preserve"> 5 </w:t>
      </w:r>
      <w:r w:rsidRPr="008F2BE9">
        <w:rPr>
          <w:rFonts w:eastAsia="Times New Roman"/>
          <w:bCs w:val="0"/>
          <w:szCs w:val="24"/>
          <w:lang w:val="ru-RU"/>
        </w:rPr>
        <w:t>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РЕЗЮМЕ ПРЕДСЕДАТЕЛЯ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 xml:space="preserve">Комитет принял к сведению содержание резюме Председателя в документе </w:t>
      </w:r>
      <w:r w:rsidRPr="008A3790">
        <w:rPr>
          <w:rFonts w:eastAsia="Times New Roman"/>
          <w:szCs w:val="24"/>
        </w:rPr>
        <w:t>PCT</w:t>
      </w:r>
      <w:r w:rsidRPr="008A3790">
        <w:rPr>
          <w:rFonts w:eastAsia="Times New Roman"/>
          <w:szCs w:val="24"/>
          <w:lang w:val="ru-RU"/>
        </w:rPr>
        <w:t>/</w:t>
      </w:r>
      <w:r w:rsidRPr="008A3790">
        <w:rPr>
          <w:rFonts w:eastAsia="Times New Roman"/>
          <w:szCs w:val="24"/>
        </w:rPr>
        <w:t>CTC</w:t>
      </w:r>
      <w:r w:rsidRPr="008A3790">
        <w:rPr>
          <w:rFonts w:eastAsia="Times New Roman"/>
          <w:szCs w:val="24"/>
          <w:lang w:val="ru-RU"/>
        </w:rPr>
        <w:t>/29/3, составленного под ответственность Председателя, и постановил препроводить его Ассамблее Союза РСТ в качестве отчета к рекомендации, сформулированной по пункту 4 повестки дня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001604" w:rsidRDefault="0062528C">
      <w:pPr>
        <w:pStyle w:val="Heading1"/>
        <w:rPr>
          <w:rFonts w:eastAsia="Times New Roman"/>
          <w:bCs w:val="0"/>
          <w:szCs w:val="24"/>
          <w:lang w:val="ru-RU"/>
        </w:rPr>
      </w:pPr>
      <w:r w:rsidRPr="008F2BE9">
        <w:rPr>
          <w:rFonts w:eastAsia="Times New Roman"/>
          <w:bCs w:val="0"/>
          <w:szCs w:val="24"/>
          <w:lang w:val="ru-RU"/>
        </w:rPr>
        <w:t>ПУНКТ</w:t>
      </w:r>
      <w:r w:rsidRPr="00001604">
        <w:rPr>
          <w:rFonts w:eastAsia="Times New Roman"/>
          <w:bCs w:val="0"/>
          <w:szCs w:val="24"/>
          <w:lang w:val="ru-RU"/>
        </w:rPr>
        <w:t xml:space="preserve"> 6 </w:t>
      </w:r>
      <w:r w:rsidRPr="008F2BE9">
        <w:rPr>
          <w:rFonts w:eastAsia="Times New Roman"/>
          <w:bCs w:val="0"/>
          <w:szCs w:val="24"/>
          <w:lang w:val="ru-RU"/>
        </w:rPr>
        <w:t>ПОВЕСТКИ ДНЯ</w:t>
      </w:r>
      <w:r w:rsidR="00001604">
        <w:rPr>
          <w:rFonts w:eastAsia="Times New Roman"/>
          <w:bCs w:val="0"/>
          <w:szCs w:val="24"/>
          <w:lang w:val="ru-RU"/>
        </w:rPr>
        <w:t xml:space="preserve">: </w:t>
      </w:r>
      <w:r w:rsidRPr="008F2BE9">
        <w:rPr>
          <w:rFonts w:eastAsia="Times New Roman"/>
          <w:bCs w:val="0"/>
          <w:szCs w:val="24"/>
          <w:lang w:val="ru-RU"/>
        </w:rPr>
        <w:t xml:space="preserve">ЗАКРЫТИЕ сессии </w:t>
      </w:r>
    </w:p>
    <w:p w:rsidR="0062528C" w:rsidRPr="008A3790" w:rsidRDefault="0062528C">
      <w:pPr>
        <w:pStyle w:val="ONUME"/>
        <w:numPr>
          <w:ilvl w:val="0"/>
          <w:numId w:val="8"/>
        </w:numPr>
        <w:rPr>
          <w:rFonts w:eastAsia="Times New Roman"/>
          <w:szCs w:val="24"/>
          <w:lang w:val="ru-RU"/>
        </w:rPr>
      </w:pPr>
      <w:r w:rsidRPr="008A3790">
        <w:rPr>
          <w:rFonts w:eastAsia="Times New Roman"/>
          <w:szCs w:val="24"/>
          <w:lang w:val="ru-RU"/>
        </w:rPr>
        <w:t>Председатель закрыл сессию 29 мая 2016 г</w:t>
      </w:r>
      <w:r>
        <w:rPr>
          <w:rFonts w:eastAsia="Times New Roman"/>
          <w:szCs w:val="24"/>
          <w:lang w:val="ru-RU"/>
        </w:rPr>
        <w:t xml:space="preserve">.  </w:t>
      </w:r>
    </w:p>
    <w:p w:rsidR="0062528C" w:rsidRPr="008A3790" w:rsidRDefault="0062528C">
      <w:pPr>
        <w:pStyle w:val="ONUME"/>
        <w:numPr>
          <w:ilvl w:val="0"/>
          <w:numId w:val="8"/>
        </w:numPr>
        <w:ind w:left="5533"/>
        <w:rPr>
          <w:rFonts w:eastAsia="Times New Roman"/>
          <w:i/>
          <w:szCs w:val="24"/>
          <w:lang w:val="ru-RU"/>
        </w:rPr>
      </w:pPr>
      <w:r w:rsidRPr="008A3790">
        <w:rPr>
          <w:rFonts w:eastAsia="Times New Roman"/>
          <w:i/>
          <w:szCs w:val="24"/>
          <w:lang w:val="ru-RU"/>
        </w:rPr>
        <w:t>Комитет</w:t>
      </w:r>
      <w:r w:rsidR="001B11BC">
        <w:rPr>
          <w:rFonts w:eastAsia="Times New Roman"/>
          <w:i/>
          <w:szCs w:val="24"/>
          <w:lang w:val="ru-RU"/>
        </w:rPr>
        <w:t xml:space="preserve"> принял настоящий отчет </w:t>
      </w:r>
      <w:r w:rsidR="007C26CB">
        <w:rPr>
          <w:rFonts w:eastAsia="Times New Roman"/>
          <w:i/>
          <w:szCs w:val="24"/>
          <w:lang w:val="ru-RU"/>
        </w:rPr>
        <w:t>путем</w:t>
      </w:r>
      <w:r w:rsidR="001B11BC">
        <w:rPr>
          <w:rFonts w:eastAsia="Times New Roman"/>
          <w:i/>
          <w:szCs w:val="24"/>
          <w:lang w:val="ru-RU"/>
        </w:rPr>
        <w:t xml:space="preserve"> переписки</w:t>
      </w:r>
      <w:r>
        <w:rPr>
          <w:rFonts w:eastAsia="Times New Roman"/>
          <w:i/>
          <w:szCs w:val="24"/>
          <w:lang w:val="ru-RU"/>
        </w:rPr>
        <w:t xml:space="preserve">.  </w:t>
      </w:r>
    </w:p>
    <w:p w:rsidR="0062528C" w:rsidRPr="008A3790" w:rsidRDefault="0062528C">
      <w:pPr>
        <w:pStyle w:val="Endofdocument-Annex"/>
        <w:spacing w:before="440"/>
        <w:rPr>
          <w:szCs w:val="24"/>
          <w:lang w:val="en-GB"/>
        </w:rPr>
      </w:pPr>
      <w:r w:rsidRPr="008A3790">
        <w:rPr>
          <w:szCs w:val="24"/>
          <w:lang w:val="en-GB"/>
        </w:rPr>
        <w:t>[</w:t>
      </w:r>
      <w:r w:rsidRPr="008A3790">
        <w:rPr>
          <w:szCs w:val="24"/>
          <w:lang w:val="ru-RU"/>
        </w:rPr>
        <w:t>Конец документа</w:t>
      </w:r>
      <w:r w:rsidRPr="008A3790">
        <w:rPr>
          <w:szCs w:val="24"/>
          <w:lang w:val="en-GB"/>
        </w:rPr>
        <w:t xml:space="preserve">] </w:t>
      </w:r>
    </w:p>
    <w:sectPr w:rsidR="0062528C" w:rsidRPr="008A3790" w:rsidSect="0062528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00" w:rsidRDefault="00CB6E0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</w:endnote>
  <w:endnote w:type="continuationSeparator" w:id="0">
    <w:p w:rsidR="00CB6E00" w:rsidRDefault="00CB6E0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  <w:p w:rsidR="00CB6E00" w:rsidRDefault="00CB6E00">
      <w:pPr>
        <w:spacing w:after="60"/>
        <w:rPr>
          <w:rFonts w:eastAsia="Times New Roman" w:cs="Times New Roman"/>
          <w:sz w:val="17"/>
          <w:szCs w:val="24"/>
        </w:rPr>
      </w:pPr>
      <w:r>
        <w:rPr>
          <w:rFonts w:eastAsia="Times New Roman" w:cs="Times New Roman"/>
          <w:noProof/>
          <w:sz w:val="17"/>
          <w:szCs w:val="24"/>
        </w:rPr>
        <w:t>[Endnote continued from previous page]</w:t>
      </w:r>
    </w:p>
  </w:endnote>
  <w:endnote w:type="continuationNotice" w:id="1">
    <w:p w:rsidR="00CB6E00" w:rsidRDefault="00CB6E00">
      <w:pPr>
        <w:spacing w:before="60"/>
        <w:jc w:val="right"/>
        <w:rPr>
          <w:rFonts w:eastAsia="Times New Roman" w:cs="Times New Roman"/>
          <w:sz w:val="17"/>
          <w:szCs w:val="24"/>
        </w:rPr>
      </w:pPr>
      <w:r>
        <w:rPr>
          <w:rFonts w:eastAsia="Times New Roman" w:cs="Times New Roman"/>
          <w:noProof/>
          <w:sz w:val="17"/>
          <w:szCs w:val="24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00" w:rsidRDefault="00CB6E0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</w:footnote>
  <w:footnote w:type="continuationSeparator" w:id="0">
    <w:p w:rsidR="00CB6E00" w:rsidRDefault="00CB6E0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separator/>
      </w:r>
    </w:p>
    <w:p w:rsidR="00CB6E00" w:rsidRDefault="00CB6E00">
      <w:pPr>
        <w:spacing w:after="60"/>
        <w:rPr>
          <w:rFonts w:eastAsia="Times New Roman" w:cs="Times New Roman"/>
          <w:sz w:val="17"/>
          <w:szCs w:val="24"/>
        </w:rPr>
      </w:pPr>
      <w:r>
        <w:rPr>
          <w:rFonts w:eastAsia="Times New Roman" w:cs="Times New Roman"/>
          <w:noProof/>
          <w:sz w:val="17"/>
          <w:szCs w:val="24"/>
        </w:rPr>
        <w:t>[Footnote continued from previous page]</w:t>
      </w:r>
    </w:p>
  </w:footnote>
  <w:footnote w:type="continuationNotice" w:id="1">
    <w:p w:rsidR="00CB6E00" w:rsidRDefault="00CB6E00">
      <w:pPr>
        <w:spacing w:before="60"/>
        <w:jc w:val="right"/>
        <w:rPr>
          <w:rFonts w:eastAsia="Times New Roman" w:cs="Times New Roman"/>
          <w:sz w:val="17"/>
          <w:szCs w:val="24"/>
        </w:rPr>
      </w:pPr>
      <w:r>
        <w:rPr>
          <w:rFonts w:eastAsia="Times New Roman" w:cs="Times New Roman"/>
          <w:noProof/>
          <w:sz w:val="17"/>
          <w:szCs w:val="24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28C" w:rsidRDefault="0062528C">
    <w:pPr>
      <w:jc w:val="right"/>
      <w:rPr>
        <w:rFonts w:eastAsia="Times New Roman" w:cs="Times New Roman"/>
        <w:szCs w:val="24"/>
      </w:rPr>
    </w:pPr>
    <w:bookmarkStart w:id="6" w:name="Code2"/>
    <w:bookmarkEnd w:id="6"/>
    <w:r>
      <w:rPr>
        <w:rFonts w:eastAsia="Times New Roman" w:cs="Times New Roman"/>
        <w:szCs w:val="24"/>
      </w:rPr>
      <w:t xml:space="preserve">PCT/CTC/29/4 </w:t>
    </w:r>
  </w:p>
  <w:p w:rsidR="0062528C" w:rsidRDefault="007C26CB">
    <w:pPr>
      <w:jc w:val="right"/>
      <w:rPr>
        <w:rFonts w:eastAsia="Times New Roman" w:cs="Times New Roman"/>
        <w:szCs w:val="24"/>
      </w:rPr>
    </w:pPr>
    <w:r>
      <w:rPr>
        <w:rFonts w:eastAsia="Times New Roman" w:cs="Times New Roman"/>
        <w:szCs w:val="24"/>
        <w:lang w:val="ru-RU"/>
      </w:rPr>
      <w:t>стр.</w:t>
    </w:r>
    <w:r w:rsidR="0062528C">
      <w:rPr>
        <w:rFonts w:eastAsia="Times New Roman" w:cs="Times New Roman"/>
        <w:szCs w:val="24"/>
      </w:rPr>
      <w:t xml:space="preserve"> </w:t>
    </w:r>
    <w:r w:rsidR="0062528C">
      <w:rPr>
        <w:rFonts w:eastAsia="Times New Roman" w:cs="Times New Roman"/>
        <w:szCs w:val="24"/>
      </w:rPr>
      <w:fldChar w:fldCharType="begin"/>
    </w:r>
    <w:r w:rsidR="0062528C">
      <w:rPr>
        <w:rFonts w:eastAsia="Times New Roman" w:cs="Times New Roman"/>
        <w:szCs w:val="24"/>
      </w:rPr>
      <w:instrText xml:space="preserve"> PAGE  \* MERGEFORMAT </w:instrText>
    </w:r>
    <w:r w:rsidR="0062528C">
      <w:rPr>
        <w:rFonts w:eastAsia="Times New Roman" w:cs="Times New Roman"/>
        <w:szCs w:val="24"/>
      </w:rPr>
      <w:fldChar w:fldCharType="separate"/>
    </w:r>
    <w:r w:rsidR="00CF57DF">
      <w:rPr>
        <w:rFonts w:eastAsia="Times New Roman" w:cs="Times New Roman"/>
        <w:noProof/>
        <w:szCs w:val="24"/>
      </w:rPr>
      <w:t>11</w:t>
    </w:r>
    <w:r w:rsidR="0062528C">
      <w:rPr>
        <w:rFonts w:eastAsia="Times New Roman" w:cs="Times New Roman"/>
        <w:szCs w:val="24"/>
      </w:rPr>
      <w:fldChar w:fldCharType="end"/>
    </w:r>
  </w:p>
  <w:p w:rsidR="0062528C" w:rsidRDefault="0062528C">
    <w:pPr>
      <w:jc w:val="right"/>
      <w:rPr>
        <w:rFonts w:eastAsia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CD29E3"/>
    <w:multiLevelType w:val="multilevel"/>
    <w:tmpl w:val="1106827A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AB"/>
    <w:rsid w:val="00000309"/>
    <w:rsid w:val="00001604"/>
    <w:rsid w:val="00001AF9"/>
    <w:rsid w:val="00002A1F"/>
    <w:rsid w:val="00003722"/>
    <w:rsid w:val="00005AF4"/>
    <w:rsid w:val="000242E7"/>
    <w:rsid w:val="000273D5"/>
    <w:rsid w:val="00032640"/>
    <w:rsid w:val="00043CAA"/>
    <w:rsid w:val="00043DC4"/>
    <w:rsid w:val="00046E10"/>
    <w:rsid w:val="00055036"/>
    <w:rsid w:val="0006443A"/>
    <w:rsid w:val="00070D04"/>
    <w:rsid w:val="00075432"/>
    <w:rsid w:val="000766AC"/>
    <w:rsid w:val="000968ED"/>
    <w:rsid w:val="000A1299"/>
    <w:rsid w:val="000A155F"/>
    <w:rsid w:val="000A4F8B"/>
    <w:rsid w:val="000B13C4"/>
    <w:rsid w:val="000B5702"/>
    <w:rsid w:val="000C4C72"/>
    <w:rsid w:val="000D328C"/>
    <w:rsid w:val="000D427E"/>
    <w:rsid w:val="000D58EF"/>
    <w:rsid w:val="000D7F72"/>
    <w:rsid w:val="000E55AE"/>
    <w:rsid w:val="000E6B85"/>
    <w:rsid w:val="000F3BCF"/>
    <w:rsid w:val="000F5E56"/>
    <w:rsid w:val="00120551"/>
    <w:rsid w:val="00122DCB"/>
    <w:rsid w:val="00133DB8"/>
    <w:rsid w:val="001362EE"/>
    <w:rsid w:val="00137BBC"/>
    <w:rsid w:val="00151022"/>
    <w:rsid w:val="00156633"/>
    <w:rsid w:val="001573E8"/>
    <w:rsid w:val="0016028C"/>
    <w:rsid w:val="001668E7"/>
    <w:rsid w:val="00176C20"/>
    <w:rsid w:val="001825D2"/>
    <w:rsid w:val="001832A6"/>
    <w:rsid w:val="001832C1"/>
    <w:rsid w:val="0018712B"/>
    <w:rsid w:val="001933D5"/>
    <w:rsid w:val="00194319"/>
    <w:rsid w:val="001B11BC"/>
    <w:rsid w:val="001E0BB6"/>
    <w:rsid w:val="00231836"/>
    <w:rsid w:val="00236B3A"/>
    <w:rsid w:val="002407E2"/>
    <w:rsid w:val="002423D7"/>
    <w:rsid w:val="002469C0"/>
    <w:rsid w:val="00247294"/>
    <w:rsid w:val="002551AA"/>
    <w:rsid w:val="002634C4"/>
    <w:rsid w:val="002671DD"/>
    <w:rsid w:val="00270EF9"/>
    <w:rsid w:val="002928D3"/>
    <w:rsid w:val="00293444"/>
    <w:rsid w:val="00296D97"/>
    <w:rsid w:val="002A6D40"/>
    <w:rsid w:val="002C02E4"/>
    <w:rsid w:val="002C3DED"/>
    <w:rsid w:val="002C43D3"/>
    <w:rsid w:val="002D61D7"/>
    <w:rsid w:val="002D6FE7"/>
    <w:rsid w:val="002D7349"/>
    <w:rsid w:val="002F1FE6"/>
    <w:rsid w:val="002F4E68"/>
    <w:rsid w:val="003124B0"/>
    <w:rsid w:val="00312F7F"/>
    <w:rsid w:val="003319DD"/>
    <w:rsid w:val="003361FC"/>
    <w:rsid w:val="00361450"/>
    <w:rsid w:val="00362C57"/>
    <w:rsid w:val="00362EB9"/>
    <w:rsid w:val="00364216"/>
    <w:rsid w:val="003673CF"/>
    <w:rsid w:val="00383564"/>
    <w:rsid w:val="003845C1"/>
    <w:rsid w:val="003A0BF9"/>
    <w:rsid w:val="003A69C7"/>
    <w:rsid w:val="003A6F89"/>
    <w:rsid w:val="003A7E95"/>
    <w:rsid w:val="003B38C1"/>
    <w:rsid w:val="003D14BF"/>
    <w:rsid w:val="003E0DF7"/>
    <w:rsid w:val="003F249C"/>
    <w:rsid w:val="00416E77"/>
    <w:rsid w:val="00423E3E"/>
    <w:rsid w:val="00424409"/>
    <w:rsid w:val="00424BF8"/>
    <w:rsid w:val="00425399"/>
    <w:rsid w:val="00425613"/>
    <w:rsid w:val="00427AF4"/>
    <w:rsid w:val="00442C02"/>
    <w:rsid w:val="0045318A"/>
    <w:rsid w:val="00455197"/>
    <w:rsid w:val="004635D3"/>
    <w:rsid w:val="004647DA"/>
    <w:rsid w:val="004728C6"/>
    <w:rsid w:val="00474062"/>
    <w:rsid w:val="00477D6B"/>
    <w:rsid w:val="004856FB"/>
    <w:rsid w:val="004A11BE"/>
    <w:rsid w:val="004A770D"/>
    <w:rsid w:val="004C3594"/>
    <w:rsid w:val="004D13D0"/>
    <w:rsid w:val="004D6F41"/>
    <w:rsid w:val="004D7A15"/>
    <w:rsid w:val="004E33E6"/>
    <w:rsid w:val="004E526B"/>
    <w:rsid w:val="004E691C"/>
    <w:rsid w:val="004F10D7"/>
    <w:rsid w:val="005019FF"/>
    <w:rsid w:val="00511E6A"/>
    <w:rsid w:val="00522155"/>
    <w:rsid w:val="005239D1"/>
    <w:rsid w:val="00523F36"/>
    <w:rsid w:val="00524397"/>
    <w:rsid w:val="0053057A"/>
    <w:rsid w:val="005362E7"/>
    <w:rsid w:val="00545EA8"/>
    <w:rsid w:val="005533AB"/>
    <w:rsid w:val="005562DA"/>
    <w:rsid w:val="00560A29"/>
    <w:rsid w:val="005726CE"/>
    <w:rsid w:val="0057479B"/>
    <w:rsid w:val="005766F4"/>
    <w:rsid w:val="00583A67"/>
    <w:rsid w:val="0059512B"/>
    <w:rsid w:val="005B6139"/>
    <w:rsid w:val="005C1C40"/>
    <w:rsid w:val="005C472C"/>
    <w:rsid w:val="005C6649"/>
    <w:rsid w:val="005C71B9"/>
    <w:rsid w:val="005D3A2B"/>
    <w:rsid w:val="005D5DF0"/>
    <w:rsid w:val="005D7E50"/>
    <w:rsid w:val="005E0289"/>
    <w:rsid w:val="005E4BD4"/>
    <w:rsid w:val="005E7F7E"/>
    <w:rsid w:val="005F262B"/>
    <w:rsid w:val="005F6B43"/>
    <w:rsid w:val="005F7297"/>
    <w:rsid w:val="0060251F"/>
    <w:rsid w:val="00604AF5"/>
    <w:rsid w:val="00605827"/>
    <w:rsid w:val="00610C5C"/>
    <w:rsid w:val="0061254A"/>
    <w:rsid w:val="00621CB2"/>
    <w:rsid w:val="0062528C"/>
    <w:rsid w:val="006345D1"/>
    <w:rsid w:val="00634F93"/>
    <w:rsid w:val="006411C5"/>
    <w:rsid w:val="00641A2C"/>
    <w:rsid w:val="00646050"/>
    <w:rsid w:val="00647BB1"/>
    <w:rsid w:val="0065119B"/>
    <w:rsid w:val="00655720"/>
    <w:rsid w:val="006565A9"/>
    <w:rsid w:val="00657767"/>
    <w:rsid w:val="00667B03"/>
    <w:rsid w:val="006713CA"/>
    <w:rsid w:val="00676A26"/>
    <w:rsid w:val="00676C5C"/>
    <w:rsid w:val="006826B9"/>
    <w:rsid w:val="006A20AF"/>
    <w:rsid w:val="006A6062"/>
    <w:rsid w:val="006B23A1"/>
    <w:rsid w:val="006C6E8B"/>
    <w:rsid w:val="006D6898"/>
    <w:rsid w:val="006E5195"/>
    <w:rsid w:val="006E52E9"/>
    <w:rsid w:val="00711CD9"/>
    <w:rsid w:val="007257AA"/>
    <w:rsid w:val="0073019E"/>
    <w:rsid w:val="00731FEC"/>
    <w:rsid w:val="00735755"/>
    <w:rsid w:val="00741F1F"/>
    <w:rsid w:val="00751D2B"/>
    <w:rsid w:val="00755584"/>
    <w:rsid w:val="00756503"/>
    <w:rsid w:val="0076181E"/>
    <w:rsid w:val="00761CAF"/>
    <w:rsid w:val="00774310"/>
    <w:rsid w:val="00775C8E"/>
    <w:rsid w:val="007761DD"/>
    <w:rsid w:val="00780DE1"/>
    <w:rsid w:val="00792FA3"/>
    <w:rsid w:val="00793B7B"/>
    <w:rsid w:val="00793C9D"/>
    <w:rsid w:val="007A7618"/>
    <w:rsid w:val="007B4551"/>
    <w:rsid w:val="007B724E"/>
    <w:rsid w:val="007C26CB"/>
    <w:rsid w:val="007C6BA5"/>
    <w:rsid w:val="007C73D0"/>
    <w:rsid w:val="007D1601"/>
    <w:rsid w:val="007D1613"/>
    <w:rsid w:val="007F095C"/>
    <w:rsid w:val="007F321D"/>
    <w:rsid w:val="008135B7"/>
    <w:rsid w:val="008163B0"/>
    <w:rsid w:val="008210DB"/>
    <w:rsid w:val="008219CD"/>
    <w:rsid w:val="00835E98"/>
    <w:rsid w:val="00846371"/>
    <w:rsid w:val="00851C9F"/>
    <w:rsid w:val="008604E6"/>
    <w:rsid w:val="008716ED"/>
    <w:rsid w:val="00871A1D"/>
    <w:rsid w:val="00885045"/>
    <w:rsid w:val="00886329"/>
    <w:rsid w:val="008877C7"/>
    <w:rsid w:val="008A3790"/>
    <w:rsid w:val="008B2CC1"/>
    <w:rsid w:val="008B60B2"/>
    <w:rsid w:val="008C4792"/>
    <w:rsid w:val="008E59B8"/>
    <w:rsid w:val="008F2BE9"/>
    <w:rsid w:val="009018F7"/>
    <w:rsid w:val="0090731E"/>
    <w:rsid w:val="009163B9"/>
    <w:rsid w:val="00916EE2"/>
    <w:rsid w:val="00920FBE"/>
    <w:rsid w:val="00940A41"/>
    <w:rsid w:val="00952574"/>
    <w:rsid w:val="009601C9"/>
    <w:rsid w:val="009614AD"/>
    <w:rsid w:val="00961716"/>
    <w:rsid w:val="009669B8"/>
    <w:rsid w:val="00966A22"/>
    <w:rsid w:val="0096722F"/>
    <w:rsid w:val="00980843"/>
    <w:rsid w:val="00986814"/>
    <w:rsid w:val="009B0D13"/>
    <w:rsid w:val="009B280A"/>
    <w:rsid w:val="009C06A4"/>
    <w:rsid w:val="009C4B02"/>
    <w:rsid w:val="009C7F83"/>
    <w:rsid w:val="009D4FE7"/>
    <w:rsid w:val="009E1249"/>
    <w:rsid w:val="009E2791"/>
    <w:rsid w:val="009E339A"/>
    <w:rsid w:val="009E3F6F"/>
    <w:rsid w:val="009F499F"/>
    <w:rsid w:val="00A01389"/>
    <w:rsid w:val="00A01D1B"/>
    <w:rsid w:val="00A102B5"/>
    <w:rsid w:val="00A1729C"/>
    <w:rsid w:val="00A41010"/>
    <w:rsid w:val="00A416B8"/>
    <w:rsid w:val="00A42DAF"/>
    <w:rsid w:val="00A45BD8"/>
    <w:rsid w:val="00A50FF2"/>
    <w:rsid w:val="00A649A2"/>
    <w:rsid w:val="00A741CD"/>
    <w:rsid w:val="00A8285A"/>
    <w:rsid w:val="00A869B7"/>
    <w:rsid w:val="00A93F36"/>
    <w:rsid w:val="00AA0817"/>
    <w:rsid w:val="00AB3338"/>
    <w:rsid w:val="00AC1004"/>
    <w:rsid w:val="00AC205C"/>
    <w:rsid w:val="00AC2A8B"/>
    <w:rsid w:val="00AC6691"/>
    <w:rsid w:val="00AD28B8"/>
    <w:rsid w:val="00AE0A36"/>
    <w:rsid w:val="00AE5CFF"/>
    <w:rsid w:val="00AE5D38"/>
    <w:rsid w:val="00AF089F"/>
    <w:rsid w:val="00AF09E8"/>
    <w:rsid w:val="00AF0A6B"/>
    <w:rsid w:val="00AF1A70"/>
    <w:rsid w:val="00AF4761"/>
    <w:rsid w:val="00AF4D74"/>
    <w:rsid w:val="00AF7B4C"/>
    <w:rsid w:val="00B05A69"/>
    <w:rsid w:val="00B161D1"/>
    <w:rsid w:val="00B258D4"/>
    <w:rsid w:val="00B26971"/>
    <w:rsid w:val="00B374CF"/>
    <w:rsid w:val="00B417BC"/>
    <w:rsid w:val="00B420AB"/>
    <w:rsid w:val="00B55586"/>
    <w:rsid w:val="00B6141E"/>
    <w:rsid w:val="00B627D7"/>
    <w:rsid w:val="00B6781D"/>
    <w:rsid w:val="00B72565"/>
    <w:rsid w:val="00B813D7"/>
    <w:rsid w:val="00B82E1C"/>
    <w:rsid w:val="00B832DF"/>
    <w:rsid w:val="00B937BD"/>
    <w:rsid w:val="00B9734B"/>
    <w:rsid w:val="00BA30E2"/>
    <w:rsid w:val="00BA3CB2"/>
    <w:rsid w:val="00BA553E"/>
    <w:rsid w:val="00BB2688"/>
    <w:rsid w:val="00BC004D"/>
    <w:rsid w:val="00BC36B2"/>
    <w:rsid w:val="00BC6167"/>
    <w:rsid w:val="00BD082D"/>
    <w:rsid w:val="00C0043B"/>
    <w:rsid w:val="00C02504"/>
    <w:rsid w:val="00C058E9"/>
    <w:rsid w:val="00C10305"/>
    <w:rsid w:val="00C11BFE"/>
    <w:rsid w:val="00C24EEE"/>
    <w:rsid w:val="00C253FA"/>
    <w:rsid w:val="00C34002"/>
    <w:rsid w:val="00C506E8"/>
    <w:rsid w:val="00C70B1C"/>
    <w:rsid w:val="00C73B9A"/>
    <w:rsid w:val="00C861C4"/>
    <w:rsid w:val="00C90C2F"/>
    <w:rsid w:val="00C90D1B"/>
    <w:rsid w:val="00C94879"/>
    <w:rsid w:val="00C97BC2"/>
    <w:rsid w:val="00C97D9B"/>
    <w:rsid w:val="00CA1896"/>
    <w:rsid w:val="00CB6E00"/>
    <w:rsid w:val="00CB7E92"/>
    <w:rsid w:val="00CC1F26"/>
    <w:rsid w:val="00CD04F1"/>
    <w:rsid w:val="00CD30C4"/>
    <w:rsid w:val="00CD4160"/>
    <w:rsid w:val="00CD5E32"/>
    <w:rsid w:val="00CE3979"/>
    <w:rsid w:val="00CE6BDC"/>
    <w:rsid w:val="00CF57DF"/>
    <w:rsid w:val="00D01CF7"/>
    <w:rsid w:val="00D145B7"/>
    <w:rsid w:val="00D21D00"/>
    <w:rsid w:val="00D317BB"/>
    <w:rsid w:val="00D34059"/>
    <w:rsid w:val="00D44DCF"/>
    <w:rsid w:val="00D45252"/>
    <w:rsid w:val="00D538B7"/>
    <w:rsid w:val="00D5443C"/>
    <w:rsid w:val="00D63C6E"/>
    <w:rsid w:val="00D66295"/>
    <w:rsid w:val="00D70B03"/>
    <w:rsid w:val="00D71B4D"/>
    <w:rsid w:val="00D85804"/>
    <w:rsid w:val="00D87047"/>
    <w:rsid w:val="00D87D2F"/>
    <w:rsid w:val="00D93D55"/>
    <w:rsid w:val="00D973AF"/>
    <w:rsid w:val="00DA1AF2"/>
    <w:rsid w:val="00DA38D2"/>
    <w:rsid w:val="00DA5403"/>
    <w:rsid w:val="00DB757E"/>
    <w:rsid w:val="00DC190B"/>
    <w:rsid w:val="00DC366B"/>
    <w:rsid w:val="00DC6D69"/>
    <w:rsid w:val="00DD2113"/>
    <w:rsid w:val="00DD432B"/>
    <w:rsid w:val="00DD5F63"/>
    <w:rsid w:val="00DD7205"/>
    <w:rsid w:val="00DE0EA6"/>
    <w:rsid w:val="00DE3933"/>
    <w:rsid w:val="00DE64E4"/>
    <w:rsid w:val="00DF301A"/>
    <w:rsid w:val="00E06461"/>
    <w:rsid w:val="00E0706A"/>
    <w:rsid w:val="00E14505"/>
    <w:rsid w:val="00E14B33"/>
    <w:rsid w:val="00E31DF3"/>
    <w:rsid w:val="00E335FE"/>
    <w:rsid w:val="00E3623F"/>
    <w:rsid w:val="00E612EA"/>
    <w:rsid w:val="00E65588"/>
    <w:rsid w:val="00E72EA6"/>
    <w:rsid w:val="00E739C1"/>
    <w:rsid w:val="00E73AAC"/>
    <w:rsid w:val="00E9286D"/>
    <w:rsid w:val="00EA3D81"/>
    <w:rsid w:val="00EB0B70"/>
    <w:rsid w:val="00EB11AE"/>
    <w:rsid w:val="00EC458B"/>
    <w:rsid w:val="00EC4E49"/>
    <w:rsid w:val="00ED77FB"/>
    <w:rsid w:val="00EE45FA"/>
    <w:rsid w:val="00EF1342"/>
    <w:rsid w:val="00EF2E01"/>
    <w:rsid w:val="00EF4F79"/>
    <w:rsid w:val="00F0058C"/>
    <w:rsid w:val="00F02D73"/>
    <w:rsid w:val="00F07BD0"/>
    <w:rsid w:val="00F4349B"/>
    <w:rsid w:val="00F454C1"/>
    <w:rsid w:val="00F54A9C"/>
    <w:rsid w:val="00F66024"/>
    <w:rsid w:val="00F66152"/>
    <w:rsid w:val="00F74A37"/>
    <w:rsid w:val="00F909F0"/>
    <w:rsid w:val="00F9308D"/>
    <w:rsid w:val="00FA4FE2"/>
    <w:rsid w:val="00FA677F"/>
    <w:rsid w:val="00FC3E4E"/>
    <w:rsid w:val="00FD6CD7"/>
    <w:rsid w:val="00FE1200"/>
    <w:rsid w:val="00FE246F"/>
    <w:rsid w:val="00FE37D7"/>
    <w:rsid w:val="00FE4617"/>
    <w:rsid w:val="00FF38F0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E209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link w:val="Heading2"/>
    <w:uiPriority w:val="9"/>
    <w:semiHidden/>
    <w:rsid w:val="003E209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link w:val="Heading3"/>
    <w:uiPriority w:val="9"/>
    <w:semiHidden/>
    <w:rsid w:val="003E2094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Heading4Char">
    <w:name w:val="Heading 4 Char"/>
    <w:link w:val="Heading4"/>
    <w:uiPriority w:val="9"/>
    <w:semiHidden/>
    <w:rsid w:val="003E2094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customStyle="1" w:styleId="Endofdocument-Annex">
    <w:name w:val="[End of document - Annex]"/>
    <w:basedOn w:val="Normal"/>
    <w:uiPriority w:val="99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link w:val="BodyText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character" w:customStyle="1" w:styleId="CommentTextChar">
    <w:name w:val="Comment Text Char"/>
    <w:link w:val="Comment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ListNumber">
    <w:name w:val="List Number"/>
    <w:basedOn w:val="Normal"/>
    <w:uiPriority w:val="99"/>
    <w:semiHidden/>
    <w:pPr>
      <w:tabs>
        <w:tab w:val="num" w:pos="567"/>
      </w:tabs>
      <w:ind w:left="360" w:hanging="360"/>
    </w:pPr>
  </w:style>
  <w:style w:type="paragraph" w:customStyle="1" w:styleId="ONUME">
    <w:name w:val="ONUM E"/>
    <w:basedOn w:val="BodyText"/>
    <w:uiPriority w:val="99"/>
    <w:pPr>
      <w:tabs>
        <w:tab w:val="num" w:pos="567"/>
      </w:tabs>
    </w:pPr>
  </w:style>
  <w:style w:type="paragraph" w:customStyle="1" w:styleId="ONUMFS">
    <w:name w:val="ONUM FS"/>
    <w:basedOn w:val="BodyText"/>
    <w:uiPriority w:val="99"/>
    <w:pPr>
      <w:tabs>
        <w:tab w:val="num" w:pos="567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link w:val="Salutation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eastAsia="SimSun" w:hAnsi="Times New Roman"/>
      <w:sz w:val="16"/>
    </w:rPr>
  </w:style>
  <w:style w:type="character" w:customStyle="1" w:styleId="ONUMEChar">
    <w:name w:val="ONUM E Char"/>
    <w:uiPriority w:val="99"/>
    <w:locked/>
    <w:rPr>
      <w:rFonts w:ascii="Arial" w:eastAsia="SimSun" w:hAnsi="Arial"/>
      <w:sz w:val="22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SimSun" w:hAnsi="Arial" w:cs="Arial"/>
      <w:sz w:val="22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E2094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character" w:customStyle="1" w:styleId="Heading2Char">
    <w:name w:val="Heading 2 Char"/>
    <w:link w:val="Heading2"/>
    <w:uiPriority w:val="9"/>
    <w:semiHidden/>
    <w:rsid w:val="003E2094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link w:val="Heading3"/>
    <w:uiPriority w:val="9"/>
    <w:semiHidden/>
    <w:rsid w:val="003E2094"/>
    <w:rPr>
      <w:rFonts w:ascii="Cambria" w:eastAsia="Times New Roman" w:hAnsi="Cambria" w:cs="Times New Roman"/>
      <w:b/>
      <w:bCs/>
      <w:sz w:val="26"/>
      <w:szCs w:val="26"/>
      <w:lang w:val="en-US" w:eastAsia="ru-RU"/>
    </w:rPr>
  </w:style>
  <w:style w:type="character" w:customStyle="1" w:styleId="Heading4Char">
    <w:name w:val="Heading 4 Char"/>
    <w:link w:val="Heading4"/>
    <w:uiPriority w:val="9"/>
    <w:semiHidden/>
    <w:rsid w:val="003E2094"/>
    <w:rPr>
      <w:rFonts w:ascii="Calibri" w:eastAsia="Times New Roman" w:hAnsi="Calibri" w:cs="Times New Roman"/>
      <w:b/>
      <w:bCs/>
      <w:sz w:val="28"/>
      <w:szCs w:val="28"/>
      <w:lang w:val="en-US" w:eastAsia="ru-RU"/>
    </w:rPr>
  </w:style>
  <w:style w:type="paragraph" w:customStyle="1" w:styleId="Endofdocument-Annex">
    <w:name w:val="[End of document - Annex]"/>
    <w:basedOn w:val="Normal"/>
    <w:uiPriority w:val="99"/>
    <w:pPr>
      <w:ind w:left="5534"/>
    </w:pPr>
  </w:style>
  <w:style w:type="paragraph" w:styleId="BodyText">
    <w:name w:val="Body Text"/>
    <w:basedOn w:val="Normal"/>
    <w:link w:val="BodyTextChar"/>
    <w:uiPriority w:val="99"/>
    <w:pPr>
      <w:spacing w:after="220"/>
    </w:pPr>
  </w:style>
  <w:style w:type="character" w:customStyle="1" w:styleId="BodyTextChar">
    <w:name w:val="Body Text Char"/>
    <w:link w:val="BodyText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18"/>
    </w:rPr>
  </w:style>
  <w:style w:type="character" w:customStyle="1" w:styleId="CommentTextChar">
    <w:name w:val="Comment Text Char"/>
    <w:link w:val="Comment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uiPriority w:val="99"/>
    <w:semiHidden/>
    <w:rPr>
      <w:sz w:val="18"/>
    </w:rPr>
  </w:style>
  <w:style w:type="character" w:customStyle="1" w:styleId="EndnoteTextChar">
    <w:name w:val="Endnote Text Char"/>
    <w:link w:val="Endnote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FootnoteText">
    <w:name w:val="footnote text"/>
    <w:basedOn w:val="Normal"/>
    <w:link w:val="FootnoteTextChar"/>
    <w:uiPriority w:val="99"/>
    <w:semiHidden/>
    <w:rPr>
      <w:sz w:val="18"/>
    </w:rPr>
  </w:style>
  <w:style w:type="character" w:customStyle="1" w:styleId="FootnoteTextChar">
    <w:name w:val="Footnote Text Char"/>
    <w:link w:val="FootnoteText"/>
    <w:uiPriority w:val="99"/>
    <w:semiHidden/>
    <w:rsid w:val="003E2094"/>
    <w:rPr>
      <w:rFonts w:ascii="Arial" w:eastAsia="SimSun" w:hAnsi="Arial" w:cs="Arial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ListNumber">
    <w:name w:val="List Number"/>
    <w:basedOn w:val="Normal"/>
    <w:uiPriority w:val="99"/>
    <w:semiHidden/>
    <w:pPr>
      <w:tabs>
        <w:tab w:val="num" w:pos="567"/>
      </w:tabs>
      <w:ind w:left="360" w:hanging="360"/>
    </w:pPr>
  </w:style>
  <w:style w:type="paragraph" w:customStyle="1" w:styleId="ONUME">
    <w:name w:val="ONUM E"/>
    <w:basedOn w:val="BodyText"/>
    <w:uiPriority w:val="99"/>
    <w:pPr>
      <w:tabs>
        <w:tab w:val="num" w:pos="567"/>
      </w:tabs>
    </w:pPr>
  </w:style>
  <w:style w:type="paragraph" w:customStyle="1" w:styleId="ONUMFS">
    <w:name w:val="ONUM FS"/>
    <w:basedOn w:val="BodyText"/>
    <w:uiPriority w:val="99"/>
    <w:pPr>
      <w:tabs>
        <w:tab w:val="num" w:pos="567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</w:style>
  <w:style w:type="character" w:customStyle="1" w:styleId="SalutationChar">
    <w:name w:val="Salutation Char"/>
    <w:link w:val="Salutation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Signature">
    <w:name w:val="Signature"/>
    <w:basedOn w:val="Normal"/>
    <w:link w:val="SignatureChar"/>
    <w:uiPriority w:val="99"/>
    <w:semiHidden/>
    <w:pPr>
      <w:ind w:left="5250"/>
    </w:pPr>
  </w:style>
  <w:style w:type="character" w:customStyle="1" w:styleId="SignatureChar">
    <w:name w:val="Signature Char"/>
    <w:link w:val="Signature"/>
    <w:uiPriority w:val="99"/>
    <w:semiHidden/>
    <w:rsid w:val="003E2094"/>
    <w:rPr>
      <w:rFonts w:ascii="Arial" w:eastAsia="SimSun" w:hAnsi="Arial" w:cs="Arial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eastAsia="SimSun" w:hAnsi="Times New Roman"/>
      <w:sz w:val="16"/>
    </w:rPr>
  </w:style>
  <w:style w:type="character" w:customStyle="1" w:styleId="ONUMEChar">
    <w:name w:val="ONUM E Char"/>
    <w:uiPriority w:val="99"/>
    <w:locked/>
    <w:rPr>
      <w:rFonts w:ascii="Arial" w:eastAsia="SimSun" w:hAnsi="Arial"/>
      <w:sz w:val="22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AB69-6310-49CB-8EE0-CB0496A2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8785</Words>
  <Characters>59256</Characters>
  <Application>Microsoft Office Word</Application>
  <DocSecurity>0</DocSecurity>
  <Lines>493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PCT/CTC/29/</vt:lpstr>
    </vt:vector>
  </TitlesOfParts>
  <Company>WIPO</Company>
  <LinksUpToDate>false</LinksUpToDate>
  <CharactersWithSpaces>67906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PCT/CTC/29/</dc:title>
  <dc:subject>Report</dc:subject>
  <dc:creator>MARLOW Thomas</dc:creator>
  <cp:lastModifiedBy>MARLOW Thomas</cp:lastModifiedBy>
  <cp:revision>2</cp:revision>
  <cp:lastPrinted>2016-06-17T14:36:00Z</cp:lastPrinted>
  <dcterms:created xsi:type="dcterms:W3CDTF">2016-08-30T13:46:00Z</dcterms:created>
  <dcterms:modified xsi:type="dcterms:W3CDTF">2016-08-30T13:46:00Z</dcterms:modified>
</cp:coreProperties>
</file>