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33D68" w:rsidRPr="00833D68" w:rsidTr="000546D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726A0" w:rsidRPr="00833D68" w:rsidRDefault="001726A0" w:rsidP="00A96489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726A0" w:rsidRPr="00833D68" w:rsidRDefault="001726A0" w:rsidP="00A96489">
            <w:pPr>
              <w:rPr>
                <w:lang w:val="fr-FR"/>
              </w:rPr>
            </w:pPr>
            <w:r w:rsidRPr="00833D68">
              <w:rPr>
                <w:noProof/>
                <w:lang w:val="en-US" w:eastAsia="en-US"/>
              </w:rPr>
              <w:drawing>
                <wp:inline distT="0" distB="0" distL="0" distR="0" wp14:anchorId="24C32614" wp14:editId="6D989917">
                  <wp:extent cx="1856105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726A0" w:rsidRPr="00833D68" w:rsidRDefault="001726A0" w:rsidP="00A96489">
            <w:pPr>
              <w:jc w:val="right"/>
              <w:rPr>
                <w:lang w:val="fr-FR"/>
              </w:rPr>
            </w:pPr>
            <w:r w:rsidRPr="00833D6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33D68" w:rsidRPr="00833D68" w:rsidTr="00A9648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726A0" w:rsidRPr="00833D68" w:rsidRDefault="001726A0" w:rsidP="00A9648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33D68">
              <w:rPr>
                <w:rFonts w:ascii="Arial Black" w:hAnsi="Arial Black"/>
                <w:caps/>
                <w:sz w:val="15"/>
                <w:lang w:val="fr-FR"/>
              </w:rPr>
              <w:t>PCT/WG/9/</w:t>
            </w:r>
            <w:bookmarkStart w:id="0" w:name="Code"/>
            <w:bookmarkEnd w:id="0"/>
            <w:r w:rsidRPr="00833D68">
              <w:rPr>
                <w:rFonts w:ascii="Arial Black" w:hAnsi="Arial Black"/>
                <w:caps/>
                <w:sz w:val="15"/>
                <w:lang w:val="fr-FR"/>
              </w:rPr>
              <w:t>9</w:t>
            </w:r>
            <w:r w:rsidRPr="00833D68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33D68" w:rsidRPr="00833D68" w:rsidTr="00A9648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726A0" w:rsidRPr="00833D68" w:rsidRDefault="001726A0" w:rsidP="00A9648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33D68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Pr="00833D68">
              <w:rPr>
                <w:rFonts w:ascii="Arial Black" w:hAnsi="Arial Black"/>
                <w:caps/>
                <w:sz w:val="15"/>
              </w:rPr>
              <w:t> :</w:t>
            </w:r>
            <w:r w:rsidRPr="00833D6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Pr="00833D68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1726A0" w:rsidRPr="00833D68" w:rsidTr="00A9648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726A0" w:rsidRPr="00833D68" w:rsidRDefault="001726A0" w:rsidP="00A9648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33D68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Pr="00833D68">
              <w:rPr>
                <w:rFonts w:ascii="Arial Black" w:hAnsi="Arial Black"/>
                <w:caps/>
                <w:sz w:val="15"/>
              </w:rPr>
              <w:t> :</w:t>
            </w:r>
            <w:r w:rsidRPr="00833D6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Pr="00833D68">
              <w:rPr>
                <w:rFonts w:ascii="Arial Black" w:hAnsi="Arial Black"/>
                <w:caps/>
                <w:sz w:val="15"/>
                <w:lang w:val="fr-FR"/>
              </w:rPr>
              <w:t>15</w:t>
            </w:r>
            <w:r w:rsidRPr="00833D68">
              <w:rPr>
                <w:rFonts w:ascii="Arial Black" w:hAnsi="Arial Black"/>
                <w:caps/>
                <w:sz w:val="15"/>
              </w:rPr>
              <w:t> </w:t>
            </w:r>
            <w:r w:rsidRPr="00833D68">
              <w:rPr>
                <w:rFonts w:ascii="Arial Black" w:hAnsi="Arial Black"/>
                <w:caps/>
                <w:sz w:val="15"/>
                <w:lang w:val="fr-FR"/>
              </w:rPr>
              <w:t>mars</w:t>
            </w:r>
            <w:r w:rsidRPr="00833D68">
              <w:rPr>
                <w:rFonts w:ascii="Arial Black" w:hAnsi="Arial Black"/>
                <w:caps/>
                <w:sz w:val="15"/>
              </w:rPr>
              <w:t> </w:t>
            </w:r>
            <w:r w:rsidRPr="00833D68">
              <w:rPr>
                <w:rFonts w:ascii="Arial Black" w:hAnsi="Arial Black"/>
                <w:caps/>
                <w:sz w:val="15"/>
                <w:lang w:val="fr-FR"/>
              </w:rPr>
              <w:t>2016</w:t>
            </w:r>
          </w:p>
        </w:tc>
      </w:tr>
    </w:tbl>
    <w:p w:rsidR="001726A0" w:rsidRPr="00833D68" w:rsidRDefault="001726A0" w:rsidP="001726A0">
      <w:pPr>
        <w:rPr>
          <w:lang w:val="fr-FR"/>
        </w:rPr>
      </w:pPr>
    </w:p>
    <w:p w:rsidR="001726A0" w:rsidRPr="00833D68" w:rsidRDefault="001726A0" w:rsidP="001726A0">
      <w:pPr>
        <w:rPr>
          <w:lang w:val="fr-FR"/>
        </w:rPr>
      </w:pPr>
    </w:p>
    <w:p w:rsidR="001726A0" w:rsidRPr="00833D68" w:rsidRDefault="001726A0" w:rsidP="001726A0">
      <w:pPr>
        <w:rPr>
          <w:lang w:val="fr-FR"/>
        </w:rPr>
      </w:pPr>
    </w:p>
    <w:p w:rsidR="001726A0" w:rsidRPr="00833D68" w:rsidRDefault="001726A0" w:rsidP="001726A0">
      <w:pPr>
        <w:rPr>
          <w:lang w:val="fr-FR"/>
        </w:rPr>
      </w:pPr>
    </w:p>
    <w:p w:rsidR="001726A0" w:rsidRPr="00833D68" w:rsidRDefault="001726A0" w:rsidP="001726A0">
      <w:pPr>
        <w:rPr>
          <w:lang w:val="fr-FR"/>
        </w:rPr>
      </w:pPr>
    </w:p>
    <w:p w:rsidR="001726A0" w:rsidRPr="00833D68" w:rsidRDefault="001726A0" w:rsidP="001726A0">
      <w:pPr>
        <w:rPr>
          <w:b/>
          <w:sz w:val="28"/>
          <w:szCs w:val="28"/>
          <w:lang w:val="fr-FR"/>
        </w:rPr>
      </w:pPr>
      <w:r w:rsidRPr="00833D68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1726A0" w:rsidRPr="00833D68" w:rsidRDefault="001726A0" w:rsidP="001726A0">
      <w:pPr>
        <w:rPr>
          <w:lang w:val="fr-FR"/>
        </w:rPr>
      </w:pPr>
    </w:p>
    <w:p w:rsidR="001726A0" w:rsidRPr="00833D68" w:rsidRDefault="001726A0" w:rsidP="001726A0">
      <w:pPr>
        <w:rPr>
          <w:lang w:val="fr-FR"/>
        </w:rPr>
      </w:pPr>
    </w:p>
    <w:p w:rsidR="001726A0" w:rsidRPr="00833D68" w:rsidRDefault="00B17F92" w:rsidP="001726A0">
      <w:pPr>
        <w:rPr>
          <w:b/>
          <w:sz w:val="24"/>
          <w:szCs w:val="24"/>
          <w:lang w:val="fr-FR"/>
        </w:rPr>
      </w:pPr>
      <w:r w:rsidRPr="00833D68">
        <w:rPr>
          <w:b/>
          <w:sz w:val="24"/>
          <w:szCs w:val="24"/>
          <w:lang w:val="fr-FR"/>
        </w:rPr>
        <w:t>Neuvième</w:t>
      </w:r>
      <w:r w:rsidR="001726A0" w:rsidRPr="00833D68">
        <w:rPr>
          <w:b/>
          <w:sz w:val="24"/>
          <w:szCs w:val="24"/>
        </w:rPr>
        <w:t> session</w:t>
      </w:r>
    </w:p>
    <w:p w:rsidR="001726A0" w:rsidRPr="00833D68" w:rsidRDefault="001726A0" w:rsidP="001726A0">
      <w:pPr>
        <w:rPr>
          <w:b/>
          <w:sz w:val="24"/>
          <w:szCs w:val="24"/>
          <w:lang w:val="fr-FR"/>
        </w:rPr>
      </w:pPr>
      <w:r w:rsidRPr="00833D68">
        <w:rPr>
          <w:b/>
          <w:sz w:val="24"/>
          <w:szCs w:val="24"/>
          <w:lang w:val="fr-FR"/>
        </w:rPr>
        <w:t>Genève, 17 – 20</w:t>
      </w:r>
      <w:r w:rsidRPr="00833D68">
        <w:rPr>
          <w:b/>
          <w:sz w:val="24"/>
          <w:szCs w:val="24"/>
        </w:rPr>
        <w:t> </w:t>
      </w:r>
      <w:r w:rsidRPr="00833D68">
        <w:rPr>
          <w:b/>
          <w:sz w:val="24"/>
          <w:szCs w:val="24"/>
          <w:lang w:val="fr-FR"/>
        </w:rPr>
        <w:t>mai</w:t>
      </w:r>
      <w:r w:rsidRPr="00833D68">
        <w:rPr>
          <w:b/>
          <w:sz w:val="24"/>
          <w:szCs w:val="24"/>
        </w:rPr>
        <w:t> </w:t>
      </w:r>
      <w:r w:rsidRPr="00833D68">
        <w:rPr>
          <w:b/>
          <w:sz w:val="24"/>
          <w:szCs w:val="24"/>
          <w:lang w:val="fr-FR"/>
        </w:rPr>
        <w:t>2016</w:t>
      </w:r>
    </w:p>
    <w:p w:rsidR="001726A0" w:rsidRPr="00833D68" w:rsidRDefault="001726A0" w:rsidP="001726A0">
      <w:pPr>
        <w:rPr>
          <w:lang w:val="fr-FR"/>
        </w:rPr>
      </w:pPr>
    </w:p>
    <w:p w:rsidR="001726A0" w:rsidRPr="00833D68" w:rsidRDefault="001726A0" w:rsidP="001726A0">
      <w:pPr>
        <w:rPr>
          <w:lang w:val="fr-FR"/>
        </w:rPr>
      </w:pPr>
    </w:p>
    <w:p w:rsidR="001726A0" w:rsidRPr="00833D68" w:rsidRDefault="001726A0" w:rsidP="001726A0">
      <w:pPr>
        <w:rPr>
          <w:lang w:val="fr-FR"/>
        </w:rPr>
      </w:pPr>
    </w:p>
    <w:p w:rsidR="00312643" w:rsidRPr="00833D68" w:rsidRDefault="00A37216" w:rsidP="00A37216">
      <w:pPr>
        <w:rPr>
          <w:caps/>
          <w:sz w:val="24"/>
          <w:lang w:val="fr-FR"/>
        </w:rPr>
      </w:pPr>
      <w:r w:rsidRPr="00833D68">
        <w:rPr>
          <w:caps/>
          <w:sz w:val="24"/>
          <w:lang w:val="fr-FR"/>
        </w:rPr>
        <w:t>recettes provenant des taxes</w:t>
      </w:r>
      <w:r w:rsidR="000546D3" w:rsidRPr="00833D68">
        <w:rPr>
          <w:caps/>
          <w:sz w:val="24"/>
          <w:lang w:val="fr-FR"/>
        </w:rPr>
        <w:t xml:space="preserve"> du PCT</w:t>
      </w:r>
      <w:r w:rsidR="004810A7" w:rsidRPr="00833D68">
        <w:rPr>
          <w:caps/>
          <w:sz w:val="24"/>
          <w:lang w:val="fr-FR"/>
        </w:rPr>
        <w:t> </w:t>
      </w:r>
      <w:r w:rsidRPr="00833D68">
        <w:rPr>
          <w:caps/>
          <w:sz w:val="24"/>
          <w:lang w:val="fr-FR"/>
        </w:rPr>
        <w:t>: rapport sur l</w:t>
      </w:r>
      <w:r w:rsidR="000546D3" w:rsidRPr="00833D68">
        <w:rPr>
          <w:caps/>
          <w:sz w:val="24"/>
          <w:lang w:val="fr-FR"/>
        </w:rPr>
        <w:t>’</w:t>
      </w:r>
      <w:r w:rsidRPr="00833D68">
        <w:rPr>
          <w:caps/>
          <w:sz w:val="24"/>
          <w:lang w:val="fr-FR"/>
        </w:rPr>
        <w:t>état d</w:t>
      </w:r>
      <w:r w:rsidR="000546D3" w:rsidRPr="00833D68">
        <w:rPr>
          <w:caps/>
          <w:sz w:val="24"/>
          <w:lang w:val="fr-FR"/>
        </w:rPr>
        <w:t>’</w:t>
      </w:r>
      <w:r w:rsidRPr="00833D68">
        <w:rPr>
          <w:caps/>
          <w:sz w:val="24"/>
          <w:lang w:val="fr-FR"/>
        </w:rPr>
        <w:t>avancement de l</w:t>
      </w:r>
      <w:r w:rsidR="000546D3" w:rsidRPr="00833D68">
        <w:rPr>
          <w:caps/>
          <w:sz w:val="24"/>
          <w:lang w:val="fr-FR"/>
        </w:rPr>
        <w:t>’</w:t>
      </w:r>
      <w:r w:rsidRPr="00833D68">
        <w:rPr>
          <w:caps/>
          <w:sz w:val="24"/>
          <w:lang w:val="fr-FR"/>
        </w:rPr>
        <w:t>analyse des mesures POSSIBLES pour réduire l</w:t>
      </w:r>
      <w:r w:rsidR="000546D3" w:rsidRPr="00833D68">
        <w:rPr>
          <w:caps/>
          <w:sz w:val="24"/>
          <w:lang w:val="fr-FR"/>
        </w:rPr>
        <w:t>’</w:t>
      </w:r>
      <w:r w:rsidRPr="00833D68">
        <w:rPr>
          <w:caps/>
          <w:sz w:val="24"/>
          <w:lang w:val="fr-FR"/>
        </w:rPr>
        <w:t>exposition aux variations de change</w:t>
      </w:r>
    </w:p>
    <w:p w:rsidR="00312643" w:rsidRPr="00833D68" w:rsidRDefault="00312643" w:rsidP="008B2CC1">
      <w:pPr>
        <w:rPr>
          <w:lang w:val="fr-FR"/>
        </w:rPr>
      </w:pPr>
    </w:p>
    <w:p w:rsidR="00312643" w:rsidRPr="00833D68" w:rsidRDefault="00A37216" w:rsidP="00A37216">
      <w:pPr>
        <w:rPr>
          <w:i/>
          <w:lang w:val="fr-FR"/>
        </w:rPr>
      </w:pPr>
      <w:bookmarkStart w:id="3" w:name="Prepared"/>
      <w:bookmarkEnd w:id="3"/>
      <w:r w:rsidRPr="00833D68">
        <w:rPr>
          <w:i/>
          <w:lang w:val="fr-FR"/>
        </w:rPr>
        <w:t>Document établi par le Bureau international</w:t>
      </w:r>
    </w:p>
    <w:p w:rsidR="00312643" w:rsidRPr="00833D68" w:rsidRDefault="00312643">
      <w:pPr>
        <w:rPr>
          <w:lang w:val="fr-FR"/>
        </w:rPr>
      </w:pPr>
    </w:p>
    <w:p w:rsidR="00312643" w:rsidRPr="00833D68" w:rsidRDefault="00312643">
      <w:pPr>
        <w:rPr>
          <w:lang w:val="fr-FR"/>
        </w:rPr>
      </w:pPr>
    </w:p>
    <w:p w:rsidR="00312643" w:rsidRPr="00833D68" w:rsidRDefault="00312643">
      <w:pPr>
        <w:rPr>
          <w:lang w:val="fr-FR"/>
        </w:rPr>
      </w:pPr>
    </w:p>
    <w:p w:rsidR="00312643" w:rsidRPr="00833D68" w:rsidRDefault="00B17F92" w:rsidP="00B17F92">
      <w:pPr>
        <w:pStyle w:val="Heading1"/>
        <w:rPr>
          <w:lang w:val="fr-FR"/>
        </w:rPr>
      </w:pPr>
      <w:r w:rsidRPr="00833D68">
        <w:rPr>
          <w:lang w:val="fr-FR"/>
        </w:rPr>
        <w:t>Résumé</w:t>
      </w:r>
    </w:p>
    <w:p w:rsidR="00B17F92" w:rsidRPr="00833D68" w:rsidRDefault="00B17F92" w:rsidP="00B17F92">
      <w:pPr>
        <w:rPr>
          <w:lang w:val="fr-FR"/>
        </w:rPr>
      </w:pPr>
    </w:p>
    <w:p w:rsidR="00312643" w:rsidRPr="00833D68" w:rsidRDefault="00A37216" w:rsidP="00B17F92">
      <w:pPr>
        <w:pStyle w:val="ONUMFS"/>
        <w:rPr>
          <w:lang w:val="fr-FR"/>
        </w:rPr>
      </w:pPr>
      <w:r w:rsidRPr="00833D68">
        <w:rPr>
          <w:lang w:val="fr-FR"/>
        </w:rPr>
        <w:t>Le présent document contient un rapport sur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état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avancement de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analyse effectuée par le Bureau international sur les questions relatives à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 xml:space="preserve">éventuelle mise en </w:t>
      </w:r>
      <w:r w:rsidR="00157968" w:rsidRPr="00833D68">
        <w:rPr>
          <w:lang w:val="fr-FR"/>
        </w:rPr>
        <w:t>œuvre</w:t>
      </w:r>
      <w:r w:rsidRPr="00833D68">
        <w:rPr>
          <w:lang w:val="fr-FR"/>
        </w:rPr>
        <w:t xml:space="preserve">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une stratégie de couverture des risques de change pour les taxes</w:t>
      </w:r>
      <w:r w:rsidR="000546D3" w:rsidRPr="00833D68">
        <w:rPr>
          <w:lang w:val="fr-FR"/>
        </w:rPr>
        <w:t xml:space="preserve"> du PCT</w:t>
      </w:r>
      <w:r w:rsidRPr="00833D68">
        <w:rPr>
          <w:lang w:val="fr-FR"/>
        </w:rPr>
        <w:t>, ainsi qu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un point sur les faits nouveaux concernant la mise en place éventuelle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 xml:space="preserve">une </w:t>
      </w:r>
      <w:r w:rsidR="00157968" w:rsidRPr="00833D68">
        <w:rPr>
          <w:lang w:val="fr-FR"/>
        </w:rPr>
        <w:t>“</w:t>
      </w:r>
      <w:r w:rsidRPr="00833D68">
        <w:rPr>
          <w:lang w:val="fr-FR"/>
        </w:rPr>
        <w:t>structure de compensation</w:t>
      </w:r>
      <w:r w:rsidR="00157968" w:rsidRPr="00833D68">
        <w:rPr>
          <w:lang w:val="fr-FR"/>
        </w:rPr>
        <w:t>”</w:t>
      </w:r>
      <w:r w:rsidRPr="00833D68">
        <w:rPr>
          <w:lang w:val="fr-FR"/>
        </w:rPr>
        <w:t xml:space="preserve"> pour toutes les transactions relatives aux taxes</w:t>
      </w:r>
      <w:r w:rsidR="000546D3" w:rsidRPr="00833D68">
        <w:rPr>
          <w:lang w:val="fr-FR"/>
        </w:rPr>
        <w:t xml:space="preserve"> du </w:t>
      </w:r>
      <w:r w:rsidR="00395646" w:rsidRPr="00833D68">
        <w:rPr>
          <w:lang w:val="fr-FR"/>
        </w:rPr>
        <w:t>PCT.  Le</w:t>
      </w:r>
      <w:r w:rsidR="00F930CA" w:rsidRPr="00833D68">
        <w:rPr>
          <w:lang w:val="fr-FR"/>
        </w:rPr>
        <w:t xml:space="preserve"> Bureau international propose de poursuivre l</w:t>
      </w:r>
      <w:r w:rsidR="000546D3" w:rsidRPr="00833D68">
        <w:rPr>
          <w:lang w:val="fr-FR"/>
        </w:rPr>
        <w:t>’</w:t>
      </w:r>
      <w:r w:rsidR="00F930CA" w:rsidRPr="00833D68">
        <w:rPr>
          <w:lang w:val="fr-FR"/>
        </w:rPr>
        <w:t>étude de ces deux</w:t>
      </w:r>
      <w:r w:rsidR="004810A7" w:rsidRPr="00833D68">
        <w:rPr>
          <w:lang w:val="fr-FR"/>
        </w:rPr>
        <w:t> </w:t>
      </w:r>
      <w:r w:rsidR="00F930CA" w:rsidRPr="00833D68">
        <w:rPr>
          <w:lang w:val="fr-FR"/>
        </w:rPr>
        <w:t>mesures possibles pour réduire l</w:t>
      </w:r>
      <w:r w:rsidR="000546D3" w:rsidRPr="00833D68">
        <w:rPr>
          <w:lang w:val="fr-FR"/>
        </w:rPr>
        <w:t>’</w:t>
      </w:r>
      <w:r w:rsidR="00F930CA" w:rsidRPr="00833D68">
        <w:rPr>
          <w:lang w:val="fr-FR"/>
        </w:rPr>
        <w:t>exposition aux variations de change en vue de présenter au groupe de travail, à sa prochaine session prévue en</w:t>
      </w:r>
      <w:r w:rsidR="004810A7" w:rsidRPr="00833D68">
        <w:rPr>
          <w:lang w:val="fr-FR"/>
        </w:rPr>
        <w:t> </w:t>
      </w:r>
      <w:r w:rsidR="00F930CA" w:rsidRPr="00833D68">
        <w:rPr>
          <w:lang w:val="fr-FR"/>
        </w:rPr>
        <w:t>2017, des propositions sur la question de savoir s</w:t>
      </w:r>
      <w:r w:rsidR="000546D3" w:rsidRPr="00833D68">
        <w:rPr>
          <w:lang w:val="fr-FR"/>
        </w:rPr>
        <w:t>’</w:t>
      </w:r>
      <w:r w:rsidR="00F930CA" w:rsidRPr="00833D68">
        <w:rPr>
          <w:lang w:val="fr-FR"/>
        </w:rPr>
        <w:t xml:space="preserve">il convient ou non de commencer à couvrir les risques de change et de mettre en place une </w:t>
      </w:r>
      <w:r w:rsidR="00157968" w:rsidRPr="00833D68">
        <w:rPr>
          <w:lang w:val="fr-FR"/>
        </w:rPr>
        <w:t>“</w:t>
      </w:r>
      <w:r w:rsidR="00F930CA" w:rsidRPr="00833D68">
        <w:rPr>
          <w:lang w:val="fr-FR"/>
        </w:rPr>
        <w:t>structure de compensation</w:t>
      </w:r>
      <w:r w:rsidR="00157968" w:rsidRPr="00833D68">
        <w:rPr>
          <w:lang w:val="fr-FR"/>
        </w:rPr>
        <w:t>”</w:t>
      </w:r>
      <w:r w:rsidR="00F930CA" w:rsidRPr="00833D68">
        <w:rPr>
          <w:lang w:val="fr-FR"/>
        </w:rPr>
        <w:t>.</w:t>
      </w:r>
    </w:p>
    <w:p w:rsidR="00312643" w:rsidRPr="00833D68" w:rsidRDefault="00B17F92" w:rsidP="00B17F92">
      <w:pPr>
        <w:pStyle w:val="Heading1"/>
        <w:rPr>
          <w:lang w:val="fr-FR"/>
        </w:rPr>
      </w:pPr>
      <w:r w:rsidRPr="00833D68">
        <w:rPr>
          <w:lang w:val="fr-FR"/>
        </w:rPr>
        <w:t>Rappel</w:t>
      </w:r>
    </w:p>
    <w:p w:rsidR="00B17F92" w:rsidRPr="00833D68" w:rsidRDefault="00B17F92" w:rsidP="00B17F92">
      <w:pPr>
        <w:rPr>
          <w:lang w:val="fr-FR"/>
        </w:rPr>
      </w:pPr>
    </w:p>
    <w:p w:rsidR="00312643" w:rsidRPr="00833D68" w:rsidRDefault="00A14ADD" w:rsidP="00B17F92">
      <w:pPr>
        <w:pStyle w:val="ONUMFS"/>
        <w:rPr>
          <w:lang w:val="fr-FR"/>
        </w:rPr>
      </w:pPr>
      <w:r w:rsidRPr="00833D68">
        <w:rPr>
          <w:lang w:val="fr-FR"/>
        </w:rPr>
        <w:t>À sa huitième</w:t>
      </w:r>
      <w:r w:rsidR="004810A7" w:rsidRPr="00833D68">
        <w:rPr>
          <w:lang w:val="fr-FR"/>
        </w:rPr>
        <w:t> </w:t>
      </w:r>
      <w:r w:rsidRPr="00833D68">
        <w:rPr>
          <w:lang w:val="fr-FR"/>
        </w:rPr>
        <w:t>session tenue en mai 2015, le groupe de travail a examiné un document établi par le Bureau international exposant différentes mesures possibles pour réduire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exposition des recettes provenant des taxes</w:t>
      </w:r>
      <w:r w:rsidR="000546D3" w:rsidRPr="00833D68">
        <w:rPr>
          <w:lang w:val="fr-FR"/>
        </w:rPr>
        <w:t xml:space="preserve"> du PCT</w:t>
      </w:r>
      <w:r w:rsidRPr="00833D68">
        <w:rPr>
          <w:lang w:val="fr-FR"/>
        </w:rPr>
        <w:t xml:space="preserve"> aux fluctuations de change (document PCT/WG/8/15).</w:t>
      </w:r>
      <w:r w:rsidR="00FC09B5" w:rsidRPr="00833D68">
        <w:rPr>
          <w:lang w:val="fr-FR"/>
        </w:rPr>
        <w:t xml:space="preserve">  </w:t>
      </w:r>
      <w:r w:rsidR="001459F2" w:rsidRPr="00833D68">
        <w:rPr>
          <w:lang w:val="fr-FR"/>
        </w:rPr>
        <w:t>Les discussions sont résumées aux paragraphes 21 à 36 du résumé présenté par le président (document PCT/WG/8/25);  les paragraphes 52 à 78 du rapport sur la session (document PCT/WG/8/26) rendent compte dans le détail de toutes les interventions.</w:t>
      </w:r>
    </w:p>
    <w:p w:rsidR="00312643" w:rsidRPr="00833D68" w:rsidRDefault="001459F2" w:rsidP="00B17F92">
      <w:pPr>
        <w:pStyle w:val="ONUMFS"/>
        <w:rPr>
          <w:lang w:val="fr-FR"/>
        </w:rPr>
      </w:pPr>
      <w:r w:rsidRPr="00833D68">
        <w:rPr>
          <w:lang w:val="fr-FR"/>
        </w:rPr>
        <w:lastRenderedPageBreak/>
        <w:t xml:space="preserve">Le présent document fait le point sur deux des mesures possibles passées en revue dans le document PCT/WG/8/15, </w:t>
      </w:r>
      <w:r w:rsidR="000546D3" w:rsidRPr="00833D68">
        <w:rPr>
          <w:lang w:val="fr-FR"/>
        </w:rPr>
        <w:t>à savoir</w:t>
      </w:r>
      <w:r w:rsidRPr="00833D68">
        <w:rPr>
          <w:lang w:val="fr-FR"/>
        </w:rPr>
        <w:t> :</w:t>
      </w:r>
    </w:p>
    <w:p w:rsidR="00312643" w:rsidRPr="00833D68" w:rsidRDefault="001459F2" w:rsidP="00B17F92">
      <w:pPr>
        <w:pStyle w:val="ONUMFS"/>
        <w:numPr>
          <w:ilvl w:val="1"/>
          <w:numId w:val="9"/>
        </w:numPr>
        <w:rPr>
          <w:lang w:val="fr-FR"/>
        </w:rPr>
      </w:pPr>
      <w:r w:rsidRPr="00833D68">
        <w:rPr>
          <w:lang w:val="fr-FR"/>
        </w:rPr>
        <w:t>opération de couverture et fixation des montants équivalents des taxes</w:t>
      </w:r>
      <w:r w:rsidR="000546D3" w:rsidRPr="00833D68">
        <w:rPr>
          <w:lang w:val="fr-FR"/>
        </w:rPr>
        <w:t xml:space="preserve"> du PCT</w:t>
      </w:r>
      <w:r w:rsidRPr="00833D68">
        <w:rPr>
          <w:lang w:val="fr-FR"/>
        </w:rPr>
        <w:t xml:space="preserve"> </w:t>
      </w:r>
      <w:r w:rsidR="003252C2">
        <w:rPr>
          <w:lang w:val="fr-FR"/>
        </w:rPr>
        <w:t>s</w:t>
      </w:r>
      <w:r w:rsidRPr="00833D68">
        <w:rPr>
          <w:lang w:val="fr-FR"/>
        </w:rPr>
        <w:t xml:space="preserve">ur une période </w:t>
      </w:r>
      <w:r w:rsidR="00395646" w:rsidRPr="00833D68">
        <w:rPr>
          <w:lang w:val="fr-FR"/>
        </w:rPr>
        <w:t>déterminée</w:t>
      </w:r>
      <w:r w:rsidRPr="00833D68">
        <w:rPr>
          <w:lang w:val="fr-FR"/>
        </w:rPr>
        <w:t>;  et</w:t>
      </w:r>
    </w:p>
    <w:p w:rsidR="00312643" w:rsidRPr="00833D68" w:rsidRDefault="001459F2" w:rsidP="00B17F92">
      <w:pPr>
        <w:pStyle w:val="ONUMFS"/>
        <w:numPr>
          <w:ilvl w:val="1"/>
          <w:numId w:val="9"/>
        </w:numPr>
        <w:rPr>
          <w:lang w:val="fr-FR"/>
        </w:rPr>
      </w:pPr>
      <w:r w:rsidRPr="00833D68">
        <w:rPr>
          <w:lang w:val="fr-FR"/>
        </w:rPr>
        <w:t>adoption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 xml:space="preserve">une </w:t>
      </w:r>
      <w:r w:rsidR="00157968" w:rsidRPr="00833D68">
        <w:rPr>
          <w:lang w:val="fr-FR"/>
        </w:rPr>
        <w:t>“</w:t>
      </w:r>
      <w:r w:rsidRPr="00833D68">
        <w:rPr>
          <w:lang w:val="fr-FR"/>
        </w:rPr>
        <w:t>structure de compensation</w:t>
      </w:r>
      <w:r w:rsidR="00157968" w:rsidRPr="00833D68">
        <w:rPr>
          <w:lang w:val="fr-FR"/>
        </w:rPr>
        <w:t>”</w:t>
      </w:r>
      <w:r w:rsidRPr="00833D68">
        <w:rPr>
          <w:lang w:val="fr-FR"/>
        </w:rPr>
        <w:t xml:space="preserve"> pour le transfert des taxes</w:t>
      </w:r>
      <w:r w:rsidR="000546D3" w:rsidRPr="00833D68">
        <w:rPr>
          <w:lang w:val="fr-FR"/>
        </w:rPr>
        <w:t xml:space="preserve"> du PCT</w:t>
      </w:r>
      <w:r w:rsidR="00C16F8F">
        <w:rPr>
          <w:lang w:val="fr-FR"/>
        </w:rPr>
        <w:t>.</w:t>
      </w:r>
    </w:p>
    <w:p w:rsidR="00312643" w:rsidRPr="00833D68" w:rsidRDefault="001459F2" w:rsidP="00B17F92">
      <w:pPr>
        <w:pStyle w:val="Heading1"/>
        <w:rPr>
          <w:lang w:val="fr-FR"/>
        </w:rPr>
      </w:pPr>
      <w:r w:rsidRPr="00833D68">
        <w:rPr>
          <w:lang w:val="fr-FR"/>
        </w:rPr>
        <w:t>Opération de couverture et fixation des montants équivalents des taxes</w:t>
      </w:r>
      <w:r w:rsidR="000546D3" w:rsidRPr="00833D68">
        <w:rPr>
          <w:lang w:val="fr-FR"/>
        </w:rPr>
        <w:t xml:space="preserve"> du PCT</w:t>
      </w:r>
      <w:r w:rsidRPr="00833D68">
        <w:rPr>
          <w:lang w:val="fr-FR"/>
        </w:rPr>
        <w:t xml:space="preserve"> </w:t>
      </w:r>
      <w:r w:rsidR="00395646" w:rsidRPr="00833D68">
        <w:rPr>
          <w:lang w:val="fr-FR"/>
        </w:rPr>
        <w:t>sur</w:t>
      </w:r>
      <w:r w:rsidRPr="00833D68">
        <w:rPr>
          <w:lang w:val="fr-FR"/>
        </w:rPr>
        <w:t xml:space="preserve"> une période </w:t>
      </w:r>
      <w:r w:rsidR="00395646" w:rsidRPr="00833D68">
        <w:rPr>
          <w:lang w:val="fr-FR"/>
        </w:rPr>
        <w:t>déterminée</w:t>
      </w:r>
    </w:p>
    <w:p w:rsidR="00312643" w:rsidRPr="00833D68" w:rsidRDefault="00B17F92" w:rsidP="00B17F92">
      <w:pPr>
        <w:pStyle w:val="Heading2"/>
        <w:rPr>
          <w:lang w:val="fr-FR"/>
        </w:rPr>
      </w:pPr>
      <w:r w:rsidRPr="00833D68">
        <w:rPr>
          <w:lang w:val="fr-FR"/>
        </w:rPr>
        <w:t xml:space="preserve">Définition </w:t>
      </w:r>
      <w:r w:rsidR="00395646" w:rsidRPr="00833D68">
        <w:rPr>
          <w:lang w:val="fr-FR"/>
        </w:rPr>
        <w:t>de la couverture des risques de change</w:t>
      </w:r>
    </w:p>
    <w:p w:rsidR="00395646" w:rsidRPr="00833D68" w:rsidRDefault="00395646" w:rsidP="00395646">
      <w:pPr>
        <w:rPr>
          <w:lang w:val="fr-FR"/>
        </w:rPr>
      </w:pPr>
    </w:p>
    <w:p w:rsidR="00312643" w:rsidRPr="00833D68" w:rsidRDefault="00313755" w:rsidP="00B17F92">
      <w:pPr>
        <w:pStyle w:val="ONUMFS"/>
        <w:rPr>
          <w:lang w:val="fr-FR"/>
        </w:rPr>
      </w:pPr>
      <w:r w:rsidRPr="00833D68">
        <w:rPr>
          <w:lang w:val="fr-FR"/>
        </w:rPr>
        <w:t>Une opération de couverture désigne la prise de positions de compensation pour réduire au minimum les risques liés par exemple à une évolution défavorable des taux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intérêt ou, dans le cas de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OMPI, des taux de chan</w:t>
      </w:r>
      <w:r w:rsidR="00395646" w:rsidRPr="00833D68">
        <w:rPr>
          <w:lang w:val="fr-FR"/>
        </w:rPr>
        <w:t>ge.  L’u</w:t>
      </w:r>
      <w:r w:rsidR="00E475C9" w:rsidRPr="00833D68">
        <w:rPr>
          <w:lang w:val="fr-FR"/>
        </w:rPr>
        <w:t>n des moyens de couvrir le risque lié aux transactions en devises consiste à passer un contrat de change à terme, comme indiqué aux paragraphes 20 à 22 de l</w:t>
      </w:r>
      <w:r w:rsidR="000546D3" w:rsidRPr="00833D68">
        <w:rPr>
          <w:lang w:val="fr-FR"/>
        </w:rPr>
        <w:t>’</w:t>
      </w:r>
      <w:r w:rsidR="00E475C9" w:rsidRPr="00833D68">
        <w:rPr>
          <w:lang w:val="fr-FR"/>
        </w:rPr>
        <w:t>annexe I du document PCT/WG/8/15.  Il s</w:t>
      </w:r>
      <w:r w:rsidR="000546D3" w:rsidRPr="00833D68">
        <w:rPr>
          <w:lang w:val="fr-FR"/>
        </w:rPr>
        <w:t>’</w:t>
      </w:r>
      <w:r w:rsidR="00E475C9" w:rsidRPr="00833D68">
        <w:rPr>
          <w:lang w:val="fr-FR"/>
        </w:rPr>
        <w:t>agit d</w:t>
      </w:r>
      <w:r w:rsidR="000546D3" w:rsidRPr="00833D68">
        <w:rPr>
          <w:lang w:val="fr-FR"/>
        </w:rPr>
        <w:t>’</w:t>
      </w:r>
      <w:r w:rsidR="00E475C9" w:rsidRPr="00833D68">
        <w:rPr>
          <w:lang w:val="fr-FR"/>
        </w:rPr>
        <w:t>un contrat aux termes duquel les deux</w:t>
      </w:r>
      <w:r w:rsidR="004810A7" w:rsidRPr="00833D68">
        <w:rPr>
          <w:lang w:val="fr-FR"/>
        </w:rPr>
        <w:t> </w:t>
      </w:r>
      <w:r w:rsidR="00E475C9" w:rsidRPr="00833D68">
        <w:rPr>
          <w:lang w:val="fr-FR"/>
        </w:rPr>
        <w:t>parties s</w:t>
      </w:r>
      <w:r w:rsidR="000546D3" w:rsidRPr="00833D68">
        <w:rPr>
          <w:lang w:val="fr-FR"/>
        </w:rPr>
        <w:t>’</w:t>
      </w:r>
      <w:r w:rsidR="00E475C9" w:rsidRPr="00833D68">
        <w:rPr>
          <w:lang w:val="fr-FR"/>
        </w:rPr>
        <w:t>engagent à échanger une certaine somme à un taux convenu (</w:t>
      </w:r>
      <w:r w:rsidR="00157968" w:rsidRPr="00833D68">
        <w:rPr>
          <w:lang w:val="fr-FR"/>
        </w:rPr>
        <w:t>“</w:t>
      </w:r>
      <w:r w:rsidR="00E475C9" w:rsidRPr="00833D68">
        <w:rPr>
          <w:lang w:val="fr-FR"/>
        </w:rPr>
        <w:t>taux à terme</w:t>
      </w:r>
      <w:r w:rsidR="00157968" w:rsidRPr="00833D68">
        <w:rPr>
          <w:lang w:val="fr-FR"/>
        </w:rPr>
        <w:t>”</w:t>
      </w:r>
      <w:r w:rsidR="00E475C9" w:rsidRPr="00833D68">
        <w:rPr>
          <w:lang w:val="fr-FR"/>
        </w:rPr>
        <w:t>) à une date prédéterminée.</w:t>
      </w:r>
    </w:p>
    <w:p w:rsidR="00312643" w:rsidRPr="00833D68" w:rsidRDefault="00E475C9" w:rsidP="00B17F92">
      <w:pPr>
        <w:pStyle w:val="ONUMFS"/>
        <w:rPr>
          <w:lang w:val="fr-FR"/>
        </w:rPr>
      </w:pPr>
      <w:bookmarkStart w:id="4" w:name="_Ref445214070"/>
      <w:r w:rsidRPr="00833D68">
        <w:rPr>
          <w:lang w:val="fr-FR"/>
        </w:rPr>
        <w:t>La stratégie de couverture pour une devise consisterait normalement à passer des contrats à terme à différentes dates sur une période détermin</w:t>
      </w:r>
      <w:r w:rsidR="00395646" w:rsidRPr="00833D68">
        <w:rPr>
          <w:lang w:val="fr-FR"/>
        </w:rPr>
        <w:t>ée.  Su</w:t>
      </w:r>
      <w:r w:rsidRPr="00833D68">
        <w:rPr>
          <w:lang w:val="fr-FR"/>
        </w:rPr>
        <w:t>r cette période,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équivalent en franc suisse des taxes dans la devise visée serait établi à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aide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un taux à terme moyen pondéré, dénommé taux de couverture pondéré et fixé pour la période couverte par les contrats à ter</w:t>
      </w:r>
      <w:r w:rsidR="00395646" w:rsidRPr="00833D68">
        <w:rPr>
          <w:lang w:val="fr-FR"/>
        </w:rPr>
        <w:t>me.  La</w:t>
      </w:r>
      <w:r w:rsidRPr="00833D68">
        <w:rPr>
          <w:lang w:val="fr-FR"/>
        </w:rPr>
        <w:t xml:space="preserve"> fixation du montant équivalent durant la période de couverture devrait donc assurer une plus grande prévisibilité des flux de trésorerie dans les monnaies de couverture des recett</w:t>
      </w:r>
      <w:bookmarkEnd w:id="4"/>
      <w:r w:rsidR="00395646" w:rsidRPr="00833D68">
        <w:rPr>
          <w:lang w:val="fr-FR"/>
        </w:rPr>
        <w:t>es.  On</w:t>
      </w:r>
      <w:r w:rsidRPr="00833D68">
        <w:rPr>
          <w:lang w:val="fr-FR"/>
        </w:rPr>
        <w:t xml:space="preserve"> trouvera de plus amples explications sur cette procédure assorties d</w:t>
      </w:r>
      <w:r w:rsidR="000546D3" w:rsidRPr="00833D68">
        <w:rPr>
          <w:lang w:val="fr-FR"/>
        </w:rPr>
        <w:t>’</w:t>
      </w:r>
      <w:r w:rsidR="003252C2">
        <w:rPr>
          <w:lang w:val="fr-FR"/>
        </w:rPr>
        <w:t>un exemple aux paragraphes 23 à </w:t>
      </w:r>
      <w:r w:rsidRPr="00833D68">
        <w:rPr>
          <w:lang w:val="fr-FR"/>
        </w:rPr>
        <w:t>29 de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annexe I du document PCT/WG/8/15.</w:t>
      </w:r>
    </w:p>
    <w:p w:rsidR="00312643" w:rsidRDefault="00FC757B" w:rsidP="00B17F92">
      <w:pPr>
        <w:pStyle w:val="Heading2"/>
        <w:rPr>
          <w:lang w:val="fr-FR"/>
        </w:rPr>
      </w:pPr>
      <w:r w:rsidRPr="00833D68">
        <w:rPr>
          <w:lang w:val="fr-FR"/>
        </w:rPr>
        <w:t>Examen</w:t>
      </w:r>
      <w:r w:rsidR="00395646" w:rsidRPr="00833D68">
        <w:rPr>
          <w:lang w:val="fr-FR"/>
        </w:rPr>
        <w:t xml:space="preserve"> de la question </w:t>
      </w:r>
      <w:r w:rsidRPr="00833D68">
        <w:rPr>
          <w:lang w:val="fr-FR"/>
        </w:rPr>
        <w:t>par le groupe de travail, le comité du programme et budget et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assemblée de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union</w:t>
      </w:r>
      <w:r w:rsidR="000546D3" w:rsidRPr="00833D68">
        <w:rPr>
          <w:lang w:val="fr-FR"/>
        </w:rPr>
        <w:t xml:space="preserve"> du PCT</w:t>
      </w:r>
    </w:p>
    <w:p w:rsidR="003252C2" w:rsidRPr="003252C2" w:rsidRDefault="003252C2" w:rsidP="003252C2">
      <w:pPr>
        <w:rPr>
          <w:lang w:val="fr-FR"/>
        </w:rPr>
      </w:pPr>
    </w:p>
    <w:p w:rsidR="00312643" w:rsidRPr="00833D68" w:rsidRDefault="00FC757B" w:rsidP="00B17F92">
      <w:pPr>
        <w:pStyle w:val="ONUMFS"/>
        <w:rPr>
          <w:lang w:val="fr-FR"/>
        </w:rPr>
      </w:pPr>
      <w:r w:rsidRPr="00833D68">
        <w:rPr>
          <w:lang w:val="fr-FR"/>
        </w:rPr>
        <w:t>À sa huitième</w:t>
      </w:r>
      <w:r w:rsidR="004810A7" w:rsidRPr="00833D68">
        <w:rPr>
          <w:lang w:val="fr-FR"/>
        </w:rPr>
        <w:t> </w:t>
      </w:r>
      <w:r w:rsidRPr="00833D68">
        <w:rPr>
          <w:lang w:val="fr-FR"/>
        </w:rPr>
        <w:t>session tenue en mai 2015, le groupe de travail a fait sienne une proposition du Bureau international, figurant dans le document PCT/WG/8/15, tendant à commencer à couvrir le montant de la taxe internationale de dépôt contre le risque lié aux transactions en euros, en yen japonais et en dollars des États</w:t>
      </w:r>
      <w:r w:rsidR="00395646" w:rsidRPr="00833D68">
        <w:rPr>
          <w:lang w:val="fr-FR"/>
        </w:rPr>
        <w:noBreakHyphen/>
      </w:r>
      <w:r w:rsidRPr="00833D68">
        <w:rPr>
          <w:lang w:val="fr-FR"/>
        </w:rPr>
        <w:t>Unis (voir le paragraphe 78 du rapport sur la session, document PCT/WG/8/26), en vue de sa présentation à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assemblée pour examen à sa session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octobre 2015 :</w:t>
      </w:r>
    </w:p>
    <w:p w:rsidR="00312643" w:rsidRPr="00833D68" w:rsidRDefault="00157968" w:rsidP="00B17F92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833D68">
        <w:rPr>
          <w:lang w:val="fr-FR"/>
        </w:rPr>
        <w:t>“</w:t>
      </w:r>
      <w:r w:rsidR="00FC757B" w:rsidRPr="00833D68">
        <w:rPr>
          <w:lang w:val="fr-FR"/>
        </w:rPr>
        <w:t>78.</w:t>
      </w:r>
      <w:r w:rsidR="00FC757B" w:rsidRPr="00833D68">
        <w:rPr>
          <w:lang w:val="fr-FR"/>
        </w:rPr>
        <w:tab/>
        <w:t>Le groupe de travail a approuvé les propositions de modification des directives de l</w:t>
      </w:r>
      <w:r w:rsidR="000546D3" w:rsidRPr="00833D68">
        <w:rPr>
          <w:lang w:val="fr-FR"/>
        </w:rPr>
        <w:t>’</w:t>
      </w:r>
      <w:r w:rsidR="00FC757B" w:rsidRPr="00833D68">
        <w:rPr>
          <w:lang w:val="fr-FR"/>
        </w:rPr>
        <w:t>Assemblée de l</w:t>
      </w:r>
      <w:r w:rsidR="000546D3" w:rsidRPr="00833D68">
        <w:rPr>
          <w:lang w:val="fr-FR"/>
        </w:rPr>
        <w:t>’</w:t>
      </w:r>
      <w:r w:rsidR="00FC757B" w:rsidRPr="00833D68">
        <w:rPr>
          <w:lang w:val="fr-FR"/>
        </w:rPr>
        <w:t>Union</w:t>
      </w:r>
      <w:r w:rsidR="000546D3" w:rsidRPr="00833D68">
        <w:rPr>
          <w:lang w:val="fr-FR"/>
        </w:rPr>
        <w:t xml:space="preserve"> du PCT</w:t>
      </w:r>
      <w:r w:rsidR="00FC757B" w:rsidRPr="00833D68">
        <w:rPr>
          <w:lang w:val="fr-FR"/>
        </w:rPr>
        <w:t xml:space="preserve"> concernant l</w:t>
      </w:r>
      <w:r w:rsidR="000546D3" w:rsidRPr="00833D68">
        <w:rPr>
          <w:lang w:val="fr-FR"/>
        </w:rPr>
        <w:t>’</w:t>
      </w:r>
      <w:r w:rsidR="00FC757B" w:rsidRPr="00833D68">
        <w:rPr>
          <w:lang w:val="fr-FR"/>
        </w:rPr>
        <w:t>établissement des montants équivalents de certaines taxes</w:t>
      </w:r>
      <w:r w:rsidR="000546D3" w:rsidRPr="00833D68">
        <w:rPr>
          <w:lang w:val="fr-FR"/>
        </w:rPr>
        <w:t xml:space="preserve"> du PCT</w:t>
      </w:r>
      <w:r w:rsidR="00FC757B" w:rsidRPr="00833D68">
        <w:rPr>
          <w:lang w:val="fr-FR"/>
        </w:rPr>
        <w:t xml:space="preserve"> figurant à l</w:t>
      </w:r>
      <w:r w:rsidR="000546D3" w:rsidRPr="00833D68">
        <w:rPr>
          <w:lang w:val="fr-FR"/>
        </w:rPr>
        <w:t>’</w:t>
      </w:r>
      <w:r w:rsidR="00FC757B" w:rsidRPr="00833D68">
        <w:rPr>
          <w:lang w:val="fr-FR"/>
        </w:rPr>
        <w:t>annexe</w:t>
      </w:r>
      <w:r w:rsidR="004810A7" w:rsidRPr="00833D68">
        <w:rPr>
          <w:lang w:val="fr-FR"/>
        </w:rPr>
        <w:t> </w:t>
      </w:r>
      <w:r w:rsidR="00FC757B" w:rsidRPr="00833D68">
        <w:rPr>
          <w:lang w:val="fr-FR"/>
        </w:rPr>
        <w:t>II du document PCT/WG/8/15 en vue de leur transmission à l</w:t>
      </w:r>
      <w:r w:rsidR="000546D3" w:rsidRPr="00833D68">
        <w:rPr>
          <w:lang w:val="fr-FR"/>
        </w:rPr>
        <w:t>’</w:t>
      </w:r>
      <w:r w:rsidR="00FC757B" w:rsidRPr="00833D68">
        <w:rPr>
          <w:lang w:val="fr-FR"/>
        </w:rPr>
        <w:t xml:space="preserve">assemblée pour examen à sa prochaine session, en </w:t>
      </w:r>
      <w:r w:rsidR="000546D3" w:rsidRPr="00833D68">
        <w:rPr>
          <w:lang w:val="fr-FR"/>
        </w:rPr>
        <w:t>octobre 20</w:t>
      </w:r>
      <w:r w:rsidR="00FC757B" w:rsidRPr="00833D68">
        <w:rPr>
          <w:lang w:val="fr-FR"/>
        </w:rPr>
        <w:t>15, sous réserve d</w:t>
      </w:r>
      <w:r w:rsidR="000546D3" w:rsidRPr="00833D68">
        <w:rPr>
          <w:lang w:val="fr-FR"/>
        </w:rPr>
        <w:t>’</w:t>
      </w:r>
      <w:r w:rsidR="00FC757B" w:rsidRPr="00833D68">
        <w:rPr>
          <w:lang w:val="fr-FR"/>
        </w:rPr>
        <w:t>éventuelles modifications d</w:t>
      </w:r>
      <w:r w:rsidR="000546D3" w:rsidRPr="00833D68">
        <w:rPr>
          <w:lang w:val="fr-FR"/>
        </w:rPr>
        <w:t>’</w:t>
      </w:r>
      <w:r w:rsidR="00FC757B" w:rsidRPr="00833D68">
        <w:rPr>
          <w:lang w:val="fr-FR"/>
        </w:rPr>
        <w:t>ordre rédactionnel à apporter par le Secrétariat ou, à défaut, la soumission à l</w:t>
      </w:r>
      <w:r w:rsidR="000546D3" w:rsidRPr="00833D68">
        <w:rPr>
          <w:lang w:val="fr-FR"/>
        </w:rPr>
        <w:t>’</w:t>
      </w:r>
      <w:r w:rsidR="00FC757B" w:rsidRPr="00833D68">
        <w:rPr>
          <w:lang w:val="fr-FR"/>
        </w:rPr>
        <w:t>assemblée d</w:t>
      </w:r>
      <w:r w:rsidR="000546D3" w:rsidRPr="00833D68">
        <w:rPr>
          <w:lang w:val="fr-FR"/>
        </w:rPr>
        <w:t>’</w:t>
      </w:r>
      <w:r w:rsidR="00FC757B" w:rsidRPr="00833D68">
        <w:rPr>
          <w:lang w:val="fr-FR"/>
        </w:rPr>
        <w:t>un projet d</w:t>
      </w:r>
      <w:r w:rsidR="000546D3" w:rsidRPr="00833D68">
        <w:rPr>
          <w:lang w:val="fr-FR"/>
        </w:rPr>
        <w:t>’</w:t>
      </w:r>
      <w:r w:rsidR="00FC757B" w:rsidRPr="00833D68">
        <w:rPr>
          <w:lang w:val="fr-FR"/>
        </w:rPr>
        <w:t>accord de principe exposant les modalités de la nouvelle procédure d</w:t>
      </w:r>
      <w:r w:rsidR="000546D3" w:rsidRPr="00833D68">
        <w:rPr>
          <w:lang w:val="fr-FR"/>
        </w:rPr>
        <w:t>’</w:t>
      </w:r>
      <w:r w:rsidR="00FC757B" w:rsidRPr="00833D68">
        <w:rPr>
          <w:lang w:val="fr-FR"/>
        </w:rPr>
        <w:t>établissement des montants équivalents dans les monnaies à couvrir sur la base de taux de couverture pondérés, en vue de son adoption par l</w:t>
      </w:r>
      <w:r w:rsidR="000546D3" w:rsidRPr="00833D68">
        <w:rPr>
          <w:lang w:val="fr-FR"/>
        </w:rPr>
        <w:t>’</w:t>
      </w:r>
      <w:r w:rsidR="00FC757B" w:rsidRPr="00833D68">
        <w:rPr>
          <w:lang w:val="fr-FR"/>
        </w:rPr>
        <w:t>assemblée en même temps que les propositions de modification des directives.</w:t>
      </w:r>
      <w:r w:rsidRPr="00833D68">
        <w:rPr>
          <w:lang w:val="fr-FR"/>
        </w:rPr>
        <w:t>”</w:t>
      </w:r>
    </w:p>
    <w:p w:rsidR="00312643" w:rsidRPr="00833D68" w:rsidRDefault="00FC757B" w:rsidP="00B17F92">
      <w:pPr>
        <w:pStyle w:val="ONUMFS"/>
        <w:rPr>
          <w:lang w:val="fr-FR"/>
        </w:rPr>
      </w:pPr>
      <w:r w:rsidRPr="00833D68">
        <w:rPr>
          <w:lang w:val="fr-FR"/>
        </w:rPr>
        <w:t>Avant la session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octobre 2015 de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 xml:space="preserve">assemblée, le Bureau international a présenté des informations actualisées sur la mise en </w:t>
      </w:r>
      <w:r w:rsidR="00157968" w:rsidRPr="00833D68">
        <w:rPr>
          <w:lang w:val="fr-FR"/>
        </w:rPr>
        <w:t>œuvre</w:t>
      </w:r>
      <w:r w:rsidRPr="00833D68">
        <w:rPr>
          <w:lang w:val="fr-FR"/>
        </w:rPr>
        <w:t xml:space="preserve"> de la stratégie proposée pour couvrir les recettes provenant des taxes</w:t>
      </w:r>
      <w:r w:rsidR="000546D3" w:rsidRPr="00833D68">
        <w:rPr>
          <w:lang w:val="fr-FR"/>
        </w:rPr>
        <w:t xml:space="preserve"> du PCT</w:t>
      </w:r>
      <w:r w:rsidRPr="00833D68">
        <w:rPr>
          <w:lang w:val="fr-FR"/>
        </w:rPr>
        <w:t xml:space="preserve"> à la vingt</w:t>
      </w:r>
      <w:r w:rsidR="00395646" w:rsidRPr="00833D68">
        <w:rPr>
          <w:lang w:val="fr-FR"/>
        </w:rPr>
        <w:noBreakHyphen/>
      </w:r>
      <w:r w:rsidR="003252C2">
        <w:rPr>
          <w:lang w:val="fr-FR"/>
        </w:rPr>
        <w:t>quatr</w:t>
      </w:r>
      <w:r w:rsidRPr="00833D68">
        <w:rPr>
          <w:lang w:val="fr-FR"/>
        </w:rPr>
        <w:t>ième</w:t>
      </w:r>
      <w:r w:rsidR="004810A7" w:rsidRPr="00833D68">
        <w:rPr>
          <w:lang w:val="fr-FR"/>
        </w:rPr>
        <w:t> </w:t>
      </w:r>
      <w:r w:rsidRPr="00833D68">
        <w:rPr>
          <w:lang w:val="fr-FR"/>
        </w:rPr>
        <w:t>session d</w:t>
      </w:r>
      <w:r w:rsidR="003252C2">
        <w:rPr>
          <w:lang w:val="fr-FR"/>
        </w:rPr>
        <w:t>u Comité du programme et budget </w:t>
      </w:r>
      <w:r w:rsidRPr="00833D68">
        <w:rPr>
          <w:lang w:val="fr-FR"/>
        </w:rPr>
        <w:t>(PBC) tenue du 14 au 1</w:t>
      </w:r>
      <w:r w:rsidR="000546D3" w:rsidRPr="00833D68">
        <w:rPr>
          <w:lang w:val="fr-FR"/>
        </w:rPr>
        <w:t>8 septembre 20</w:t>
      </w:r>
      <w:r w:rsidRPr="00833D68">
        <w:rPr>
          <w:lang w:val="fr-FR"/>
        </w:rPr>
        <w:t xml:space="preserve">15, sur la base du document WO/PBC/24/INF.3 </w:t>
      </w:r>
      <w:r w:rsidRPr="00833D68">
        <w:rPr>
          <w:lang w:val="fr-FR"/>
        </w:rPr>
        <w:lastRenderedPageBreak/>
        <w:t>qui recensait plusieurs risques et préoccupations en rapport avec cette stratég</w:t>
      </w:r>
      <w:r w:rsidR="00395646" w:rsidRPr="00833D68">
        <w:rPr>
          <w:lang w:val="fr-FR"/>
        </w:rPr>
        <w:t>ie.  Ap</w:t>
      </w:r>
      <w:r w:rsidRPr="00833D68">
        <w:rPr>
          <w:lang w:val="fr-FR"/>
        </w:rPr>
        <w:t>rès avoir examiné le document,</w:t>
      </w:r>
      <w:r w:rsidR="000546D3" w:rsidRPr="00833D68">
        <w:rPr>
          <w:lang w:val="fr-FR"/>
        </w:rPr>
        <w:t xml:space="preserve"> le PBC</w:t>
      </w:r>
      <w:r w:rsidRPr="00833D68">
        <w:rPr>
          <w:lang w:val="fr-FR"/>
        </w:rPr>
        <w:t xml:space="preserve"> a arrêté la recommandation suivante à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intention de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Assemblée de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Union</w:t>
      </w:r>
      <w:r w:rsidR="000546D3" w:rsidRPr="00833D68">
        <w:rPr>
          <w:lang w:val="fr-FR"/>
        </w:rPr>
        <w:t xml:space="preserve"> du PCT</w:t>
      </w:r>
      <w:r w:rsidRPr="00833D68">
        <w:rPr>
          <w:lang w:val="fr-FR"/>
        </w:rPr>
        <w:t xml:space="preserve"> (voir le document WO/PBC/24/17, sous le point</w:t>
      </w:r>
      <w:r w:rsidR="004810A7" w:rsidRPr="00833D68">
        <w:rPr>
          <w:lang w:val="fr-FR"/>
        </w:rPr>
        <w:t> </w:t>
      </w:r>
      <w:r w:rsidRPr="00833D68">
        <w:rPr>
          <w:lang w:val="fr-FR"/>
        </w:rPr>
        <w:t>10 de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ordre du jour) :</w:t>
      </w:r>
    </w:p>
    <w:p w:rsidR="00312643" w:rsidRPr="00833D68" w:rsidRDefault="00157968" w:rsidP="00EC17BC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33D68">
        <w:rPr>
          <w:lang w:val="fr-FR"/>
        </w:rPr>
        <w:t>“</w:t>
      </w:r>
      <w:r w:rsidR="00EC17BC" w:rsidRPr="00833D68">
        <w:rPr>
          <w:lang w:val="fr-FR"/>
        </w:rPr>
        <w:t>Au regard de la recommandation du Groupe de travail</w:t>
      </w:r>
      <w:r w:rsidR="000546D3" w:rsidRPr="00833D68">
        <w:rPr>
          <w:lang w:val="fr-FR"/>
        </w:rPr>
        <w:t xml:space="preserve"> du PBC</w:t>
      </w:r>
      <w:r w:rsidR="00EC17BC" w:rsidRPr="00833D68">
        <w:rPr>
          <w:lang w:val="fr-FR"/>
        </w:rPr>
        <w:t xml:space="preserve"> figurant dans le document PCT/WG/8/15, le Comité du programme et budget (PBC) a, dans le document WO/PBC/24/INF.3, été informé de plusieurs problèmes relatifs à la mise en œuvre d</w:t>
      </w:r>
      <w:r w:rsidR="000546D3" w:rsidRPr="00833D68">
        <w:rPr>
          <w:lang w:val="fr-FR"/>
        </w:rPr>
        <w:t>’</w:t>
      </w:r>
      <w:r w:rsidR="00EC17BC" w:rsidRPr="00833D68">
        <w:rPr>
          <w:lang w:val="fr-FR"/>
        </w:rPr>
        <w:t>une stratégie de couverture des risques de change pour les recettes</w:t>
      </w:r>
      <w:r w:rsidR="000546D3" w:rsidRPr="00833D68">
        <w:rPr>
          <w:lang w:val="fr-FR"/>
        </w:rPr>
        <w:t xml:space="preserve"> du </w:t>
      </w:r>
      <w:r w:rsidR="00395646" w:rsidRPr="00833D68">
        <w:rPr>
          <w:lang w:val="fr-FR"/>
        </w:rPr>
        <w:t>PCT.  Ap</w:t>
      </w:r>
      <w:r w:rsidR="00EC17BC" w:rsidRPr="00833D68">
        <w:rPr>
          <w:lang w:val="fr-FR"/>
        </w:rPr>
        <w:t>rès avoir examiné attentivement les problèmes soulevés dans ce document,</w:t>
      </w:r>
      <w:r w:rsidR="000546D3" w:rsidRPr="00833D68">
        <w:rPr>
          <w:lang w:val="fr-FR"/>
        </w:rPr>
        <w:t xml:space="preserve"> le PBC</w:t>
      </w:r>
      <w:r w:rsidR="00EC17BC" w:rsidRPr="00833D68">
        <w:rPr>
          <w:lang w:val="fr-FR"/>
        </w:rPr>
        <w:t xml:space="preserve"> a recommandé à l</w:t>
      </w:r>
      <w:r w:rsidR="000546D3" w:rsidRPr="00833D68">
        <w:rPr>
          <w:lang w:val="fr-FR"/>
        </w:rPr>
        <w:t>’</w:t>
      </w:r>
      <w:r w:rsidR="00EC17BC" w:rsidRPr="00833D68">
        <w:rPr>
          <w:lang w:val="fr-FR"/>
        </w:rPr>
        <w:t>Assemblée de l</w:t>
      </w:r>
      <w:r w:rsidR="000546D3" w:rsidRPr="00833D68">
        <w:rPr>
          <w:lang w:val="fr-FR"/>
        </w:rPr>
        <w:t>’</w:t>
      </w:r>
      <w:r w:rsidR="00EC17BC" w:rsidRPr="00833D68">
        <w:rPr>
          <w:lang w:val="fr-FR"/>
        </w:rPr>
        <w:t>Union</w:t>
      </w:r>
      <w:r w:rsidR="000546D3" w:rsidRPr="00833D68">
        <w:rPr>
          <w:lang w:val="fr-FR"/>
        </w:rPr>
        <w:t xml:space="preserve"> du PCT</w:t>
      </w:r>
      <w:r w:rsidR="004810A7" w:rsidRPr="00833D68">
        <w:rPr>
          <w:lang w:val="fr-FR"/>
        </w:rPr>
        <w:t> </w:t>
      </w:r>
      <w:r w:rsidR="00EC17BC" w:rsidRPr="00833D68">
        <w:rPr>
          <w:lang w:val="fr-FR"/>
        </w:rPr>
        <w:t>:</w:t>
      </w:r>
    </w:p>
    <w:p w:rsidR="00312643" w:rsidRPr="00833D68" w:rsidRDefault="00157968" w:rsidP="00EC17BC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833D68">
        <w:rPr>
          <w:lang w:val="fr-FR"/>
        </w:rPr>
        <w:t>“</w:t>
      </w:r>
      <w:r w:rsidR="00EC17BC" w:rsidRPr="00833D68">
        <w:rPr>
          <w:lang w:val="fr-FR"/>
        </w:rPr>
        <w:t>i)</w:t>
      </w:r>
      <w:r w:rsidR="00EC17BC" w:rsidRPr="00833D68">
        <w:rPr>
          <w:lang w:val="fr-FR"/>
        </w:rPr>
        <w:tab/>
        <w:t>d</w:t>
      </w:r>
      <w:r w:rsidR="000546D3" w:rsidRPr="00833D68">
        <w:rPr>
          <w:lang w:val="fr-FR"/>
        </w:rPr>
        <w:t>’</w:t>
      </w:r>
      <w:r w:rsidR="00EC17BC" w:rsidRPr="00833D68">
        <w:rPr>
          <w:lang w:val="fr-FR"/>
        </w:rPr>
        <w:t>accorder au Secrétariat davantage de temps pour analyser ces problèmes en détail afin d</w:t>
      </w:r>
      <w:r w:rsidR="000546D3" w:rsidRPr="00833D68">
        <w:rPr>
          <w:lang w:val="fr-FR"/>
        </w:rPr>
        <w:t>’</w:t>
      </w:r>
      <w:r w:rsidR="00EC17BC" w:rsidRPr="00833D68">
        <w:rPr>
          <w:lang w:val="fr-FR"/>
        </w:rPr>
        <w:t>être en mesure d</w:t>
      </w:r>
      <w:r w:rsidR="000546D3" w:rsidRPr="00833D68">
        <w:rPr>
          <w:lang w:val="fr-FR"/>
        </w:rPr>
        <w:t>’</w:t>
      </w:r>
      <w:r w:rsidR="00EC17BC" w:rsidRPr="00833D68">
        <w:rPr>
          <w:lang w:val="fr-FR"/>
        </w:rPr>
        <w:t>évaluer correctement les difficultés associées à la mise en œuvre de la stratégie de couverture des risques de change;  et, en conséquence,</w:t>
      </w:r>
    </w:p>
    <w:p w:rsidR="00312643" w:rsidRPr="00833D68" w:rsidRDefault="00157968" w:rsidP="00EC17BC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833D68">
        <w:rPr>
          <w:lang w:val="fr-FR"/>
        </w:rPr>
        <w:t>“</w:t>
      </w:r>
      <w:r w:rsidR="00EC17BC" w:rsidRPr="00833D68">
        <w:rPr>
          <w:lang w:val="fr-FR"/>
        </w:rPr>
        <w:t>ii)</w:t>
      </w:r>
      <w:r w:rsidR="00EC17BC" w:rsidRPr="00833D68">
        <w:rPr>
          <w:lang w:val="fr-FR"/>
        </w:rPr>
        <w:tab/>
        <w:t>de reporter sa décision en ce qui concerne la recommandation susmentionnée jusqu</w:t>
      </w:r>
      <w:r w:rsidR="000546D3" w:rsidRPr="00833D68">
        <w:rPr>
          <w:lang w:val="fr-FR"/>
        </w:rPr>
        <w:t>’</w:t>
      </w:r>
      <w:r w:rsidR="00EC17BC" w:rsidRPr="00833D68">
        <w:rPr>
          <w:lang w:val="fr-FR"/>
        </w:rPr>
        <w:t>à ce qu</w:t>
      </w:r>
      <w:r w:rsidR="000546D3" w:rsidRPr="00833D68">
        <w:rPr>
          <w:lang w:val="fr-FR"/>
        </w:rPr>
        <w:t>’</w:t>
      </w:r>
      <w:r w:rsidR="00EC17BC" w:rsidRPr="00833D68">
        <w:rPr>
          <w:lang w:val="fr-FR"/>
        </w:rPr>
        <w:t>il ait été procédé à cette analyse.</w:t>
      </w:r>
      <w:r w:rsidRPr="00833D68">
        <w:rPr>
          <w:lang w:val="fr-FR"/>
        </w:rPr>
        <w:t>”</w:t>
      </w:r>
    </w:p>
    <w:p w:rsidR="000546D3" w:rsidRPr="00833D68" w:rsidRDefault="00EC17BC" w:rsidP="00B17F92">
      <w:pPr>
        <w:pStyle w:val="ONUMFS"/>
        <w:rPr>
          <w:lang w:val="fr-FR"/>
        </w:rPr>
      </w:pPr>
      <w:r w:rsidRPr="00833D68">
        <w:rPr>
          <w:lang w:val="fr-FR"/>
        </w:rPr>
        <w:t>Compte tenu de cette recommandation</w:t>
      </w:r>
      <w:r w:rsidR="000546D3" w:rsidRPr="00833D68">
        <w:rPr>
          <w:lang w:val="fr-FR"/>
        </w:rPr>
        <w:t xml:space="preserve"> du PBC</w:t>
      </w:r>
      <w:r w:rsidRPr="00833D68">
        <w:rPr>
          <w:lang w:val="fr-FR"/>
        </w:rPr>
        <w:t>,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Assemblée de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Union</w:t>
      </w:r>
      <w:r w:rsidR="000546D3" w:rsidRPr="00833D68">
        <w:rPr>
          <w:lang w:val="fr-FR"/>
        </w:rPr>
        <w:t xml:space="preserve"> du PCT</w:t>
      </w:r>
      <w:r w:rsidRPr="00833D68">
        <w:rPr>
          <w:lang w:val="fr-FR"/>
        </w:rPr>
        <w:t>, à sa quarante</w:t>
      </w:r>
      <w:r w:rsidR="00395646" w:rsidRPr="00833D68">
        <w:rPr>
          <w:lang w:val="fr-FR"/>
        </w:rPr>
        <w:noBreakHyphen/>
      </w:r>
      <w:r w:rsidRPr="00833D68">
        <w:rPr>
          <w:lang w:val="fr-FR"/>
        </w:rPr>
        <w:t>septième</w:t>
      </w:r>
      <w:r w:rsidR="004810A7" w:rsidRPr="00833D68">
        <w:rPr>
          <w:lang w:val="fr-FR"/>
        </w:rPr>
        <w:t> </w:t>
      </w:r>
      <w:r w:rsidRPr="00833D68">
        <w:rPr>
          <w:lang w:val="fr-FR"/>
        </w:rPr>
        <w:t>session tenue en octobre 2015, a adopté la décision suivante (voir le document PCT/A/47/5</w:t>
      </w:r>
      <w:r w:rsidR="004810A7" w:rsidRPr="00833D68">
        <w:rPr>
          <w:lang w:val="fr-FR"/>
        </w:rPr>
        <w:t> </w:t>
      </w:r>
      <w:proofErr w:type="spellStart"/>
      <w:r w:rsidRPr="00833D68">
        <w:rPr>
          <w:lang w:val="fr-FR"/>
        </w:rPr>
        <w:t>Rev</w:t>
      </w:r>
      <w:proofErr w:type="spellEnd"/>
      <w:r w:rsidRPr="00833D68">
        <w:rPr>
          <w:lang w:val="fr-FR"/>
        </w:rPr>
        <w:t>. et le paragraphe 23 du rapport sur la session, document PCT/A/47/9) :</w:t>
      </w:r>
    </w:p>
    <w:p w:rsidR="00312643" w:rsidRPr="00833D68" w:rsidRDefault="00157968" w:rsidP="00EC17BC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33D68">
        <w:rPr>
          <w:lang w:val="fr-FR"/>
        </w:rPr>
        <w:t>“</w:t>
      </w:r>
      <w:r w:rsidR="00EC17BC" w:rsidRPr="00833D68">
        <w:rPr>
          <w:lang w:val="fr-FR"/>
        </w:rPr>
        <w:t>23.</w:t>
      </w:r>
      <w:r w:rsidR="00EC17BC" w:rsidRPr="00833D68">
        <w:rPr>
          <w:lang w:val="fr-FR"/>
        </w:rPr>
        <w:tab/>
        <w:t>L</w:t>
      </w:r>
      <w:r w:rsidR="000546D3" w:rsidRPr="00833D68">
        <w:rPr>
          <w:lang w:val="fr-FR"/>
        </w:rPr>
        <w:t>’</w:t>
      </w:r>
      <w:r w:rsidR="00EC17BC" w:rsidRPr="00833D68">
        <w:rPr>
          <w:lang w:val="fr-FR"/>
        </w:rPr>
        <w:t>assemblée</w:t>
      </w:r>
    </w:p>
    <w:p w:rsidR="00312643" w:rsidRPr="00833D68" w:rsidRDefault="00833D68" w:rsidP="00EC17BC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833D68">
        <w:rPr>
          <w:lang w:val="fr-FR"/>
        </w:rPr>
        <w:t>“i</w:t>
      </w:r>
      <w:r w:rsidR="00EC17BC" w:rsidRPr="00833D68">
        <w:rPr>
          <w:lang w:val="fr-FR"/>
        </w:rPr>
        <w:t>)</w:t>
      </w:r>
      <w:r w:rsidR="00EC17BC" w:rsidRPr="00833D68">
        <w:rPr>
          <w:lang w:val="fr-FR"/>
        </w:rPr>
        <w:tab/>
        <w:t>a pris note du contenu du document PCT/A/47/5</w:t>
      </w:r>
      <w:r w:rsidR="004810A7" w:rsidRPr="00833D68">
        <w:rPr>
          <w:lang w:val="fr-FR"/>
        </w:rPr>
        <w:t> </w:t>
      </w:r>
      <w:proofErr w:type="spellStart"/>
      <w:r w:rsidR="00EC17BC" w:rsidRPr="00833D68">
        <w:rPr>
          <w:lang w:val="fr-FR"/>
        </w:rPr>
        <w:t>Rev</w:t>
      </w:r>
      <w:proofErr w:type="spellEnd"/>
      <w:r w:rsidR="00EC17BC" w:rsidRPr="00833D68">
        <w:rPr>
          <w:lang w:val="fr-FR"/>
        </w:rPr>
        <w:t>.,</w:t>
      </w:r>
    </w:p>
    <w:p w:rsidR="00312643" w:rsidRPr="00833D68" w:rsidRDefault="00833D68" w:rsidP="00EC17BC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833D68">
        <w:rPr>
          <w:lang w:val="fr-FR"/>
        </w:rPr>
        <w:t>“i</w:t>
      </w:r>
      <w:r w:rsidR="00EC17BC" w:rsidRPr="00833D68">
        <w:rPr>
          <w:lang w:val="fr-FR"/>
        </w:rPr>
        <w:t>i)</w:t>
      </w:r>
      <w:r w:rsidR="00EC17BC" w:rsidRPr="00833D68">
        <w:rPr>
          <w:lang w:val="fr-FR"/>
        </w:rPr>
        <w:tab/>
        <w:t>a invité le Secrétariat à analyser de manière plus approfondie les questions relatives à la mise en œuvre d</w:t>
      </w:r>
      <w:r w:rsidR="000546D3" w:rsidRPr="00833D68">
        <w:rPr>
          <w:lang w:val="fr-FR"/>
        </w:rPr>
        <w:t>’</w:t>
      </w:r>
      <w:r w:rsidR="00EC17BC" w:rsidRPr="00833D68">
        <w:rPr>
          <w:lang w:val="fr-FR"/>
        </w:rPr>
        <w:t>une stratégie de couverture des risques de change pour les recettes</w:t>
      </w:r>
      <w:r w:rsidR="000546D3" w:rsidRPr="00833D68">
        <w:rPr>
          <w:lang w:val="fr-FR"/>
        </w:rPr>
        <w:t xml:space="preserve"> du PCT</w:t>
      </w:r>
      <w:r w:rsidR="00EC17BC" w:rsidRPr="00833D68">
        <w:rPr>
          <w:lang w:val="fr-FR"/>
        </w:rPr>
        <w:t xml:space="preserve"> exposées dans le document WO/PBC/24/INF.3,</w:t>
      </w:r>
    </w:p>
    <w:p w:rsidR="00312643" w:rsidRPr="00833D68" w:rsidRDefault="00157968" w:rsidP="00EC17BC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833D68">
        <w:rPr>
          <w:lang w:val="fr-FR"/>
        </w:rPr>
        <w:t>“</w:t>
      </w:r>
      <w:r w:rsidR="00EC17BC" w:rsidRPr="00833D68">
        <w:rPr>
          <w:lang w:val="fr-FR"/>
        </w:rPr>
        <w:t>iii)</w:t>
      </w:r>
      <w:r w:rsidR="00EC17BC" w:rsidRPr="00833D68">
        <w:rPr>
          <w:lang w:val="fr-FR"/>
        </w:rPr>
        <w:tab/>
        <w:t>a reporté toute décision sur les propositions de modification des directives de l</w:t>
      </w:r>
      <w:r w:rsidR="000546D3" w:rsidRPr="00833D68">
        <w:rPr>
          <w:lang w:val="fr-FR"/>
        </w:rPr>
        <w:t>’</w:t>
      </w:r>
      <w:r w:rsidR="00EC17BC" w:rsidRPr="00833D68">
        <w:rPr>
          <w:lang w:val="fr-FR"/>
        </w:rPr>
        <w:t>assemblée concernant l</w:t>
      </w:r>
      <w:r w:rsidR="000546D3" w:rsidRPr="00833D68">
        <w:rPr>
          <w:lang w:val="fr-FR"/>
        </w:rPr>
        <w:t>’</w:t>
      </w:r>
      <w:r w:rsidR="00EC17BC" w:rsidRPr="00833D68">
        <w:rPr>
          <w:lang w:val="fr-FR"/>
        </w:rPr>
        <w:t>établissement des montants équivalents de certaines taxes arrêtées par le Groupe de travail</w:t>
      </w:r>
      <w:r w:rsidR="000546D3" w:rsidRPr="00833D68">
        <w:rPr>
          <w:lang w:val="fr-FR"/>
        </w:rPr>
        <w:t xml:space="preserve"> du PCT</w:t>
      </w:r>
      <w:r w:rsidR="00EC17BC" w:rsidRPr="00833D68">
        <w:rPr>
          <w:lang w:val="fr-FR"/>
        </w:rPr>
        <w:t xml:space="preserve"> jusqu</w:t>
      </w:r>
      <w:r w:rsidR="000546D3" w:rsidRPr="00833D68">
        <w:rPr>
          <w:lang w:val="fr-FR"/>
        </w:rPr>
        <w:t>’</w:t>
      </w:r>
      <w:r w:rsidR="00EC17BC" w:rsidRPr="00833D68">
        <w:rPr>
          <w:lang w:val="fr-FR"/>
        </w:rPr>
        <w:t>à ce qu</w:t>
      </w:r>
      <w:r w:rsidR="000546D3" w:rsidRPr="00833D68">
        <w:rPr>
          <w:lang w:val="fr-FR"/>
        </w:rPr>
        <w:t>’</w:t>
      </w:r>
      <w:r w:rsidR="00EC17BC" w:rsidRPr="00833D68">
        <w:rPr>
          <w:lang w:val="fr-FR"/>
        </w:rPr>
        <w:t>il ait été procédé à cette analyse, et</w:t>
      </w:r>
    </w:p>
    <w:p w:rsidR="00312643" w:rsidRPr="00833D68" w:rsidRDefault="00157968" w:rsidP="00EC17BC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833D68">
        <w:rPr>
          <w:lang w:val="fr-FR"/>
        </w:rPr>
        <w:t>“</w:t>
      </w:r>
      <w:r w:rsidR="00EC17BC" w:rsidRPr="00833D68">
        <w:rPr>
          <w:lang w:val="fr-FR"/>
        </w:rPr>
        <w:t>iv)</w:t>
      </w:r>
      <w:r w:rsidR="00EC17BC" w:rsidRPr="00833D68">
        <w:rPr>
          <w:lang w:val="fr-FR"/>
        </w:rPr>
        <w:tab/>
        <w:t>a invité le Secrétariat à soumettre un rapport sur l</w:t>
      </w:r>
      <w:r w:rsidR="000546D3" w:rsidRPr="00833D68">
        <w:rPr>
          <w:lang w:val="fr-FR"/>
        </w:rPr>
        <w:t>’</w:t>
      </w:r>
      <w:r w:rsidR="00EC17BC" w:rsidRPr="00833D68">
        <w:rPr>
          <w:lang w:val="fr-FR"/>
        </w:rPr>
        <w:t>état d</w:t>
      </w:r>
      <w:r w:rsidR="000546D3" w:rsidRPr="00833D68">
        <w:rPr>
          <w:lang w:val="fr-FR"/>
        </w:rPr>
        <w:t>’</w:t>
      </w:r>
      <w:r w:rsidR="00EC17BC" w:rsidRPr="00833D68">
        <w:rPr>
          <w:lang w:val="fr-FR"/>
        </w:rPr>
        <w:t>avancement de cette analyse au Groupe de travail du PCT à sa session de 2016.</w:t>
      </w:r>
      <w:r w:rsidRPr="00833D68">
        <w:rPr>
          <w:lang w:val="fr-FR"/>
        </w:rPr>
        <w:t>”</w:t>
      </w:r>
    </w:p>
    <w:p w:rsidR="00312643" w:rsidRPr="00833D68" w:rsidRDefault="00EC17BC" w:rsidP="00B17F92">
      <w:pPr>
        <w:pStyle w:val="ONUMFS"/>
        <w:rPr>
          <w:lang w:val="fr-FR"/>
        </w:rPr>
      </w:pPr>
      <w:r w:rsidRPr="00833D68">
        <w:rPr>
          <w:lang w:val="fr-FR"/>
        </w:rPr>
        <w:t>Les paragraphes 10 à 17 ci</w:t>
      </w:r>
      <w:r w:rsidR="00395646" w:rsidRPr="00833D68">
        <w:rPr>
          <w:lang w:val="fr-FR"/>
        </w:rPr>
        <w:noBreakHyphen/>
      </w:r>
      <w:r w:rsidRPr="00833D68">
        <w:rPr>
          <w:lang w:val="fr-FR"/>
        </w:rPr>
        <w:t>après contiennent le rapport demandé par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assemblée sur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état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avancement de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 xml:space="preserve">analyse des questions soulevées par la mise en </w:t>
      </w:r>
      <w:r w:rsidR="00157968" w:rsidRPr="00833D68">
        <w:rPr>
          <w:lang w:val="fr-FR"/>
        </w:rPr>
        <w:t>œuvre</w:t>
      </w:r>
      <w:r w:rsidRPr="00833D68">
        <w:rPr>
          <w:lang w:val="fr-FR"/>
        </w:rPr>
        <w:t xml:space="preserve"> éventuelle de la stratégie de couverture des risques de change exposées dans le document WO/PBC/24/INF.3.</w:t>
      </w:r>
    </w:p>
    <w:p w:rsidR="00312643" w:rsidRPr="00833D68" w:rsidRDefault="00EC17BC" w:rsidP="00B17F92">
      <w:pPr>
        <w:pStyle w:val="Heading2"/>
        <w:rPr>
          <w:lang w:val="fr-FR"/>
        </w:rPr>
      </w:pPr>
      <w:r w:rsidRPr="00833D68">
        <w:rPr>
          <w:lang w:val="fr-FR"/>
        </w:rPr>
        <w:t>Rapport sur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état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avancement de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analyse</w:t>
      </w:r>
    </w:p>
    <w:p w:rsidR="00312643" w:rsidRPr="00833D68" w:rsidRDefault="00EC17BC" w:rsidP="00B17F92">
      <w:pPr>
        <w:pStyle w:val="Heading3"/>
        <w:rPr>
          <w:lang w:val="fr-FR"/>
        </w:rPr>
      </w:pPr>
      <w:r w:rsidRPr="00833D68">
        <w:rPr>
          <w:lang w:val="fr-FR"/>
        </w:rPr>
        <w:t>Simulation des contrats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achat à terme</w:t>
      </w:r>
    </w:p>
    <w:p w:rsidR="00B17F92" w:rsidRPr="00833D68" w:rsidRDefault="00B17F92" w:rsidP="00B17F92">
      <w:pPr>
        <w:rPr>
          <w:lang w:val="fr-FR"/>
        </w:rPr>
      </w:pPr>
    </w:p>
    <w:p w:rsidR="00312643" w:rsidRPr="00833D68" w:rsidRDefault="00EC17BC" w:rsidP="00B17F92">
      <w:pPr>
        <w:pStyle w:val="ONUMFS"/>
        <w:rPr>
          <w:lang w:val="fr-FR"/>
        </w:rPr>
      </w:pPr>
      <w:bookmarkStart w:id="5" w:name="_Ref445225184"/>
      <w:r w:rsidRPr="00833D68">
        <w:rPr>
          <w:lang w:val="fr-FR"/>
        </w:rPr>
        <w:t>En novembre 2015, le Bureau international a simulé une procédure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appel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offres pour la vente de yen japonais (JPY), euros (EUR) et dollars des États</w:t>
      </w:r>
      <w:r w:rsidR="00395646" w:rsidRPr="00833D68">
        <w:rPr>
          <w:lang w:val="fr-FR"/>
        </w:rPr>
        <w:noBreakHyphen/>
      </w:r>
      <w:r w:rsidRPr="00833D68">
        <w:rPr>
          <w:lang w:val="fr-FR"/>
        </w:rPr>
        <w:t>Unis (USD) contre des francs suisses (CHF), au moyen de contrats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achat à terme couvrant la période allant de novembre 2015 à décembre 2016.</w:t>
      </w:r>
      <w:r w:rsidR="00050707" w:rsidRPr="00833D68">
        <w:rPr>
          <w:lang w:val="fr-FR"/>
        </w:rPr>
        <w:t xml:space="preserve">  </w:t>
      </w:r>
      <w:r w:rsidRPr="00833D68">
        <w:rPr>
          <w:lang w:val="fr-FR"/>
        </w:rPr>
        <w:t>Cette simulation avait pour objet de mieux appréhender la procédure de conclusion de ces contrats si le Bureau international devait appliquer une stratégie de couverture des risques de chan</w:t>
      </w:r>
      <w:bookmarkEnd w:id="5"/>
      <w:r w:rsidR="00395646" w:rsidRPr="00833D68">
        <w:rPr>
          <w:lang w:val="fr-FR"/>
        </w:rPr>
        <w:t>ge.  El</w:t>
      </w:r>
      <w:r w:rsidR="00BC4133" w:rsidRPr="00833D68">
        <w:rPr>
          <w:lang w:val="fr-FR"/>
        </w:rPr>
        <w:t>le a également permis de recueillir des informations précieuses sur les coûts liés à la passation de ces contrats d</w:t>
      </w:r>
      <w:r w:rsidR="000546D3" w:rsidRPr="00833D68">
        <w:rPr>
          <w:lang w:val="fr-FR"/>
        </w:rPr>
        <w:t>’</w:t>
      </w:r>
      <w:r w:rsidR="00BC4133" w:rsidRPr="00833D68">
        <w:rPr>
          <w:lang w:val="fr-FR"/>
        </w:rPr>
        <w:t>achat à terme.</w:t>
      </w:r>
    </w:p>
    <w:p w:rsidR="00312643" w:rsidRPr="00833D68" w:rsidRDefault="00BC4133" w:rsidP="00B17F92">
      <w:pPr>
        <w:pStyle w:val="Heading3"/>
        <w:rPr>
          <w:lang w:val="fr-FR"/>
        </w:rPr>
      </w:pPr>
      <w:r w:rsidRPr="00833D68">
        <w:rPr>
          <w:lang w:val="fr-FR"/>
        </w:rPr>
        <w:lastRenderedPageBreak/>
        <w:t>Actualisation de la projection des flux de trésorerie par monnaie</w:t>
      </w:r>
    </w:p>
    <w:p w:rsidR="00B17F92" w:rsidRPr="00833D68" w:rsidRDefault="00B17F92" w:rsidP="00B17F92">
      <w:pPr>
        <w:rPr>
          <w:lang w:val="fr-FR"/>
        </w:rPr>
      </w:pPr>
    </w:p>
    <w:p w:rsidR="00312643" w:rsidRPr="00833D68" w:rsidRDefault="00BC4133" w:rsidP="00B17F92">
      <w:pPr>
        <w:pStyle w:val="ONUMFS"/>
        <w:rPr>
          <w:lang w:val="fr-FR"/>
        </w:rPr>
      </w:pPr>
      <w:r w:rsidRPr="00833D68">
        <w:rPr>
          <w:lang w:val="fr-FR"/>
        </w:rPr>
        <w:t>Comme indiqué aux paragraphes 18 à 21 du document WO/PBC/24/INF.3, les recettes perçues par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 xml:space="preserve">OMPI dans chacune des devises (JPY, EUR et USD) sont irrégulières et difficiles à </w:t>
      </w:r>
      <w:r w:rsidR="00395646" w:rsidRPr="00833D68">
        <w:rPr>
          <w:lang w:val="fr-FR"/>
        </w:rPr>
        <w:t>prévoir.  Si</w:t>
      </w:r>
      <w:r w:rsidR="008B3CE9" w:rsidRPr="00833D68">
        <w:rPr>
          <w:lang w:val="fr-FR"/>
        </w:rPr>
        <w:t xml:space="preserve"> le Bureau international devait passer des contrats à terme pour vendre chaque mois un montant prédéterminé dans chacune des devises et que le montant perçu dans une seule de ces monnaies s</w:t>
      </w:r>
      <w:r w:rsidR="000546D3" w:rsidRPr="00833D68">
        <w:rPr>
          <w:lang w:val="fr-FR"/>
        </w:rPr>
        <w:t>’</w:t>
      </w:r>
      <w:r w:rsidR="008B3CE9" w:rsidRPr="00833D68">
        <w:rPr>
          <w:lang w:val="fr-FR"/>
        </w:rPr>
        <w:t>avérait insuffisant à la date d</w:t>
      </w:r>
      <w:r w:rsidR="000546D3" w:rsidRPr="00833D68">
        <w:rPr>
          <w:lang w:val="fr-FR"/>
        </w:rPr>
        <w:t>’</w:t>
      </w:r>
      <w:r w:rsidR="008B3CE9" w:rsidRPr="00833D68">
        <w:rPr>
          <w:lang w:val="fr-FR"/>
        </w:rPr>
        <w:t>échéance, il pourrait en découler des pertes de change liées à la vente de francs suisses ou d</w:t>
      </w:r>
      <w:r w:rsidR="000546D3" w:rsidRPr="00833D68">
        <w:rPr>
          <w:lang w:val="fr-FR"/>
        </w:rPr>
        <w:t>’</w:t>
      </w:r>
      <w:r w:rsidR="008B3CE9" w:rsidRPr="00833D68">
        <w:rPr>
          <w:lang w:val="fr-FR"/>
        </w:rPr>
        <w:t xml:space="preserve">autres devises pour obtenir le montant requis de </w:t>
      </w:r>
      <w:r w:rsidR="00395646" w:rsidRPr="00833D68">
        <w:rPr>
          <w:lang w:val="fr-FR"/>
        </w:rPr>
        <w:t>yen japonais, euros ou dollars des États-Unis.  En</w:t>
      </w:r>
      <w:r w:rsidR="008B3CE9" w:rsidRPr="00833D68">
        <w:rPr>
          <w:lang w:val="fr-FR"/>
        </w:rPr>
        <w:t xml:space="preserve"> outre, la détention de montants en devises autres que le franc suisse supérieurs aux besoins peut entraîner des pertes ou des gains de chan</w:t>
      </w:r>
      <w:r w:rsidR="00395646" w:rsidRPr="00833D68">
        <w:rPr>
          <w:lang w:val="fr-FR"/>
        </w:rPr>
        <w:t>ge.  Le</w:t>
      </w:r>
      <w:r w:rsidR="008B3CE9" w:rsidRPr="00833D68">
        <w:rPr>
          <w:lang w:val="fr-FR"/>
        </w:rPr>
        <w:t xml:space="preserve"> Bureau international suit de près les recettes en devises par date depuis </w:t>
      </w:r>
      <w:r w:rsidR="000546D3" w:rsidRPr="00833D68">
        <w:rPr>
          <w:lang w:val="fr-FR"/>
        </w:rPr>
        <w:t>novembre 20</w:t>
      </w:r>
      <w:r w:rsidR="008B3CE9" w:rsidRPr="00833D68">
        <w:rPr>
          <w:lang w:val="fr-FR"/>
        </w:rPr>
        <w:t>15.</w:t>
      </w:r>
      <w:r w:rsidR="00481C42" w:rsidRPr="00833D68">
        <w:rPr>
          <w:lang w:val="fr-FR"/>
        </w:rPr>
        <w:t xml:space="preserve">  </w:t>
      </w:r>
      <w:r w:rsidR="008B3CE9" w:rsidRPr="00833D68">
        <w:rPr>
          <w:lang w:val="fr-FR"/>
        </w:rPr>
        <w:t>Ces données seront comparées avec celles de</w:t>
      </w:r>
      <w:r w:rsidR="004810A7" w:rsidRPr="00833D68">
        <w:rPr>
          <w:lang w:val="fr-FR"/>
        </w:rPr>
        <w:t> </w:t>
      </w:r>
      <w:r w:rsidR="008B3CE9" w:rsidRPr="00833D68">
        <w:rPr>
          <w:lang w:val="fr-FR"/>
        </w:rPr>
        <w:t>2014</w:t>
      </w:r>
      <w:r w:rsidR="00395646" w:rsidRPr="00833D68">
        <w:rPr>
          <w:lang w:val="fr-FR"/>
        </w:rPr>
        <w:noBreakHyphen/>
      </w:r>
      <w:r w:rsidR="008B3CE9" w:rsidRPr="00833D68">
        <w:rPr>
          <w:lang w:val="fr-FR"/>
        </w:rPr>
        <w:t>2015 pour permettre au Bureau international d</w:t>
      </w:r>
      <w:r w:rsidR="000546D3" w:rsidRPr="00833D68">
        <w:rPr>
          <w:lang w:val="fr-FR"/>
        </w:rPr>
        <w:t>’</w:t>
      </w:r>
      <w:r w:rsidR="008B3CE9" w:rsidRPr="00833D68">
        <w:rPr>
          <w:lang w:val="fr-FR"/>
        </w:rPr>
        <w:t>estimer le montant de chaque devise qu</w:t>
      </w:r>
      <w:r w:rsidR="000546D3" w:rsidRPr="00833D68">
        <w:rPr>
          <w:lang w:val="fr-FR"/>
        </w:rPr>
        <w:t>’</w:t>
      </w:r>
      <w:r w:rsidR="008B3CE9" w:rsidRPr="00833D68">
        <w:rPr>
          <w:lang w:val="fr-FR"/>
        </w:rPr>
        <w:t>il pourrait s</w:t>
      </w:r>
      <w:r w:rsidR="000546D3" w:rsidRPr="00833D68">
        <w:rPr>
          <w:lang w:val="fr-FR"/>
        </w:rPr>
        <w:t>’</w:t>
      </w:r>
      <w:r w:rsidR="008B3CE9" w:rsidRPr="00833D68">
        <w:rPr>
          <w:lang w:val="fr-FR"/>
        </w:rPr>
        <w:t>engager à vendre chaque mois si l</w:t>
      </w:r>
      <w:r w:rsidR="000546D3" w:rsidRPr="00833D68">
        <w:rPr>
          <w:lang w:val="fr-FR"/>
        </w:rPr>
        <w:t>’</w:t>
      </w:r>
      <w:r w:rsidR="008B3CE9" w:rsidRPr="00833D68">
        <w:rPr>
          <w:lang w:val="fr-FR"/>
        </w:rPr>
        <w:t>Assemblée de l</w:t>
      </w:r>
      <w:r w:rsidR="000546D3" w:rsidRPr="00833D68">
        <w:rPr>
          <w:lang w:val="fr-FR"/>
        </w:rPr>
        <w:t>’</w:t>
      </w:r>
      <w:r w:rsidR="008B3CE9" w:rsidRPr="00833D68">
        <w:rPr>
          <w:lang w:val="fr-FR"/>
        </w:rPr>
        <w:t>Union</w:t>
      </w:r>
      <w:r w:rsidR="000546D3" w:rsidRPr="00833D68">
        <w:rPr>
          <w:lang w:val="fr-FR"/>
        </w:rPr>
        <w:t xml:space="preserve"> du PCT</w:t>
      </w:r>
      <w:r w:rsidR="008B3CE9" w:rsidRPr="00833D68">
        <w:rPr>
          <w:lang w:val="fr-FR"/>
        </w:rPr>
        <w:t xml:space="preserve"> décidait de recourir à la couverture des risques de change.</w:t>
      </w:r>
    </w:p>
    <w:p w:rsidR="00312643" w:rsidRPr="00833D68" w:rsidRDefault="008B3CE9" w:rsidP="00B17F92">
      <w:pPr>
        <w:pStyle w:val="ONUMFS"/>
        <w:rPr>
          <w:lang w:val="fr-FR"/>
        </w:rPr>
      </w:pPr>
      <w:r w:rsidRPr="00833D68">
        <w:rPr>
          <w:lang w:val="fr-FR"/>
        </w:rPr>
        <w:t>En outre, comme indiqué dans le document WO/PBC/24/INF.3, la faisabilité de la politique de couverture des risques de change est limitée par la nécessité de disposer de fonds suffisants dans chacune des trois</w:t>
      </w:r>
      <w:r w:rsidR="004810A7" w:rsidRPr="00833D68">
        <w:rPr>
          <w:lang w:val="fr-FR"/>
        </w:rPr>
        <w:t> </w:t>
      </w:r>
      <w:r w:rsidRPr="00833D68">
        <w:rPr>
          <w:lang w:val="fr-FR"/>
        </w:rPr>
        <w:t>monnaies pour couvrir les dépenses prévues dans chaque devise.</w:t>
      </w:r>
      <w:r w:rsidR="000535B1" w:rsidRPr="00833D68">
        <w:rPr>
          <w:lang w:val="fr-FR"/>
        </w:rPr>
        <w:t xml:space="preserve">  </w:t>
      </w:r>
      <w:r w:rsidRPr="00833D68">
        <w:rPr>
          <w:lang w:val="fr-FR"/>
        </w:rPr>
        <w:t>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 xml:space="preserve">OMPI a des dettes importantes à honorer en </w:t>
      </w:r>
      <w:r w:rsidR="00395646" w:rsidRPr="00833D68">
        <w:rPr>
          <w:lang w:val="fr-FR"/>
        </w:rPr>
        <w:t>dollars et en euros.  Il</w:t>
      </w:r>
      <w:r w:rsidRPr="00833D68">
        <w:rPr>
          <w:lang w:val="fr-FR"/>
        </w:rPr>
        <w:t xml:space="preserve"> n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 xml:space="preserve">est par conséquent pas </w:t>
      </w:r>
      <w:r w:rsidR="00157968" w:rsidRPr="00833D68">
        <w:rPr>
          <w:lang w:val="fr-FR"/>
        </w:rPr>
        <w:t>possible</w:t>
      </w:r>
      <w:r w:rsidRPr="00833D68">
        <w:rPr>
          <w:lang w:val="fr-FR"/>
        </w:rPr>
        <w:t xml:space="preserve"> de convertir en </w:t>
      </w:r>
      <w:r w:rsidR="00395646" w:rsidRPr="00833D68">
        <w:rPr>
          <w:lang w:val="fr-FR"/>
        </w:rPr>
        <w:t>francs suisses</w:t>
      </w:r>
      <w:r w:rsidRPr="00833D68">
        <w:rPr>
          <w:lang w:val="fr-FR"/>
        </w:rPr>
        <w:t xml:space="preserve"> la totalité des taxes transmises à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OMPI dans ces devises au moyen de contrats à ter</w:t>
      </w:r>
      <w:r w:rsidR="00395646" w:rsidRPr="00833D68">
        <w:rPr>
          <w:lang w:val="fr-FR"/>
        </w:rPr>
        <w:t>me.  Co</w:t>
      </w:r>
      <w:r w:rsidR="00AC7601" w:rsidRPr="00833D68">
        <w:rPr>
          <w:lang w:val="fr-FR"/>
        </w:rPr>
        <w:t xml:space="preserve">mme indiqué au paragraphe 12 du document WO/PBC/24/INF.3, 45% des recettes en </w:t>
      </w:r>
      <w:r w:rsidR="00395646" w:rsidRPr="00833D68">
        <w:rPr>
          <w:lang w:val="fr-FR"/>
        </w:rPr>
        <w:t>dollars</w:t>
      </w:r>
      <w:r w:rsidR="00AC7601" w:rsidRPr="00833D68">
        <w:rPr>
          <w:lang w:val="fr-FR"/>
        </w:rPr>
        <w:t xml:space="preserve"> et 40% des recettes en </w:t>
      </w:r>
      <w:r w:rsidR="00395646" w:rsidRPr="00833D68">
        <w:rPr>
          <w:lang w:val="fr-FR"/>
        </w:rPr>
        <w:t xml:space="preserve">euros </w:t>
      </w:r>
      <w:r w:rsidR="00AC7601" w:rsidRPr="00833D68">
        <w:rPr>
          <w:lang w:val="fr-FR"/>
        </w:rPr>
        <w:t>sont nécessaires pour faire face aux besoins opérationnels de l</w:t>
      </w:r>
      <w:r w:rsidR="000546D3" w:rsidRPr="00833D68">
        <w:rPr>
          <w:lang w:val="fr-FR"/>
        </w:rPr>
        <w:t>’</w:t>
      </w:r>
      <w:r w:rsidR="00AC7601" w:rsidRPr="00833D68">
        <w:rPr>
          <w:lang w:val="fr-FR"/>
        </w:rPr>
        <w:t>OMPI en</w:t>
      </w:r>
      <w:r w:rsidR="004810A7" w:rsidRPr="00833D68">
        <w:rPr>
          <w:lang w:val="fr-FR"/>
        </w:rPr>
        <w:t> </w:t>
      </w:r>
      <w:r w:rsidR="00AC7601" w:rsidRPr="00833D68">
        <w:rPr>
          <w:lang w:val="fr-FR"/>
        </w:rPr>
        <w:t>2014 et au premier semestre de</w:t>
      </w:r>
      <w:r w:rsidR="004810A7" w:rsidRPr="00833D68">
        <w:rPr>
          <w:lang w:val="fr-FR"/>
        </w:rPr>
        <w:t> </w:t>
      </w:r>
      <w:r w:rsidR="00AC7601" w:rsidRPr="00833D68">
        <w:rPr>
          <w:lang w:val="fr-FR"/>
        </w:rPr>
        <w:t>2015.</w:t>
      </w:r>
      <w:r w:rsidR="006C2B4D" w:rsidRPr="00833D68">
        <w:rPr>
          <w:lang w:val="fr-FR"/>
        </w:rPr>
        <w:t xml:space="preserve">  </w:t>
      </w:r>
      <w:r w:rsidR="00AC7601" w:rsidRPr="00833D68">
        <w:rPr>
          <w:lang w:val="fr-FR"/>
        </w:rPr>
        <w:t>Le suivi de ces besoins se poursuit et les résultats serviront à déterminer l</w:t>
      </w:r>
      <w:r w:rsidR="000546D3" w:rsidRPr="00833D68">
        <w:rPr>
          <w:lang w:val="fr-FR"/>
        </w:rPr>
        <w:t>’</w:t>
      </w:r>
      <w:r w:rsidR="00AC7601" w:rsidRPr="00833D68">
        <w:rPr>
          <w:lang w:val="fr-FR"/>
        </w:rPr>
        <w:t>incidence sur la stratégie de couverture des risques de change.</w:t>
      </w:r>
    </w:p>
    <w:p w:rsidR="00312643" w:rsidRPr="00833D68" w:rsidRDefault="00CF5739" w:rsidP="00B17F92">
      <w:pPr>
        <w:pStyle w:val="Heading3"/>
        <w:rPr>
          <w:lang w:val="fr-FR"/>
        </w:rPr>
      </w:pPr>
      <w:r w:rsidRPr="00833D68">
        <w:rPr>
          <w:lang w:val="fr-FR"/>
        </w:rPr>
        <w:t>Actualisation de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incidence sur les recettes</w:t>
      </w:r>
      <w:r w:rsidR="000546D3" w:rsidRPr="00833D68">
        <w:rPr>
          <w:lang w:val="fr-FR"/>
        </w:rPr>
        <w:t xml:space="preserve"> du PCT</w:t>
      </w:r>
    </w:p>
    <w:p w:rsidR="00B17F92" w:rsidRPr="00833D68" w:rsidRDefault="00B17F92" w:rsidP="00B17F92">
      <w:pPr>
        <w:rPr>
          <w:lang w:val="fr-FR"/>
        </w:rPr>
      </w:pPr>
    </w:p>
    <w:p w:rsidR="00312643" w:rsidRPr="00833D68" w:rsidRDefault="00CF5739" w:rsidP="00B17F92">
      <w:pPr>
        <w:pStyle w:val="ONUMFS"/>
        <w:rPr>
          <w:lang w:val="fr-FR"/>
        </w:rPr>
      </w:pPr>
      <w:r w:rsidRPr="00833D68">
        <w:rPr>
          <w:lang w:val="fr-FR"/>
        </w:rPr>
        <w:t>En vertu du processus actuel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établissement de montants équivalents pour</w:t>
      </w:r>
      <w:r w:rsidR="000546D3" w:rsidRPr="00833D68">
        <w:rPr>
          <w:lang w:val="fr-FR"/>
        </w:rPr>
        <w:t xml:space="preserve"> le PCT</w:t>
      </w:r>
      <w:r w:rsidRPr="00833D68">
        <w:rPr>
          <w:lang w:val="fr-FR"/>
        </w:rPr>
        <w:t>, le Bureau international est en mesure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ajuster périodiquement les montants équivalents des taxes payables en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 xml:space="preserve">autres </w:t>
      </w:r>
      <w:r w:rsidR="00157968" w:rsidRPr="00833D68">
        <w:rPr>
          <w:lang w:val="fr-FR"/>
        </w:rPr>
        <w:t>monnaies</w:t>
      </w:r>
      <w:r w:rsidRPr="00833D68">
        <w:rPr>
          <w:lang w:val="fr-FR"/>
        </w:rPr>
        <w:t xml:space="preserve"> que le franc suisse de façon à les aligner sur le montant de ces taxes établi en francs suisses par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Assemblée de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Union</w:t>
      </w:r>
      <w:r w:rsidR="000546D3" w:rsidRPr="00833D68">
        <w:rPr>
          <w:lang w:val="fr-FR"/>
        </w:rPr>
        <w:t xml:space="preserve"> du </w:t>
      </w:r>
      <w:r w:rsidR="00395646" w:rsidRPr="00833D68">
        <w:rPr>
          <w:lang w:val="fr-FR"/>
        </w:rPr>
        <w:t>PCT.  To</w:t>
      </w:r>
      <w:r w:rsidRPr="00833D68">
        <w:rPr>
          <w:lang w:val="fr-FR"/>
        </w:rPr>
        <w:t>utefois, ainsi qu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il est indiqué au paragraphe 5, selon les modalités de couverture proposées, le montant de chaque taxe payable en dollars des États</w:t>
      </w:r>
      <w:r w:rsidR="00395646" w:rsidRPr="00833D68">
        <w:rPr>
          <w:lang w:val="fr-FR"/>
        </w:rPr>
        <w:noBreakHyphen/>
      </w:r>
      <w:r w:rsidRPr="00833D68">
        <w:rPr>
          <w:lang w:val="fr-FR"/>
        </w:rPr>
        <w:t xml:space="preserve">Unis, en yen japonais et en euros serait fixe, pour une période de </w:t>
      </w:r>
      <w:r w:rsidR="00833D68" w:rsidRPr="00833D68">
        <w:rPr>
          <w:lang w:val="fr-FR"/>
        </w:rPr>
        <w:t>12 </w:t>
      </w:r>
      <w:r w:rsidRPr="00833D68">
        <w:rPr>
          <w:lang w:val="fr-FR"/>
        </w:rPr>
        <w:t xml:space="preserve">mois, sur la </w:t>
      </w:r>
      <w:r w:rsidR="00157968" w:rsidRPr="00833D68">
        <w:rPr>
          <w:lang w:val="fr-FR"/>
        </w:rPr>
        <w:t>base</w:t>
      </w:r>
      <w:r w:rsidRPr="00833D68">
        <w:rPr>
          <w:lang w:val="fr-FR"/>
        </w:rPr>
        <w:t xml:space="preserve"> du taux de change moyen obtenu dans le cadre des contrats à terme,</w:t>
      </w:r>
      <w:r w:rsidR="00395646" w:rsidRPr="00833D68">
        <w:rPr>
          <w:lang w:val="fr-FR"/>
        </w:rPr>
        <w:t xml:space="preserve"> et</w:t>
      </w:r>
      <w:r w:rsidRPr="00833D68">
        <w:rPr>
          <w:lang w:val="fr-FR"/>
        </w:rPr>
        <w:t xml:space="preserve"> pondéré en fonction de la somme à vendre chaque mois (taux de couverture pondéré).</w:t>
      </w:r>
      <w:r w:rsidR="00401552" w:rsidRPr="00833D68">
        <w:rPr>
          <w:lang w:val="fr-FR"/>
        </w:rPr>
        <w:t xml:space="preserve">  </w:t>
      </w:r>
      <w:r w:rsidR="009F223E" w:rsidRPr="00833D68">
        <w:rPr>
          <w:lang w:val="fr-FR"/>
        </w:rPr>
        <w:t>L</w:t>
      </w:r>
      <w:r w:rsidR="000546D3" w:rsidRPr="00833D68">
        <w:rPr>
          <w:lang w:val="fr-FR"/>
        </w:rPr>
        <w:t>’</w:t>
      </w:r>
      <w:r w:rsidR="009F223E" w:rsidRPr="00833D68">
        <w:rPr>
          <w:lang w:val="fr-FR"/>
        </w:rPr>
        <w:t xml:space="preserve">OMPI perdrait ainsi la possibilité de modifier les montants équivalents des taxes pendant les </w:t>
      </w:r>
      <w:r w:rsidR="00833D68" w:rsidRPr="00833D68">
        <w:rPr>
          <w:lang w:val="fr-FR"/>
        </w:rPr>
        <w:t>12 </w:t>
      </w:r>
      <w:r w:rsidR="009F223E" w:rsidRPr="00833D68">
        <w:rPr>
          <w:lang w:val="fr-FR"/>
        </w:rPr>
        <w:t>mois de la période de couverture.</w:t>
      </w:r>
    </w:p>
    <w:p w:rsidR="00312643" w:rsidRPr="00833D68" w:rsidRDefault="009C6673" w:rsidP="00B17F92">
      <w:pPr>
        <w:pStyle w:val="ONUMFS"/>
        <w:rPr>
          <w:lang w:val="fr-FR"/>
        </w:rPr>
      </w:pPr>
      <w:r w:rsidRPr="00833D68">
        <w:rPr>
          <w:lang w:val="fr-FR"/>
        </w:rPr>
        <w:t>Le Bureau international a commencé à analyser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incidence que la nouvelle stratégie aurait sur le montant des recettes provenant des taxes</w:t>
      </w:r>
      <w:r w:rsidR="000546D3" w:rsidRPr="00833D68">
        <w:rPr>
          <w:lang w:val="fr-FR"/>
        </w:rPr>
        <w:t xml:space="preserve"> du PCT</w:t>
      </w:r>
      <w:r w:rsidRPr="00833D68">
        <w:rPr>
          <w:lang w:val="fr-FR"/>
        </w:rPr>
        <w:t xml:space="preserve"> depuis </w:t>
      </w:r>
      <w:r w:rsidR="000546D3" w:rsidRPr="00833D68">
        <w:rPr>
          <w:lang w:val="fr-FR"/>
        </w:rPr>
        <w:t>novembre 20</w:t>
      </w:r>
      <w:r w:rsidRPr="00833D68">
        <w:rPr>
          <w:lang w:val="fr-FR"/>
        </w:rPr>
        <w:t>15, tout en procédant à une estimation de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incidence que celle</w:t>
      </w:r>
      <w:r w:rsidR="00395646" w:rsidRPr="00833D68">
        <w:rPr>
          <w:lang w:val="fr-FR"/>
        </w:rPr>
        <w:noBreakHyphen/>
      </w:r>
      <w:r w:rsidRPr="00833D68">
        <w:rPr>
          <w:lang w:val="fr-FR"/>
        </w:rPr>
        <w:t>ci aurait eu au cours de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exercice biennal</w:t>
      </w:r>
      <w:r w:rsidR="004810A7" w:rsidRPr="00833D68">
        <w:rPr>
          <w:lang w:val="fr-FR"/>
        </w:rPr>
        <w:t> </w:t>
      </w:r>
      <w:r w:rsidRPr="00833D68">
        <w:rPr>
          <w:lang w:val="fr-FR"/>
        </w:rPr>
        <w:t>2014</w:t>
      </w:r>
      <w:r w:rsidR="00395646" w:rsidRPr="00833D68">
        <w:rPr>
          <w:lang w:val="fr-FR"/>
        </w:rPr>
        <w:noBreakHyphen/>
      </w:r>
      <w:r w:rsidRPr="00833D68">
        <w:rPr>
          <w:lang w:val="fr-FR"/>
        </w:rPr>
        <w:t>2015.</w:t>
      </w:r>
      <w:r w:rsidR="00401552" w:rsidRPr="00833D68">
        <w:rPr>
          <w:lang w:val="fr-FR"/>
        </w:rPr>
        <w:t xml:space="preserve">  </w:t>
      </w:r>
      <w:r w:rsidRPr="00833D68">
        <w:rPr>
          <w:lang w:val="fr-FR"/>
        </w:rPr>
        <w:t>Cette analyse sera essentielle pour permettre aux États membres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appréhender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 xml:space="preserve">incidence potentielle de la stratégie envisagée de couverture des risques de change </w:t>
      </w:r>
      <w:r w:rsidR="00395646" w:rsidRPr="00833D68">
        <w:rPr>
          <w:lang w:val="fr-FR"/>
        </w:rPr>
        <w:t>sur</w:t>
      </w:r>
      <w:r w:rsidRPr="00833D68">
        <w:rPr>
          <w:lang w:val="fr-FR"/>
        </w:rPr>
        <w:t xml:space="preserve"> les recettes provenant des taxes</w:t>
      </w:r>
      <w:r w:rsidR="000546D3" w:rsidRPr="00833D68">
        <w:rPr>
          <w:lang w:val="fr-FR"/>
        </w:rPr>
        <w:t xml:space="preserve"> du PCT</w:t>
      </w:r>
      <w:r w:rsidRPr="00833D68">
        <w:rPr>
          <w:lang w:val="fr-FR"/>
        </w:rPr>
        <w:t xml:space="preserve"> et, partant, sur le budget de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Organisation dans son ensemble.</w:t>
      </w:r>
    </w:p>
    <w:p w:rsidR="00312643" w:rsidRPr="00833D68" w:rsidRDefault="00444DDA" w:rsidP="00B17F92">
      <w:pPr>
        <w:pStyle w:val="Heading3"/>
        <w:rPr>
          <w:lang w:val="fr-FR"/>
        </w:rPr>
      </w:pPr>
      <w:r w:rsidRPr="00833D68">
        <w:rPr>
          <w:lang w:val="fr-FR"/>
        </w:rPr>
        <w:t>Élaboration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une matrice pour suivre les ajustements de change selon les normes</w:t>
      </w:r>
      <w:r w:rsidR="004810A7" w:rsidRPr="00833D68">
        <w:rPr>
          <w:lang w:val="fr-FR"/>
        </w:rPr>
        <w:t> </w:t>
      </w:r>
      <w:r w:rsidRPr="00833D68">
        <w:rPr>
          <w:lang w:val="fr-FR"/>
        </w:rPr>
        <w:t>IPSAS</w:t>
      </w:r>
    </w:p>
    <w:p w:rsidR="00B17F92" w:rsidRPr="00833D68" w:rsidRDefault="00B17F92" w:rsidP="00B17F92">
      <w:pPr>
        <w:rPr>
          <w:lang w:val="fr-FR"/>
        </w:rPr>
      </w:pPr>
    </w:p>
    <w:p w:rsidR="00312643" w:rsidRPr="00833D68" w:rsidRDefault="00444DDA" w:rsidP="00B17F92">
      <w:pPr>
        <w:pStyle w:val="ONUMFS"/>
        <w:rPr>
          <w:lang w:val="fr-FR"/>
        </w:rPr>
      </w:pPr>
      <w:r w:rsidRPr="00833D68">
        <w:rPr>
          <w:lang w:val="fr-FR"/>
        </w:rPr>
        <w:t>Les normes comptables internationales pour le secteur public (normes</w:t>
      </w:r>
      <w:r w:rsidR="004810A7" w:rsidRPr="00833D68">
        <w:rPr>
          <w:lang w:val="fr-FR"/>
        </w:rPr>
        <w:t> </w:t>
      </w:r>
      <w:r w:rsidRPr="00833D68">
        <w:rPr>
          <w:lang w:val="fr-FR"/>
        </w:rPr>
        <w:t>IPSAS) contiennent des règles importantes concernant la manière dont il convient de comptabiliser les gains et pertes de change dans les états financiers de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OMPI.</w:t>
      </w:r>
      <w:r w:rsidR="00DA0AD2" w:rsidRPr="00833D68">
        <w:rPr>
          <w:lang w:val="fr-FR"/>
        </w:rPr>
        <w:t xml:space="preserve">  </w:t>
      </w:r>
      <w:r w:rsidR="007F3A2B" w:rsidRPr="00833D68">
        <w:rPr>
          <w:lang w:val="fr-FR"/>
        </w:rPr>
        <w:t>L</w:t>
      </w:r>
      <w:r w:rsidR="000546D3" w:rsidRPr="00833D68">
        <w:rPr>
          <w:lang w:val="fr-FR"/>
        </w:rPr>
        <w:t>’</w:t>
      </w:r>
      <w:r w:rsidR="007F3A2B" w:rsidRPr="00833D68">
        <w:rPr>
          <w:lang w:val="fr-FR"/>
        </w:rPr>
        <w:t xml:space="preserve">application de ces règles est </w:t>
      </w:r>
      <w:r w:rsidR="007F3A2B" w:rsidRPr="00833D68">
        <w:rPr>
          <w:lang w:val="fr-FR"/>
        </w:rPr>
        <w:lastRenderedPageBreak/>
        <w:t>encore compliquée par la nécessité d</w:t>
      </w:r>
      <w:r w:rsidR="000546D3" w:rsidRPr="00833D68">
        <w:rPr>
          <w:lang w:val="fr-FR"/>
        </w:rPr>
        <w:t>’</w:t>
      </w:r>
      <w:r w:rsidR="007F3A2B" w:rsidRPr="00833D68">
        <w:rPr>
          <w:lang w:val="fr-FR"/>
        </w:rPr>
        <w:t>utiliser le taux de change opérationnel de l</w:t>
      </w:r>
      <w:r w:rsidR="000546D3" w:rsidRPr="00833D68">
        <w:rPr>
          <w:lang w:val="fr-FR"/>
        </w:rPr>
        <w:t>’</w:t>
      </w:r>
      <w:r w:rsidR="007F3A2B" w:rsidRPr="00833D68">
        <w:rPr>
          <w:lang w:val="fr-FR"/>
        </w:rPr>
        <w:t xml:space="preserve">Organisation des </w:t>
      </w:r>
      <w:r w:rsidR="000546D3" w:rsidRPr="00833D68">
        <w:rPr>
          <w:lang w:val="fr-FR"/>
        </w:rPr>
        <w:t>Nations Unies</w:t>
      </w:r>
      <w:r w:rsidR="007F3A2B" w:rsidRPr="00833D68">
        <w:rPr>
          <w:lang w:val="fr-FR"/>
        </w:rPr>
        <w:t xml:space="preserve"> pour comptabiliser les transactions dans des monnaies autres que le franc suisse, étant donné que ce taux est fixé une </w:t>
      </w:r>
      <w:r w:rsidR="00395646" w:rsidRPr="00833D68">
        <w:rPr>
          <w:lang w:val="fr-FR"/>
        </w:rPr>
        <w:t>voire</w:t>
      </w:r>
      <w:r w:rsidR="007F3A2B" w:rsidRPr="00833D68">
        <w:rPr>
          <w:lang w:val="fr-FR"/>
        </w:rPr>
        <w:t xml:space="preserve"> deux</w:t>
      </w:r>
      <w:r w:rsidR="004810A7" w:rsidRPr="00833D68">
        <w:rPr>
          <w:lang w:val="fr-FR"/>
        </w:rPr>
        <w:t> </w:t>
      </w:r>
      <w:r w:rsidR="007F3A2B" w:rsidRPr="00833D68">
        <w:rPr>
          <w:lang w:val="fr-FR"/>
        </w:rPr>
        <w:t>fois par mois alors que les taux utilisés par les établissements bancaires sont arrêtés sur une base journalière, voire plusieurs fois par jo</w:t>
      </w:r>
      <w:r w:rsidR="00395646" w:rsidRPr="00833D68">
        <w:rPr>
          <w:lang w:val="fr-FR"/>
        </w:rPr>
        <w:t>ur.  Il</w:t>
      </w:r>
      <w:r w:rsidR="007F3A2B" w:rsidRPr="00833D68">
        <w:rPr>
          <w:lang w:val="fr-FR"/>
        </w:rPr>
        <w:t xml:space="preserve"> y a donc entre les taux bancaires et le taux de l</w:t>
      </w:r>
      <w:r w:rsidR="000546D3" w:rsidRPr="00833D68">
        <w:rPr>
          <w:lang w:val="fr-FR"/>
        </w:rPr>
        <w:t>’</w:t>
      </w:r>
      <w:r w:rsidR="007F3A2B" w:rsidRPr="00833D68">
        <w:rPr>
          <w:lang w:val="fr-FR"/>
        </w:rPr>
        <w:t>ONU</w:t>
      </w:r>
      <w:r w:rsidR="00395646" w:rsidRPr="00833D68">
        <w:rPr>
          <w:lang w:val="fr-FR"/>
        </w:rPr>
        <w:t xml:space="preserve"> des différences</w:t>
      </w:r>
      <w:r w:rsidR="007F3A2B" w:rsidRPr="00833D68">
        <w:rPr>
          <w:lang w:val="fr-FR"/>
        </w:rPr>
        <w:t xml:space="preserve"> qui donnent lieu à des écarts qui doivent être pris en considération dans les comptes.</w:t>
      </w:r>
    </w:p>
    <w:p w:rsidR="00312643" w:rsidRPr="00833D68" w:rsidRDefault="007F3A2B" w:rsidP="00B17F92">
      <w:pPr>
        <w:pStyle w:val="ONUMFS"/>
        <w:rPr>
          <w:lang w:val="fr-FR"/>
        </w:rPr>
      </w:pPr>
      <w:r w:rsidRPr="00833D68">
        <w:rPr>
          <w:lang w:val="fr-FR"/>
        </w:rPr>
        <w:t>Une matrice a été élaborée avec le concours de consultants pour permettre au Bureau international de consigner sur une feuille de calcul unique tous les ajustements de change que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Organisation devrait comptabiliser, ainsi que leur incidence sur les recettes et les dépenses ainsi que la valeur de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actif et du pass</w:t>
      </w:r>
      <w:r w:rsidR="00395646" w:rsidRPr="00833D68">
        <w:rPr>
          <w:lang w:val="fr-FR"/>
        </w:rPr>
        <w:t>if.  Le</w:t>
      </w:r>
      <w:r w:rsidRPr="00833D68">
        <w:rPr>
          <w:lang w:val="fr-FR"/>
        </w:rPr>
        <w:t xml:space="preserve"> Bureau international utilise cette matrice depuis </w:t>
      </w:r>
      <w:r w:rsidR="000546D3" w:rsidRPr="00833D68">
        <w:rPr>
          <w:lang w:val="fr-FR"/>
        </w:rPr>
        <w:t>novembre 20</w:t>
      </w:r>
      <w:r w:rsidRPr="00833D68">
        <w:rPr>
          <w:lang w:val="fr-FR"/>
        </w:rPr>
        <w:t>15 déterminera ensuite les ajustements qui auraient été nécessaires s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il avait procédé à la couverture des risques de change de novembre 2014 à octobre 2015.</w:t>
      </w:r>
    </w:p>
    <w:p w:rsidR="00312643" w:rsidRPr="00833D68" w:rsidRDefault="00FF6322" w:rsidP="00395646">
      <w:pPr>
        <w:pStyle w:val="Heading3"/>
        <w:rPr>
          <w:lang w:val="fr-FR"/>
        </w:rPr>
      </w:pPr>
      <w:r w:rsidRPr="00833D68">
        <w:rPr>
          <w:lang w:val="fr-FR"/>
        </w:rPr>
        <w:t>Mesures à prendre</w:t>
      </w:r>
    </w:p>
    <w:p w:rsidR="00B17F92" w:rsidRPr="00833D68" w:rsidRDefault="00B17F92" w:rsidP="00B17F92">
      <w:pPr>
        <w:rPr>
          <w:lang w:val="fr-FR"/>
        </w:rPr>
      </w:pPr>
    </w:p>
    <w:p w:rsidR="00312643" w:rsidRPr="00833D68" w:rsidRDefault="00FF6322" w:rsidP="00B17F92">
      <w:pPr>
        <w:pStyle w:val="ONUMFS"/>
        <w:rPr>
          <w:lang w:val="fr-FR"/>
        </w:rPr>
      </w:pPr>
      <w:bookmarkStart w:id="6" w:name="_Ref445465948"/>
      <w:bookmarkStart w:id="7" w:name="_Ref445225198"/>
      <w:r w:rsidRPr="00833D68">
        <w:rPr>
          <w:lang w:val="fr-FR"/>
        </w:rPr>
        <w:t>Le Bureau international a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intention de s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assurer les services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un consultant externe, qui est en cours de recrutement, pour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 xml:space="preserve">aider notamment dans la mise en </w:t>
      </w:r>
      <w:r w:rsidR="00157968" w:rsidRPr="00833D68">
        <w:rPr>
          <w:lang w:val="fr-FR"/>
        </w:rPr>
        <w:t>œuvre</w:t>
      </w:r>
      <w:r w:rsidRPr="00833D68">
        <w:rPr>
          <w:lang w:val="fr-FR"/>
        </w:rPr>
        <w:t xml:space="preserve"> de la nouvelle politique en matière de placements ainsi que sur les questions de change et une éventuelle stratégie en matière de couverture des risques dans ce domai</w:t>
      </w:r>
      <w:bookmarkEnd w:id="6"/>
      <w:r w:rsidR="00395646" w:rsidRPr="00833D68">
        <w:rPr>
          <w:lang w:val="fr-FR"/>
        </w:rPr>
        <w:t>ne.  Le</w:t>
      </w:r>
      <w:r w:rsidRPr="00833D68">
        <w:rPr>
          <w:lang w:val="fr-FR"/>
        </w:rPr>
        <w:t>s candidatures ont été passées en revue et le consultant devrait être sélectionné courant mars 2016.</w:t>
      </w:r>
    </w:p>
    <w:p w:rsidR="00312643" w:rsidRPr="00833D68" w:rsidRDefault="000D505D" w:rsidP="00B17F92">
      <w:pPr>
        <w:pStyle w:val="ONUMFS"/>
        <w:rPr>
          <w:lang w:val="fr-FR"/>
        </w:rPr>
      </w:pPr>
      <w:r w:rsidRPr="00833D68">
        <w:rPr>
          <w:lang w:val="fr-FR"/>
        </w:rPr>
        <w:t>Avec le concours du consultant externe, le Bureau international analysera soigneusement les projections relatives aux flux de trésorerie et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incidence de montants équivalents fixes pour les recettes</w:t>
      </w:r>
      <w:r w:rsidR="000546D3" w:rsidRPr="00833D68">
        <w:rPr>
          <w:lang w:val="fr-FR"/>
        </w:rPr>
        <w:t xml:space="preserve"> du PCT</w:t>
      </w:r>
      <w:r w:rsidRPr="00833D68">
        <w:rPr>
          <w:lang w:val="fr-FR"/>
        </w:rPr>
        <w:t xml:space="preserve"> dans les trois</w:t>
      </w:r>
      <w:r w:rsidR="004810A7" w:rsidRPr="00833D68">
        <w:rPr>
          <w:lang w:val="fr-FR"/>
        </w:rPr>
        <w:t> </w:t>
      </w:r>
      <w:r w:rsidRPr="00833D68">
        <w:rPr>
          <w:lang w:val="fr-FR"/>
        </w:rPr>
        <w:t>devis</w:t>
      </w:r>
      <w:bookmarkEnd w:id="7"/>
      <w:r w:rsidR="00395646" w:rsidRPr="00833D68">
        <w:rPr>
          <w:lang w:val="fr-FR"/>
        </w:rPr>
        <w:t>es.  Il</w:t>
      </w:r>
      <w:r w:rsidR="00C72643" w:rsidRPr="00833D68">
        <w:rPr>
          <w:lang w:val="fr-FR"/>
        </w:rPr>
        <w:t xml:space="preserve"> utilisera les résultats de cette analyse et les enseignements tirés de la simulation des contrats d</w:t>
      </w:r>
      <w:r w:rsidR="000546D3" w:rsidRPr="00833D68">
        <w:rPr>
          <w:lang w:val="fr-FR"/>
        </w:rPr>
        <w:t>’</w:t>
      </w:r>
      <w:r w:rsidR="00C72643" w:rsidRPr="00833D68">
        <w:rPr>
          <w:lang w:val="fr-FR"/>
        </w:rPr>
        <w:t>achat à terme et du suivi des ajustements de change à opérer conformément aux normes</w:t>
      </w:r>
      <w:r w:rsidR="004810A7" w:rsidRPr="00833D68">
        <w:rPr>
          <w:lang w:val="fr-FR"/>
        </w:rPr>
        <w:t> </w:t>
      </w:r>
      <w:r w:rsidR="00C72643" w:rsidRPr="00833D68">
        <w:rPr>
          <w:lang w:val="fr-FR"/>
        </w:rPr>
        <w:t>IPSAS pour soumettre au groupe de travail</w:t>
      </w:r>
      <w:r w:rsidR="00395646" w:rsidRPr="00833D68">
        <w:rPr>
          <w:lang w:val="fr-FR"/>
        </w:rPr>
        <w:t>,</w:t>
      </w:r>
      <w:r w:rsidR="00C72643" w:rsidRPr="00833D68">
        <w:rPr>
          <w:lang w:val="fr-FR"/>
        </w:rPr>
        <w:t xml:space="preserve"> pour examen à sa session de</w:t>
      </w:r>
      <w:r w:rsidR="004810A7" w:rsidRPr="00833D68">
        <w:rPr>
          <w:lang w:val="fr-FR"/>
        </w:rPr>
        <w:t> </w:t>
      </w:r>
      <w:r w:rsidR="00C72643" w:rsidRPr="00833D68">
        <w:rPr>
          <w:lang w:val="fr-FR"/>
        </w:rPr>
        <w:t>2017</w:t>
      </w:r>
      <w:r w:rsidR="00395646" w:rsidRPr="00833D68">
        <w:rPr>
          <w:lang w:val="fr-FR"/>
        </w:rPr>
        <w:t>,</w:t>
      </w:r>
      <w:r w:rsidR="00C72643" w:rsidRPr="00833D68">
        <w:rPr>
          <w:lang w:val="fr-FR"/>
        </w:rPr>
        <w:t xml:space="preserve"> une proposition sur la question de savoir s</w:t>
      </w:r>
      <w:r w:rsidR="000546D3" w:rsidRPr="00833D68">
        <w:rPr>
          <w:lang w:val="fr-FR"/>
        </w:rPr>
        <w:t>’</w:t>
      </w:r>
      <w:r w:rsidR="00C72643" w:rsidRPr="00833D68">
        <w:rPr>
          <w:lang w:val="fr-FR"/>
        </w:rPr>
        <w:t xml:space="preserve">il convient ou non de mettre en </w:t>
      </w:r>
      <w:r w:rsidR="00157968" w:rsidRPr="00833D68">
        <w:rPr>
          <w:lang w:val="fr-FR"/>
        </w:rPr>
        <w:t>œuvre</w:t>
      </w:r>
      <w:r w:rsidR="00C72643" w:rsidRPr="00833D68">
        <w:rPr>
          <w:lang w:val="fr-FR"/>
        </w:rPr>
        <w:t xml:space="preserve"> une stratégie de couverture des risques de change.</w:t>
      </w:r>
    </w:p>
    <w:p w:rsidR="00312643" w:rsidRPr="00833D68" w:rsidRDefault="00C72643" w:rsidP="00B17F92">
      <w:pPr>
        <w:pStyle w:val="Heading1"/>
        <w:rPr>
          <w:lang w:val="fr-FR"/>
        </w:rPr>
      </w:pPr>
      <w:r w:rsidRPr="00833D68">
        <w:rPr>
          <w:lang w:val="fr-FR"/>
        </w:rPr>
        <w:t>Adoption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 xml:space="preserve">une </w:t>
      </w:r>
      <w:r w:rsidR="00157968" w:rsidRPr="00833D68">
        <w:rPr>
          <w:lang w:val="fr-FR"/>
        </w:rPr>
        <w:t>“</w:t>
      </w:r>
      <w:r w:rsidRPr="00833D68">
        <w:rPr>
          <w:lang w:val="fr-FR"/>
        </w:rPr>
        <w:t>structure de compensation</w:t>
      </w:r>
      <w:r w:rsidR="00157968" w:rsidRPr="00833D68">
        <w:rPr>
          <w:lang w:val="fr-FR"/>
        </w:rPr>
        <w:t>”</w:t>
      </w:r>
      <w:r w:rsidRPr="00833D68">
        <w:rPr>
          <w:lang w:val="fr-FR"/>
        </w:rPr>
        <w:t xml:space="preserve"> pour le transfert des taxes</w:t>
      </w:r>
    </w:p>
    <w:p w:rsidR="00312643" w:rsidRPr="00833D68" w:rsidRDefault="00B17F92" w:rsidP="00B17F92">
      <w:pPr>
        <w:pStyle w:val="Heading2"/>
        <w:rPr>
          <w:lang w:val="fr-FR"/>
        </w:rPr>
      </w:pPr>
      <w:r w:rsidRPr="00833D68">
        <w:rPr>
          <w:lang w:val="fr-FR"/>
        </w:rPr>
        <w:t xml:space="preserve">Définition </w:t>
      </w:r>
      <w:r w:rsidR="00C72643" w:rsidRPr="00833D68">
        <w:rPr>
          <w:lang w:val="fr-FR"/>
        </w:rPr>
        <w:t>de la compensation</w:t>
      </w:r>
    </w:p>
    <w:p w:rsidR="00B17F92" w:rsidRPr="00833D68" w:rsidRDefault="00B17F92" w:rsidP="00B17F92">
      <w:pPr>
        <w:rPr>
          <w:lang w:val="fr-FR"/>
        </w:rPr>
      </w:pPr>
    </w:p>
    <w:p w:rsidR="00312643" w:rsidRPr="00833D68" w:rsidRDefault="00C72643" w:rsidP="00B17F92">
      <w:pPr>
        <w:pStyle w:val="ONUMFS"/>
        <w:rPr>
          <w:lang w:val="fr-FR"/>
        </w:rPr>
      </w:pPr>
      <w:r w:rsidRPr="00833D68">
        <w:rPr>
          <w:lang w:val="fr-FR"/>
        </w:rPr>
        <w:t xml:space="preserve">La </w:t>
      </w:r>
      <w:r w:rsidR="00157968" w:rsidRPr="00833D68">
        <w:rPr>
          <w:lang w:val="fr-FR"/>
        </w:rPr>
        <w:t>“</w:t>
      </w:r>
      <w:r w:rsidRPr="00833D68">
        <w:rPr>
          <w:lang w:val="fr-FR"/>
        </w:rPr>
        <w:t>compensation</w:t>
      </w:r>
      <w:r w:rsidR="00157968" w:rsidRPr="00833D68">
        <w:rPr>
          <w:lang w:val="fr-FR"/>
        </w:rPr>
        <w:t>”</w:t>
      </w:r>
      <w:r w:rsidRPr="00833D68">
        <w:rPr>
          <w:lang w:val="fr-FR"/>
        </w:rPr>
        <w:t xml:space="preserve"> est un mécanisme de règlement utilisé pour permettre de compenser une valeur positive (paiement) et une valeur négative (créance) en annulant les deux</w:t>
      </w:r>
      <w:r w:rsidR="004810A7" w:rsidRPr="00833D68">
        <w:rPr>
          <w:lang w:val="fr-FR"/>
        </w:rPr>
        <w:t> </w:t>
      </w:r>
      <w:r w:rsidRPr="00833D68">
        <w:rPr>
          <w:lang w:val="fr-FR"/>
        </w:rPr>
        <w:t>en tout ou en part</w:t>
      </w:r>
      <w:r w:rsidR="00395646" w:rsidRPr="00833D68">
        <w:rPr>
          <w:lang w:val="fr-FR"/>
        </w:rPr>
        <w:t>ie.  Le</w:t>
      </w:r>
      <w:r w:rsidRPr="00833D68">
        <w:rPr>
          <w:lang w:val="fr-FR"/>
        </w:rPr>
        <w:t xml:space="preserve"> processus de compensation consolide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 xml:space="preserve">ensemble des transactions entre les participants et calcule le règlement entre eux sur la base du </w:t>
      </w:r>
      <w:r w:rsidR="00157968" w:rsidRPr="00833D68">
        <w:rPr>
          <w:lang w:val="fr-FR"/>
        </w:rPr>
        <w:t>“</w:t>
      </w:r>
      <w:r w:rsidRPr="00833D68">
        <w:rPr>
          <w:lang w:val="fr-FR"/>
        </w:rPr>
        <w:t>solde net</w:t>
      </w:r>
      <w:r w:rsidR="00157968" w:rsidRPr="00833D68">
        <w:rPr>
          <w:lang w:val="fr-FR"/>
        </w:rPr>
        <w:t>”</w:t>
      </w:r>
      <w:r w:rsidRPr="00833D68">
        <w:rPr>
          <w:lang w:val="fr-FR"/>
        </w:rPr>
        <w:t>, le plus souvent au moyen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un seul paiement ou encaisseme</w:t>
      </w:r>
      <w:r w:rsidR="00395646" w:rsidRPr="00833D68">
        <w:rPr>
          <w:lang w:val="fr-FR"/>
        </w:rPr>
        <w:t>nt.  L’a</w:t>
      </w:r>
      <w:r w:rsidR="00023785" w:rsidRPr="00833D68">
        <w:rPr>
          <w:lang w:val="fr-FR"/>
        </w:rPr>
        <w:t>dministration du processus de compensation s</w:t>
      </w:r>
      <w:r w:rsidR="000546D3" w:rsidRPr="00833D68">
        <w:rPr>
          <w:lang w:val="fr-FR"/>
        </w:rPr>
        <w:t>’</w:t>
      </w:r>
      <w:r w:rsidR="00023785" w:rsidRPr="00833D68">
        <w:rPr>
          <w:lang w:val="fr-FR"/>
        </w:rPr>
        <w:t>effectue au moyen d</w:t>
      </w:r>
      <w:r w:rsidR="000546D3" w:rsidRPr="00833D68">
        <w:rPr>
          <w:lang w:val="fr-FR"/>
        </w:rPr>
        <w:t>’</w:t>
      </w:r>
      <w:r w:rsidR="00023785" w:rsidRPr="00833D68">
        <w:rPr>
          <w:lang w:val="fr-FR"/>
        </w:rPr>
        <w:t>un logiciel spécialisé.</w:t>
      </w:r>
    </w:p>
    <w:p w:rsidR="000546D3" w:rsidRPr="00833D68" w:rsidRDefault="00B45ED9" w:rsidP="00B17F92">
      <w:pPr>
        <w:pStyle w:val="ONUMFS"/>
        <w:rPr>
          <w:lang w:val="fr-FR"/>
        </w:rPr>
      </w:pPr>
      <w:r w:rsidRPr="00833D68">
        <w:rPr>
          <w:lang w:val="fr-FR"/>
        </w:rPr>
        <w:t>Une procédure de compensation possible pour les taxes</w:t>
      </w:r>
      <w:r w:rsidR="000546D3" w:rsidRPr="00833D68">
        <w:rPr>
          <w:lang w:val="fr-FR"/>
        </w:rPr>
        <w:t xml:space="preserve"> du PCT</w:t>
      </w:r>
      <w:r w:rsidRPr="00833D68">
        <w:rPr>
          <w:lang w:val="fr-FR"/>
        </w:rPr>
        <w:t xml:space="preserve"> consisterait à faire en sorte que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office récepteur transfère la taxe internationale de dépôt et la taxe de recherche des déposants au Bureau internation</w:t>
      </w:r>
      <w:r w:rsidR="00395646" w:rsidRPr="00833D68">
        <w:rPr>
          <w:lang w:val="fr-FR"/>
        </w:rPr>
        <w:t>al.  La</w:t>
      </w:r>
      <w:r w:rsidRPr="00833D68">
        <w:rPr>
          <w:lang w:val="fr-FR"/>
        </w:rPr>
        <w:t xml:space="preserve"> taxe de recherche serait ensuite transférée par le Bureau international à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administration chargée de la recherche internationa</w:t>
      </w:r>
      <w:r w:rsidR="00395646" w:rsidRPr="00833D68">
        <w:rPr>
          <w:lang w:val="fr-FR"/>
        </w:rPr>
        <w:t>le.  Le</w:t>
      </w:r>
      <w:r w:rsidRPr="00833D68">
        <w:rPr>
          <w:lang w:val="fr-FR"/>
        </w:rPr>
        <w:t xml:space="preserve"> transfert des taxes par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office récepteur aurait généralement lieu sur une base mensuelle à une date prédéterminée et s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effectuerait dans la monnaie locale dans laquelle les taxes ont été prélevées si celle</w:t>
      </w:r>
      <w:r w:rsidR="00395646" w:rsidRPr="00833D68">
        <w:rPr>
          <w:lang w:val="fr-FR"/>
        </w:rPr>
        <w:noBreakHyphen/>
      </w:r>
      <w:r w:rsidRPr="00833D68">
        <w:rPr>
          <w:lang w:val="fr-FR"/>
        </w:rPr>
        <w:t>ci est librement convertible en francs suiss</w:t>
      </w:r>
      <w:r w:rsidR="00395646" w:rsidRPr="00833D68">
        <w:rPr>
          <w:lang w:val="fr-FR"/>
        </w:rPr>
        <w:t>es.  S’a</w:t>
      </w:r>
      <w:r w:rsidRPr="00833D68">
        <w:rPr>
          <w:lang w:val="fr-FR"/>
        </w:rPr>
        <w:t>gissant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un office récepteur qui agit également en qualité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administration chargée de la recherche internationale, pour chaque devise, le montant versé correspondrait à la différence entre la somme totale des taxes de dépôt international perçues en sa qualité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office récepteur (que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 xml:space="preserve">office récepteur </w:t>
      </w:r>
      <w:r w:rsidR="00157968" w:rsidRPr="00833D68">
        <w:rPr>
          <w:lang w:val="fr-FR"/>
        </w:rPr>
        <w:t>“</w:t>
      </w:r>
      <w:r w:rsidRPr="00833D68">
        <w:rPr>
          <w:lang w:val="fr-FR"/>
        </w:rPr>
        <w:t>doit</w:t>
      </w:r>
      <w:r w:rsidR="00157968" w:rsidRPr="00833D68">
        <w:rPr>
          <w:lang w:val="fr-FR"/>
        </w:rPr>
        <w:t>”</w:t>
      </w:r>
      <w:r w:rsidRPr="00833D68">
        <w:rPr>
          <w:lang w:val="fr-FR"/>
        </w:rPr>
        <w:t xml:space="preserve"> au Bureau international) et la somme totale des taxes de recherche payables à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 xml:space="preserve">administration chargée de la recherche internationale (que le Bureau international </w:t>
      </w:r>
      <w:r w:rsidR="00157968" w:rsidRPr="00833D68">
        <w:rPr>
          <w:lang w:val="fr-FR"/>
        </w:rPr>
        <w:t>“</w:t>
      </w:r>
      <w:r w:rsidRPr="00833D68">
        <w:rPr>
          <w:lang w:val="fr-FR"/>
        </w:rPr>
        <w:t>doit</w:t>
      </w:r>
      <w:r w:rsidR="00157968" w:rsidRPr="00833D68">
        <w:rPr>
          <w:lang w:val="fr-FR"/>
        </w:rPr>
        <w:t>”</w:t>
      </w:r>
      <w:r w:rsidRPr="00833D68">
        <w:rPr>
          <w:lang w:val="fr-FR"/>
        </w:rPr>
        <w:t xml:space="preserve"> à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 xml:space="preserve">administration </w:t>
      </w:r>
      <w:r w:rsidRPr="00833D68">
        <w:rPr>
          <w:lang w:val="fr-FR"/>
        </w:rPr>
        <w:lastRenderedPageBreak/>
        <w:t>chargée de la recherche internationa</w:t>
      </w:r>
      <w:r w:rsidR="00395646" w:rsidRPr="00833D68">
        <w:rPr>
          <w:lang w:val="fr-FR"/>
        </w:rPr>
        <w:t>le).  En</w:t>
      </w:r>
      <w:r w:rsidR="00697F23" w:rsidRPr="00833D68">
        <w:rPr>
          <w:lang w:val="fr-FR"/>
        </w:rPr>
        <w:t xml:space="preserve"> cas de solde net en faveur de l</w:t>
      </w:r>
      <w:r w:rsidR="000546D3" w:rsidRPr="00833D68">
        <w:rPr>
          <w:lang w:val="fr-FR"/>
        </w:rPr>
        <w:t>’</w:t>
      </w:r>
      <w:r w:rsidR="00697F23" w:rsidRPr="00833D68">
        <w:rPr>
          <w:lang w:val="fr-FR"/>
        </w:rPr>
        <w:t>administration chargée de la recherche internationale dans une monnaie donnée, le Bureau international, à bref délai après réception du paiement de l</w:t>
      </w:r>
      <w:r w:rsidR="000546D3" w:rsidRPr="00833D68">
        <w:rPr>
          <w:lang w:val="fr-FR"/>
        </w:rPr>
        <w:t>’</w:t>
      </w:r>
      <w:r w:rsidR="00697F23" w:rsidRPr="00833D68">
        <w:rPr>
          <w:lang w:val="fr-FR"/>
        </w:rPr>
        <w:t>office récepteur, transférerait ce montant à l</w:t>
      </w:r>
      <w:r w:rsidR="000546D3" w:rsidRPr="00833D68">
        <w:rPr>
          <w:lang w:val="fr-FR"/>
        </w:rPr>
        <w:t>’</w:t>
      </w:r>
      <w:r w:rsidR="00697F23" w:rsidRPr="00833D68">
        <w:rPr>
          <w:lang w:val="fr-FR"/>
        </w:rPr>
        <w:t>administration chargée de la recherche internationale, accompagné des informations de paiement nécessaires</w:t>
      </w:r>
      <w:r w:rsidR="00395646" w:rsidRPr="00833D68">
        <w:rPr>
          <w:lang w:val="fr-FR"/>
        </w:rPr>
        <w:t xml:space="preserve"> émanant</w:t>
      </w:r>
      <w:r w:rsidR="00697F23" w:rsidRPr="00833D68">
        <w:rPr>
          <w:lang w:val="fr-FR"/>
        </w:rPr>
        <w:t xml:space="preserve"> de l</w:t>
      </w:r>
      <w:r w:rsidR="000546D3" w:rsidRPr="00833D68">
        <w:rPr>
          <w:lang w:val="fr-FR"/>
        </w:rPr>
        <w:t>’</w:t>
      </w:r>
      <w:r w:rsidR="00697F23" w:rsidRPr="00833D68">
        <w:rPr>
          <w:lang w:val="fr-FR"/>
        </w:rPr>
        <w:t>office récepte</w:t>
      </w:r>
      <w:r w:rsidR="00395646" w:rsidRPr="00833D68">
        <w:rPr>
          <w:lang w:val="fr-FR"/>
        </w:rPr>
        <w:t>ur.  L’a</w:t>
      </w:r>
      <w:r w:rsidR="00756F52" w:rsidRPr="00833D68">
        <w:rPr>
          <w:lang w:val="fr-FR"/>
        </w:rPr>
        <w:t>dministration d</w:t>
      </w:r>
      <w:r w:rsidR="000546D3" w:rsidRPr="00833D68">
        <w:rPr>
          <w:lang w:val="fr-FR"/>
        </w:rPr>
        <w:t>’</w:t>
      </w:r>
      <w:r w:rsidR="00756F52" w:rsidRPr="00833D68">
        <w:rPr>
          <w:lang w:val="fr-FR"/>
        </w:rPr>
        <w:t xml:space="preserve">une </w:t>
      </w:r>
      <w:r w:rsidR="00157968" w:rsidRPr="00833D68">
        <w:rPr>
          <w:lang w:val="fr-FR"/>
        </w:rPr>
        <w:t>“</w:t>
      </w:r>
      <w:r w:rsidR="00756F52" w:rsidRPr="00833D68">
        <w:rPr>
          <w:lang w:val="fr-FR"/>
        </w:rPr>
        <w:t>structure de compensation</w:t>
      </w:r>
      <w:r w:rsidR="00157968" w:rsidRPr="00833D68">
        <w:rPr>
          <w:lang w:val="fr-FR"/>
        </w:rPr>
        <w:t>”</w:t>
      </w:r>
      <w:r w:rsidR="00756F52" w:rsidRPr="00833D68">
        <w:rPr>
          <w:lang w:val="fr-FR"/>
        </w:rPr>
        <w:t xml:space="preserve"> avec paiement centralisé des taxes</w:t>
      </w:r>
      <w:r w:rsidR="000546D3" w:rsidRPr="00833D68">
        <w:rPr>
          <w:lang w:val="fr-FR"/>
        </w:rPr>
        <w:t xml:space="preserve"> du PCT</w:t>
      </w:r>
      <w:r w:rsidR="00756F52" w:rsidRPr="00833D68">
        <w:rPr>
          <w:lang w:val="fr-FR"/>
        </w:rPr>
        <w:t xml:space="preserve"> nécessiterait donc un échéancier de </w:t>
      </w:r>
      <w:r w:rsidR="00157968" w:rsidRPr="00833D68">
        <w:rPr>
          <w:lang w:val="fr-FR"/>
        </w:rPr>
        <w:t>paiement</w:t>
      </w:r>
      <w:r w:rsidR="00756F52" w:rsidRPr="00833D68">
        <w:rPr>
          <w:lang w:val="fr-FR"/>
        </w:rPr>
        <w:t xml:space="preserve"> régulier entre le Bureau international et les offices concern</w:t>
      </w:r>
      <w:r w:rsidR="00395646" w:rsidRPr="00833D68">
        <w:rPr>
          <w:lang w:val="fr-FR"/>
        </w:rPr>
        <w:t>és.  On</w:t>
      </w:r>
      <w:r w:rsidR="00756F52" w:rsidRPr="00833D68">
        <w:rPr>
          <w:lang w:val="fr-FR"/>
        </w:rPr>
        <w:t xml:space="preserve"> trouvera de plus amples informations sur la </w:t>
      </w:r>
      <w:r w:rsidR="00157968" w:rsidRPr="00833D68">
        <w:rPr>
          <w:lang w:val="fr-FR"/>
        </w:rPr>
        <w:t>“</w:t>
      </w:r>
      <w:r w:rsidR="00756F52" w:rsidRPr="00833D68">
        <w:rPr>
          <w:lang w:val="fr-FR"/>
        </w:rPr>
        <w:t>compensation</w:t>
      </w:r>
      <w:r w:rsidR="00157968" w:rsidRPr="00833D68">
        <w:rPr>
          <w:lang w:val="fr-FR"/>
        </w:rPr>
        <w:t>”</w:t>
      </w:r>
      <w:r w:rsidR="00756F52" w:rsidRPr="00833D68">
        <w:rPr>
          <w:lang w:val="fr-FR"/>
        </w:rPr>
        <w:t xml:space="preserve"> aux paragraphes 37 à 44 de l</w:t>
      </w:r>
      <w:r w:rsidR="000546D3" w:rsidRPr="00833D68">
        <w:rPr>
          <w:lang w:val="fr-FR"/>
        </w:rPr>
        <w:t>’</w:t>
      </w:r>
      <w:r w:rsidR="00756F52" w:rsidRPr="00833D68">
        <w:rPr>
          <w:lang w:val="fr-FR"/>
        </w:rPr>
        <w:t>annexe I du document PCT/WG/8/15.</w:t>
      </w:r>
    </w:p>
    <w:p w:rsidR="000546D3" w:rsidRPr="00833D68" w:rsidRDefault="00756F52" w:rsidP="00B17F92">
      <w:pPr>
        <w:pStyle w:val="ONUMFS"/>
        <w:rPr>
          <w:lang w:val="fr-FR"/>
        </w:rPr>
      </w:pPr>
      <w:r w:rsidRPr="00833D68">
        <w:rPr>
          <w:lang w:val="fr-FR"/>
        </w:rPr>
        <w:t xml:space="preserve">En vertu de la </w:t>
      </w:r>
      <w:r w:rsidR="00157968" w:rsidRPr="00833D68">
        <w:rPr>
          <w:lang w:val="fr-FR"/>
        </w:rPr>
        <w:t>“</w:t>
      </w:r>
      <w:r w:rsidRPr="00833D68">
        <w:rPr>
          <w:lang w:val="fr-FR"/>
        </w:rPr>
        <w:t>structure de compensation</w:t>
      </w:r>
      <w:r w:rsidR="00157968" w:rsidRPr="00833D68">
        <w:rPr>
          <w:lang w:val="fr-FR"/>
        </w:rPr>
        <w:t>”</w:t>
      </w:r>
      <w:r w:rsidRPr="00833D68">
        <w:rPr>
          <w:lang w:val="fr-FR"/>
        </w:rPr>
        <w:t xml:space="preserve"> envisagée, il ne serait plus nécessaire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utiliser la procédure prévue à la règle 16.1.e), étant donné que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 xml:space="preserve">administration chargée de la recherche internationale recevrait toujours le montant intégral de la taxe de recherche dans la monnaie déterminée par </w:t>
      </w:r>
      <w:r w:rsidR="00157968" w:rsidRPr="00833D68">
        <w:rPr>
          <w:lang w:val="fr-FR"/>
        </w:rPr>
        <w:t>elle</w:t>
      </w:r>
      <w:r w:rsidRPr="00833D68">
        <w:rPr>
          <w:lang w:val="fr-FR"/>
        </w:rPr>
        <w:t>.</w:t>
      </w:r>
    </w:p>
    <w:p w:rsidR="00312643" w:rsidRDefault="00756F52" w:rsidP="00B17F92">
      <w:pPr>
        <w:pStyle w:val="Heading2"/>
        <w:rPr>
          <w:lang w:val="fr-FR"/>
        </w:rPr>
      </w:pPr>
      <w:r w:rsidRPr="00833D68">
        <w:rPr>
          <w:lang w:val="fr-FR"/>
        </w:rPr>
        <w:t>Examen de la question par le groupe de travail</w:t>
      </w:r>
    </w:p>
    <w:p w:rsidR="00833D68" w:rsidRPr="00833D68" w:rsidRDefault="00833D68" w:rsidP="00833D68">
      <w:pPr>
        <w:rPr>
          <w:lang w:val="fr-FR"/>
        </w:rPr>
      </w:pPr>
    </w:p>
    <w:p w:rsidR="00312643" w:rsidRPr="00833D68" w:rsidRDefault="00157968" w:rsidP="00B17F92">
      <w:pPr>
        <w:pStyle w:val="ONUMFS"/>
        <w:rPr>
          <w:lang w:val="fr-FR"/>
        </w:rPr>
      </w:pPr>
      <w:r w:rsidRPr="00833D68">
        <w:rPr>
          <w:lang w:val="fr-FR"/>
        </w:rPr>
        <w:t>Comme indiqué au paragraphe 13 du document PCT/WG/8/15, présenté à la huitième</w:t>
      </w:r>
      <w:r w:rsidR="004810A7" w:rsidRPr="00833D68">
        <w:rPr>
          <w:lang w:val="fr-FR"/>
        </w:rPr>
        <w:t> </w:t>
      </w:r>
      <w:r w:rsidRPr="00833D68">
        <w:rPr>
          <w:lang w:val="fr-FR"/>
        </w:rPr>
        <w:t>session du groupe de travail tenue en mai 2015, le Bureau international avait indiqué qu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il développerait la proposition relative à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adoption éventuelle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une “structure de compensation” pour toutes les transactions portant sur les taxes</w:t>
      </w:r>
      <w:r w:rsidR="000546D3" w:rsidRPr="00833D68">
        <w:rPr>
          <w:lang w:val="fr-FR"/>
        </w:rPr>
        <w:t xml:space="preserve"> du PCT</w:t>
      </w:r>
      <w:r w:rsidRPr="00833D68">
        <w:rPr>
          <w:lang w:val="fr-FR"/>
        </w:rPr>
        <w:t xml:space="preserve"> effectuées entre les offices récepteurs, les administrations chargées de la recherche internationale et le Bureau international, compte tenu des observations soulevées en réponse à la circulaire C. PCT 1440, en vue de présenter une proposition détaillée pour examen par le groupe de travail à sa session suivante, en</w:t>
      </w:r>
      <w:r w:rsidR="004810A7" w:rsidRPr="00833D68">
        <w:rPr>
          <w:lang w:val="fr-FR"/>
        </w:rPr>
        <w:t> </w:t>
      </w:r>
      <w:r w:rsidRPr="00833D68">
        <w:rPr>
          <w:lang w:val="fr-FR"/>
        </w:rPr>
        <w:t>2016.</w:t>
      </w:r>
      <w:r w:rsidR="00DC75BA" w:rsidRPr="00833D68">
        <w:rPr>
          <w:lang w:val="fr-FR"/>
        </w:rPr>
        <w:t xml:space="preserve">  </w:t>
      </w:r>
      <w:r w:rsidRPr="00833D68">
        <w:rPr>
          <w:lang w:val="fr-FR"/>
        </w:rPr>
        <w:t>Les discussions sur la question de la “compensation” qui ont eu lieu à la huitième</w:t>
      </w:r>
      <w:r w:rsidR="004810A7" w:rsidRPr="00833D68">
        <w:rPr>
          <w:lang w:val="fr-FR"/>
        </w:rPr>
        <w:t> </w:t>
      </w:r>
      <w:r w:rsidRPr="00833D68">
        <w:rPr>
          <w:lang w:val="fr-FR"/>
        </w:rPr>
        <w:t>session du groupe de travail sont récapitulées aux paragraphes 32 à 34 du résumé présenté par le président (document PCT/WG/8/25) :</w:t>
      </w:r>
    </w:p>
    <w:p w:rsidR="00312643" w:rsidRPr="00833D68" w:rsidRDefault="00157968" w:rsidP="0015796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33D68">
        <w:rPr>
          <w:lang w:val="fr-FR"/>
        </w:rPr>
        <w:t>“32.</w:t>
      </w:r>
      <w:r w:rsidRPr="00833D68">
        <w:rPr>
          <w:lang w:val="fr-FR"/>
        </w:rPr>
        <w:tab/>
        <w:t>Plusieurs délégations ont exprimé leur appui de principe à la proposition relative à la mise en place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une “structure de compensation” pour toutes les transactions touchant les taxes</w:t>
      </w:r>
      <w:r w:rsidR="000546D3" w:rsidRPr="00833D68">
        <w:rPr>
          <w:lang w:val="fr-FR"/>
        </w:rPr>
        <w:t xml:space="preserve"> du PCT</w:t>
      </w:r>
      <w:r w:rsidRPr="00833D68">
        <w:rPr>
          <w:lang w:val="fr-FR"/>
        </w:rPr>
        <w:t xml:space="preserve"> entre les offices récepteurs, les administrations chargées de la recherche internationale et le Bureau international, tout en indiquant qu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il convenait de disposer de davantage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informations avant de pouvoir se prononcer sur la question.</w:t>
      </w:r>
    </w:p>
    <w:p w:rsidR="00312643" w:rsidRPr="00833D68" w:rsidRDefault="00157968" w:rsidP="0015796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33D68">
        <w:rPr>
          <w:lang w:val="fr-FR"/>
        </w:rPr>
        <w:t>“33.</w:t>
      </w:r>
      <w:r w:rsidRPr="00833D68">
        <w:rPr>
          <w:lang w:val="fr-FR"/>
        </w:rPr>
        <w:tab/>
        <w:t>Une délégation a déclaré qu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elle n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était pas en mesure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appuyer cette proposition de compensation, craignant qu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elle ne se traduise par un surcroît de travail pour les offices récepteurs.</w:t>
      </w:r>
    </w:p>
    <w:p w:rsidR="00312643" w:rsidRPr="00833D68" w:rsidRDefault="00157968" w:rsidP="00157968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833D68">
        <w:rPr>
          <w:lang w:val="fr-FR"/>
        </w:rPr>
        <w:t>“34.</w:t>
      </w:r>
      <w:r w:rsidRPr="00833D68">
        <w:rPr>
          <w:lang w:val="fr-FR"/>
        </w:rPr>
        <w:tab/>
        <w:t>Une délégation a formé le vœu qu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une telle structure de compensation puisse être mise en place rapidement, évoquant les résultats positifs qu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elle retirait, en qualité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administration chargée de la recherche internationale,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un projet pilote en cours dans le cadre duquel elle recevait les taxes de recherche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un office récepteur “via” le Bureau internation</w:t>
      </w:r>
      <w:r w:rsidR="00395646" w:rsidRPr="00833D68">
        <w:rPr>
          <w:lang w:val="fr-FR"/>
        </w:rPr>
        <w:t>al.  El</w:t>
      </w:r>
      <w:r w:rsidRPr="00833D68">
        <w:rPr>
          <w:lang w:val="fr-FR"/>
        </w:rPr>
        <w:t>le estimait en outre que le plus avantageux serait de combiner cette structure de compensation avec la transmission électronique des copies de recherche entre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office récepteur et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administration chargée de la recherche internationale “via” le Bureau international (</w:t>
      </w:r>
      <w:proofErr w:type="spellStart"/>
      <w:r w:rsidRPr="00833D68">
        <w:rPr>
          <w:lang w:val="fr-FR"/>
        </w:rPr>
        <w:t>eSearchCopy</w:t>
      </w:r>
      <w:proofErr w:type="spellEnd"/>
      <w:r w:rsidRPr="00833D68">
        <w:rPr>
          <w:lang w:val="fr-FR"/>
        </w:rPr>
        <w:t>).”</w:t>
      </w:r>
    </w:p>
    <w:p w:rsidR="00312643" w:rsidRPr="00833D68" w:rsidRDefault="00157968" w:rsidP="00B17F92">
      <w:pPr>
        <w:pStyle w:val="Heading2"/>
        <w:rPr>
          <w:lang w:val="fr-FR"/>
        </w:rPr>
      </w:pPr>
      <w:r w:rsidRPr="00833D68">
        <w:rPr>
          <w:lang w:val="fr-FR"/>
        </w:rPr>
        <w:t>faits nouveaux</w:t>
      </w:r>
    </w:p>
    <w:p w:rsidR="00B17F92" w:rsidRPr="00833D68" w:rsidRDefault="00B17F92" w:rsidP="00B17F92">
      <w:pPr>
        <w:rPr>
          <w:lang w:val="fr-FR"/>
        </w:rPr>
      </w:pPr>
    </w:p>
    <w:p w:rsidR="00312643" w:rsidRPr="00833D68" w:rsidRDefault="00157968" w:rsidP="00B17F92">
      <w:pPr>
        <w:pStyle w:val="ONUMFS"/>
        <w:rPr>
          <w:lang w:val="fr-FR"/>
        </w:rPr>
      </w:pPr>
      <w:r w:rsidRPr="00833D68">
        <w:rPr>
          <w:lang w:val="fr-FR"/>
        </w:rPr>
        <w:t>Tout progrès concernant l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éventuelle adoption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une “struct</w:t>
      </w:r>
      <w:bookmarkStart w:id="8" w:name="_GoBack"/>
      <w:bookmarkEnd w:id="8"/>
      <w:r w:rsidRPr="00833D68">
        <w:rPr>
          <w:lang w:val="fr-FR"/>
        </w:rPr>
        <w:t>ure de compensation” est subordonné au recrutement du consultant dont il est question au paragraphe 17, dont le mandat comprendra une analyse détaillée des incidences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 xml:space="preserve">une telle structure pour </w:t>
      </w:r>
      <w:r w:rsidR="00833D68" w:rsidRPr="00833D68">
        <w:rPr>
          <w:lang w:val="fr-FR"/>
        </w:rPr>
        <w:t>toutes</w:t>
      </w:r>
      <w:r w:rsidRPr="00833D68">
        <w:rPr>
          <w:lang w:val="fr-FR"/>
        </w:rPr>
        <w:t xml:space="preserve"> les transactions portant sur les taxes</w:t>
      </w:r>
      <w:r w:rsidR="000546D3" w:rsidRPr="00833D68">
        <w:rPr>
          <w:lang w:val="fr-FR"/>
        </w:rPr>
        <w:t xml:space="preserve"> du PCT</w:t>
      </w:r>
      <w:r w:rsidRPr="00833D68">
        <w:rPr>
          <w:lang w:val="fr-FR"/>
        </w:rPr>
        <w:t xml:space="preserve"> entre les offices récepteurs, les administrations chargées de la recherche internationale et le Bureau international.</w:t>
      </w:r>
    </w:p>
    <w:p w:rsidR="000546D3" w:rsidRPr="00833D68" w:rsidRDefault="00157968" w:rsidP="00B17F92">
      <w:pPr>
        <w:pStyle w:val="ONUMFS"/>
        <w:rPr>
          <w:lang w:val="fr-FR"/>
        </w:rPr>
      </w:pPr>
      <w:r w:rsidRPr="00833D68">
        <w:rPr>
          <w:lang w:val="fr-FR"/>
        </w:rPr>
        <w:lastRenderedPageBreak/>
        <w:t xml:space="preserve">Le Bureau international utilisera les résultats de cette analyse pour soumettre au groupe </w:t>
      </w:r>
      <w:r w:rsidR="00B17F92" w:rsidRPr="00833D68">
        <w:rPr>
          <w:lang w:val="fr-FR"/>
        </w:rPr>
        <w:t xml:space="preserve">de travail </w:t>
      </w:r>
      <w:r w:rsidRPr="00833D68">
        <w:rPr>
          <w:lang w:val="fr-FR"/>
        </w:rPr>
        <w:t>à sa session de</w:t>
      </w:r>
      <w:r w:rsidR="004810A7" w:rsidRPr="00833D68">
        <w:rPr>
          <w:lang w:val="fr-FR"/>
        </w:rPr>
        <w:t> </w:t>
      </w:r>
      <w:r w:rsidRPr="00833D68">
        <w:rPr>
          <w:lang w:val="fr-FR"/>
        </w:rPr>
        <w:t>2017</w:t>
      </w:r>
      <w:r w:rsidR="00B17F92" w:rsidRPr="00833D68">
        <w:rPr>
          <w:lang w:val="fr-FR"/>
        </w:rPr>
        <w:t>,</w:t>
      </w:r>
      <w:r w:rsidRPr="00833D68">
        <w:rPr>
          <w:lang w:val="fr-FR"/>
        </w:rPr>
        <w:t xml:space="preserve"> une proposition sur la question de savoir s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il convient ou non d</w:t>
      </w:r>
      <w:r w:rsidR="000546D3" w:rsidRPr="00833D68">
        <w:rPr>
          <w:lang w:val="fr-FR"/>
        </w:rPr>
        <w:t>’</w:t>
      </w:r>
      <w:r w:rsidRPr="00833D68">
        <w:rPr>
          <w:lang w:val="fr-FR"/>
        </w:rPr>
        <w:t>adopter une telle structure de compensation.</w:t>
      </w:r>
    </w:p>
    <w:p w:rsidR="00312643" w:rsidRPr="00833D68" w:rsidRDefault="00157968" w:rsidP="00B17F92">
      <w:pPr>
        <w:pStyle w:val="ONUMFS"/>
        <w:ind w:left="5533"/>
        <w:rPr>
          <w:i/>
          <w:lang w:val="fr-FR"/>
        </w:rPr>
      </w:pPr>
      <w:r w:rsidRPr="00833D68">
        <w:rPr>
          <w:i/>
          <w:lang w:val="fr-FR"/>
        </w:rPr>
        <w:t>Le groupe de travail est invité à prendre note du contenu du présent document.</w:t>
      </w:r>
    </w:p>
    <w:p w:rsidR="00312643" w:rsidRPr="00833D68" w:rsidRDefault="00312643" w:rsidP="00B17F92">
      <w:pPr>
        <w:rPr>
          <w:lang w:val="fr-FR"/>
        </w:rPr>
      </w:pPr>
    </w:p>
    <w:p w:rsidR="00B17F92" w:rsidRPr="00833D68" w:rsidRDefault="00B17F92" w:rsidP="00B17F92">
      <w:pPr>
        <w:rPr>
          <w:lang w:val="fr-FR"/>
        </w:rPr>
      </w:pPr>
    </w:p>
    <w:p w:rsidR="00312643" w:rsidRPr="00833D68" w:rsidRDefault="00157968" w:rsidP="00157968">
      <w:pPr>
        <w:pStyle w:val="ONUME"/>
        <w:numPr>
          <w:ilvl w:val="0"/>
          <w:numId w:val="0"/>
        </w:numPr>
        <w:ind w:left="5533"/>
        <w:rPr>
          <w:lang w:val="fr-FR"/>
        </w:rPr>
      </w:pPr>
      <w:r w:rsidRPr="00833D68">
        <w:rPr>
          <w:lang w:val="fr-FR"/>
        </w:rPr>
        <w:t>[Fin du document]</w:t>
      </w:r>
    </w:p>
    <w:sectPr w:rsidR="00312643" w:rsidRPr="00833D68" w:rsidSect="003252C2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EB1" w:rsidRDefault="00A02EB1">
      <w:r>
        <w:separator/>
      </w:r>
    </w:p>
  </w:endnote>
  <w:endnote w:type="continuationSeparator" w:id="0">
    <w:p w:rsidR="00A02EB1" w:rsidRDefault="00A02EB1" w:rsidP="003B38C1">
      <w:r>
        <w:separator/>
      </w:r>
    </w:p>
    <w:p w:rsidR="00A02EB1" w:rsidRPr="003B38C1" w:rsidRDefault="00A02EB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02EB1" w:rsidRPr="003B38C1" w:rsidRDefault="00A02EB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C2" w:rsidRPr="0013538F" w:rsidRDefault="003252C2" w:rsidP="0013538F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EB1" w:rsidRDefault="00A02EB1">
      <w:r>
        <w:separator/>
      </w:r>
    </w:p>
  </w:footnote>
  <w:footnote w:type="continuationSeparator" w:id="0">
    <w:p w:rsidR="00A02EB1" w:rsidRDefault="00A02EB1" w:rsidP="008B60B2">
      <w:r>
        <w:separator/>
      </w:r>
    </w:p>
    <w:p w:rsidR="00A02EB1" w:rsidRPr="00ED77FB" w:rsidRDefault="00A02EB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02EB1" w:rsidRPr="00ED77FB" w:rsidRDefault="00A02EB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2EB1" w:rsidP="00477D6B">
    <w:pPr>
      <w:jc w:val="right"/>
    </w:pPr>
    <w:bookmarkStart w:id="9" w:name="Code2"/>
    <w:bookmarkEnd w:id="9"/>
    <w:r>
      <w:t>PCT/WG/9/</w:t>
    </w:r>
    <w:r w:rsidR="00BF7B45">
      <w:t>9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4CC7">
      <w:rPr>
        <w:noProof/>
      </w:rPr>
      <w:t>7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1B4E3A"/>
    <w:multiLevelType w:val="multilevel"/>
    <w:tmpl w:val="040C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>
    <w:nsid w:val="6A29692B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erm4|TRADTERM|WIPONew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|TextBase TMs\Glossaries\EN-FR|TextBase TMs\Treaties\Model Laws|TextBase TMs\Treaties\Other Laws and Agreements|TextBase TMs\Treaties\WIPO-administered|TextBase TMs\Administrative\Meetings|TextBase TMs\Administrative\Other|TextBase TMs\Administrative\Publications|TextBase TMs\Budget and Finance\Meetings|TextBase TMs\Budget and Finance\Other|TextBase TMs\Budget and Finance\Publications|TextBase TMs\Patents\Meetings|TextBase TMs\Patents\Other|TextBase TMs\Patents\Publications|TextBase TMs\Trademarks\Meetings|TextBase TMs\Trademarks\Other|TextBase TMs\Trademarks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am Server TMs\Default"/>
    <w:docVar w:name="TextBaseURL" w:val="empty"/>
    <w:docVar w:name="UILng" w:val="en"/>
  </w:docVars>
  <w:rsids>
    <w:rsidRoot w:val="00A02EB1"/>
    <w:rsid w:val="000219C6"/>
    <w:rsid w:val="00023785"/>
    <w:rsid w:val="000276D2"/>
    <w:rsid w:val="000326CD"/>
    <w:rsid w:val="00043CAA"/>
    <w:rsid w:val="00050707"/>
    <w:rsid w:val="00051BD2"/>
    <w:rsid w:val="000535B1"/>
    <w:rsid w:val="000535B5"/>
    <w:rsid w:val="000546D3"/>
    <w:rsid w:val="00067413"/>
    <w:rsid w:val="00075432"/>
    <w:rsid w:val="000968ED"/>
    <w:rsid w:val="000A14D3"/>
    <w:rsid w:val="000B058B"/>
    <w:rsid w:val="000C377C"/>
    <w:rsid w:val="000D45F0"/>
    <w:rsid w:val="000D505D"/>
    <w:rsid w:val="000F5E56"/>
    <w:rsid w:val="001108D9"/>
    <w:rsid w:val="0013538F"/>
    <w:rsid w:val="001362EE"/>
    <w:rsid w:val="001459F2"/>
    <w:rsid w:val="0015698D"/>
    <w:rsid w:val="00157968"/>
    <w:rsid w:val="00165ACC"/>
    <w:rsid w:val="001726A0"/>
    <w:rsid w:val="001832A6"/>
    <w:rsid w:val="00186EF6"/>
    <w:rsid w:val="001A752D"/>
    <w:rsid w:val="00207729"/>
    <w:rsid w:val="002338A1"/>
    <w:rsid w:val="002514F7"/>
    <w:rsid w:val="002634C4"/>
    <w:rsid w:val="00265B58"/>
    <w:rsid w:val="002928D3"/>
    <w:rsid w:val="002E7E77"/>
    <w:rsid w:val="002F14A4"/>
    <w:rsid w:val="002F1FE6"/>
    <w:rsid w:val="002F4E68"/>
    <w:rsid w:val="00312643"/>
    <w:rsid w:val="00312F7F"/>
    <w:rsid w:val="00313755"/>
    <w:rsid w:val="003252C2"/>
    <w:rsid w:val="00333839"/>
    <w:rsid w:val="00361450"/>
    <w:rsid w:val="00365293"/>
    <w:rsid w:val="00366031"/>
    <w:rsid w:val="003673CF"/>
    <w:rsid w:val="003845C1"/>
    <w:rsid w:val="00395646"/>
    <w:rsid w:val="003A6F89"/>
    <w:rsid w:val="003B38C1"/>
    <w:rsid w:val="00401552"/>
    <w:rsid w:val="00413FA7"/>
    <w:rsid w:val="00423E3E"/>
    <w:rsid w:val="00427AF4"/>
    <w:rsid w:val="00444DDA"/>
    <w:rsid w:val="004647DA"/>
    <w:rsid w:val="00474062"/>
    <w:rsid w:val="00476317"/>
    <w:rsid w:val="00477D6B"/>
    <w:rsid w:val="004810A7"/>
    <w:rsid w:val="00481C42"/>
    <w:rsid w:val="004B08B9"/>
    <w:rsid w:val="004B48CE"/>
    <w:rsid w:val="004D5ED0"/>
    <w:rsid w:val="004F74F1"/>
    <w:rsid w:val="005019FF"/>
    <w:rsid w:val="0050425A"/>
    <w:rsid w:val="00505EE8"/>
    <w:rsid w:val="0050638D"/>
    <w:rsid w:val="0053057A"/>
    <w:rsid w:val="00560396"/>
    <w:rsid w:val="00560A29"/>
    <w:rsid w:val="00561606"/>
    <w:rsid w:val="005B7784"/>
    <w:rsid w:val="005C6649"/>
    <w:rsid w:val="00605827"/>
    <w:rsid w:val="00646050"/>
    <w:rsid w:val="006713CA"/>
    <w:rsid w:val="00676C5C"/>
    <w:rsid w:val="00697F23"/>
    <w:rsid w:val="006C2B4D"/>
    <w:rsid w:val="00715B1C"/>
    <w:rsid w:val="00734712"/>
    <w:rsid w:val="00754140"/>
    <w:rsid w:val="00756F52"/>
    <w:rsid w:val="00794586"/>
    <w:rsid w:val="00795A37"/>
    <w:rsid w:val="007D1613"/>
    <w:rsid w:val="007D35C2"/>
    <w:rsid w:val="007F3A2B"/>
    <w:rsid w:val="00833D68"/>
    <w:rsid w:val="00834236"/>
    <w:rsid w:val="00846350"/>
    <w:rsid w:val="008547D6"/>
    <w:rsid w:val="008571EE"/>
    <w:rsid w:val="008603C0"/>
    <w:rsid w:val="008A4CC7"/>
    <w:rsid w:val="008B2CC1"/>
    <w:rsid w:val="008B3CE9"/>
    <w:rsid w:val="008B60B2"/>
    <w:rsid w:val="008D1061"/>
    <w:rsid w:val="008D4C68"/>
    <w:rsid w:val="009007C2"/>
    <w:rsid w:val="0090731E"/>
    <w:rsid w:val="00916EE2"/>
    <w:rsid w:val="00920584"/>
    <w:rsid w:val="00921FE9"/>
    <w:rsid w:val="00950C59"/>
    <w:rsid w:val="009552F0"/>
    <w:rsid w:val="00963B7C"/>
    <w:rsid w:val="00966A22"/>
    <w:rsid w:val="0096722F"/>
    <w:rsid w:val="00980843"/>
    <w:rsid w:val="009C5F3E"/>
    <w:rsid w:val="009C6673"/>
    <w:rsid w:val="009E2791"/>
    <w:rsid w:val="009E3F6F"/>
    <w:rsid w:val="009F223E"/>
    <w:rsid w:val="009F499F"/>
    <w:rsid w:val="00A02EB1"/>
    <w:rsid w:val="00A14ADD"/>
    <w:rsid w:val="00A2495B"/>
    <w:rsid w:val="00A37216"/>
    <w:rsid w:val="00A42DAF"/>
    <w:rsid w:val="00A45BD8"/>
    <w:rsid w:val="00A5769B"/>
    <w:rsid w:val="00A869B7"/>
    <w:rsid w:val="00A90ABB"/>
    <w:rsid w:val="00AA4194"/>
    <w:rsid w:val="00AB43EF"/>
    <w:rsid w:val="00AC205C"/>
    <w:rsid w:val="00AC3C14"/>
    <w:rsid w:val="00AC7601"/>
    <w:rsid w:val="00AD56E3"/>
    <w:rsid w:val="00AD6A8A"/>
    <w:rsid w:val="00AF0A6B"/>
    <w:rsid w:val="00B05A69"/>
    <w:rsid w:val="00B17F92"/>
    <w:rsid w:val="00B45ED9"/>
    <w:rsid w:val="00B9734B"/>
    <w:rsid w:val="00BC4133"/>
    <w:rsid w:val="00BD3406"/>
    <w:rsid w:val="00BF7B45"/>
    <w:rsid w:val="00C11BFE"/>
    <w:rsid w:val="00C16F8F"/>
    <w:rsid w:val="00C340F7"/>
    <w:rsid w:val="00C356C3"/>
    <w:rsid w:val="00C72643"/>
    <w:rsid w:val="00CA3086"/>
    <w:rsid w:val="00CF5739"/>
    <w:rsid w:val="00D16E2F"/>
    <w:rsid w:val="00D45252"/>
    <w:rsid w:val="00D71B4D"/>
    <w:rsid w:val="00D75CCE"/>
    <w:rsid w:val="00D93D55"/>
    <w:rsid w:val="00DA07CC"/>
    <w:rsid w:val="00DA0AD2"/>
    <w:rsid w:val="00DC75BA"/>
    <w:rsid w:val="00DF039D"/>
    <w:rsid w:val="00E14EF4"/>
    <w:rsid w:val="00E335FE"/>
    <w:rsid w:val="00E36217"/>
    <w:rsid w:val="00E471D8"/>
    <w:rsid w:val="00E475C9"/>
    <w:rsid w:val="00E86441"/>
    <w:rsid w:val="00EA147A"/>
    <w:rsid w:val="00EA2B24"/>
    <w:rsid w:val="00EC17BC"/>
    <w:rsid w:val="00EC4E49"/>
    <w:rsid w:val="00ED77FB"/>
    <w:rsid w:val="00EE45FA"/>
    <w:rsid w:val="00F14777"/>
    <w:rsid w:val="00F66152"/>
    <w:rsid w:val="00F930CA"/>
    <w:rsid w:val="00FA40C4"/>
    <w:rsid w:val="00FA4EF0"/>
    <w:rsid w:val="00FB10CC"/>
    <w:rsid w:val="00FC09B5"/>
    <w:rsid w:val="00FC757B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646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395646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95646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646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646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95646"/>
    <w:pPr>
      <w:ind w:left="5534"/>
    </w:pPr>
    <w:rPr>
      <w:lang w:val="en-US"/>
    </w:rPr>
  </w:style>
  <w:style w:type="paragraph" w:styleId="BodyText">
    <w:name w:val="Body Text"/>
    <w:basedOn w:val="Normal"/>
    <w:rsid w:val="00395646"/>
    <w:pPr>
      <w:spacing w:after="220"/>
    </w:pPr>
  </w:style>
  <w:style w:type="paragraph" w:styleId="Caption">
    <w:name w:val="caption"/>
    <w:basedOn w:val="Normal"/>
    <w:next w:val="Normal"/>
    <w:qFormat/>
    <w:rsid w:val="00395646"/>
    <w:rPr>
      <w:b/>
      <w:bCs/>
      <w:sz w:val="18"/>
    </w:rPr>
  </w:style>
  <w:style w:type="paragraph" w:styleId="CommentText">
    <w:name w:val="annotation text"/>
    <w:basedOn w:val="Normal"/>
    <w:semiHidden/>
    <w:rsid w:val="00395646"/>
    <w:rPr>
      <w:sz w:val="18"/>
    </w:rPr>
  </w:style>
  <w:style w:type="paragraph" w:styleId="EndnoteText">
    <w:name w:val="endnote text"/>
    <w:basedOn w:val="Normal"/>
    <w:semiHidden/>
    <w:rsid w:val="00395646"/>
    <w:rPr>
      <w:sz w:val="18"/>
    </w:rPr>
  </w:style>
  <w:style w:type="paragraph" w:styleId="Footer">
    <w:name w:val="footer"/>
    <w:basedOn w:val="Normal"/>
    <w:semiHidden/>
    <w:rsid w:val="0039564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95646"/>
    <w:rPr>
      <w:sz w:val="18"/>
    </w:rPr>
  </w:style>
  <w:style w:type="paragraph" w:styleId="Header">
    <w:name w:val="header"/>
    <w:basedOn w:val="Normal"/>
    <w:semiHidden/>
    <w:rsid w:val="00395646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395646"/>
    <w:pPr>
      <w:numPr>
        <w:numId w:val="7"/>
      </w:numPr>
    </w:pPr>
  </w:style>
  <w:style w:type="paragraph" w:customStyle="1" w:styleId="ONUME">
    <w:name w:val="ONUM E"/>
    <w:basedOn w:val="BodyText"/>
    <w:link w:val="ONUMEChar"/>
    <w:rsid w:val="00395646"/>
    <w:pPr>
      <w:numPr>
        <w:numId w:val="8"/>
      </w:numPr>
    </w:pPr>
  </w:style>
  <w:style w:type="paragraph" w:customStyle="1" w:styleId="ONUMFS">
    <w:name w:val="ONUM FS"/>
    <w:basedOn w:val="BodyText"/>
    <w:rsid w:val="00395646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395646"/>
  </w:style>
  <w:style w:type="paragraph" w:styleId="Signature">
    <w:name w:val="Signature"/>
    <w:basedOn w:val="Normal"/>
    <w:semiHidden/>
    <w:rsid w:val="00395646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4D5ED0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3956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646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395646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395646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646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395646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95646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646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646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95646"/>
    <w:pPr>
      <w:ind w:left="5534"/>
    </w:pPr>
    <w:rPr>
      <w:lang w:val="en-US"/>
    </w:rPr>
  </w:style>
  <w:style w:type="paragraph" w:styleId="BodyText">
    <w:name w:val="Body Text"/>
    <w:basedOn w:val="Normal"/>
    <w:rsid w:val="00395646"/>
    <w:pPr>
      <w:spacing w:after="220"/>
    </w:pPr>
  </w:style>
  <w:style w:type="paragraph" w:styleId="Caption">
    <w:name w:val="caption"/>
    <w:basedOn w:val="Normal"/>
    <w:next w:val="Normal"/>
    <w:qFormat/>
    <w:rsid w:val="00395646"/>
    <w:rPr>
      <w:b/>
      <w:bCs/>
      <w:sz w:val="18"/>
    </w:rPr>
  </w:style>
  <w:style w:type="paragraph" w:styleId="CommentText">
    <w:name w:val="annotation text"/>
    <w:basedOn w:val="Normal"/>
    <w:semiHidden/>
    <w:rsid w:val="00395646"/>
    <w:rPr>
      <w:sz w:val="18"/>
    </w:rPr>
  </w:style>
  <w:style w:type="paragraph" w:styleId="EndnoteText">
    <w:name w:val="endnote text"/>
    <w:basedOn w:val="Normal"/>
    <w:semiHidden/>
    <w:rsid w:val="00395646"/>
    <w:rPr>
      <w:sz w:val="18"/>
    </w:rPr>
  </w:style>
  <w:style w:type="paragraph" w:styleId="Footer">
    <w:name w:val="footer"/>
    <w:basedOn w:val="Normal"/>
    <w:semiHidden/>
    <w:rsid w:val="0039564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395646"/>
    <w:rPr>
      <w:sz w:val="18"/>
    </w:rPr>
  </w:style>
  <w:style w:type="paragraph" w:styleId="Header">
    <w:name w:val="header"/>
    <w:basedOn w:val="Normal"/>
    <w:semiHidden/>
    <w:rsid w:val="00395646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395646"/>
    <w:pPr>
      <w:numPr>
        <w:numId w:val="7"/>
      </w:numPr>
    </w:pPr>
  </w:style>
  <w:style w:type="paragraph" w:customStyle="1" w:styleId="ONUME">
    <w:name w:val="ONUM E"/>
    <w:basedOn w:val="BodyText"/>
    <w:link w:val="ONUMEChar"/>
    <w:rsid w:val="00395646"/>
    <w:pPr>
      <w:numPr>
        <w:numId w:val="8"/>
      </w:numPr>
    </w:pPr>
  </w:style>
  <w:style w:type="paragraph" w:customStyle="1" w:styleId="ONUMFS">
    <w:name w:val="ONUM FS"/>
    <w:basedOn w:val="BodyText"/>
    <w:rsid w:val="00395646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395646"/>
  </w:style>
  <w:style w:type="paragraph" w:styleId="Signature">
    <w:name w:val="Signature"/>
    <w:basedOn w:val="Normal"/>
    <w:semiHidden/>
    <w:rsid w:val="00395646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4D5ED0"/>
    <w:rPr>
      <w:rFonts w:ascii="Arial" w:eastAsia="SimSun" w:hAnsi="Arial" w:cs="Arial"/>
      <w:sz w:val="22"/>
      <w:lang w:val="fr-CH" w:eastAsia="zh-CN"/>
    </w:rPr>
  </w:style>
  <w:style w:type="character" w:styleId="Hyperlink">
    <w:name w:val="Hyperlink"/>
    <w:basedOn w:val="DefaultParagraphFont"/>
    <w:rsid w:val="003956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646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395646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395646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344E5-69B0-49C7-ADE3-8BA51D9CB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2</TotalTime>
  <Pages>7</Pages>
  <Words>3143</Words>
  <Characters>16911</Characters>
  <Application>Microsoft Office Word</Application>
  <DocSecurity>0</DocSecurity>
  <Lines>140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WIPO</Company>
  <LinksUpToDate>false</LinksUpToDate>
  <CharactersWithSpaces>20014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PCT Fee Income:  Progress Report on Analysis of Possible Measures to Reduce Exposure to Movements in Currency Exchange Rates</dc:subject>
  <dc:creator>MARLOW Thomas</dc:creator>
  <cp:keywords>JCH/sc/ko</cp:keywords>
  <cp:lastModifiedBy>MARLOW Thomas</cp:lastModifiedBy>
  <cp:revision>3</cp:revision>
  <cp:lastPrinted>2016-03-18T13:26:00Z</cp:lastPrinted>
  <dcterms:created xsi:type="dcterms:W3CDTF">2016-03-18T13:25:00Z</dcterms:created>
  <dcterms:modified xsi:type="dcterms:W3CDTF">2016-03-18T13:26:00Z</dcterms:modified>
</cp:coreProperties>
</file>