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75276" w:rsidRPr="00A75276" w:rsidTr="0081387F">
        <w:tc>
          <w:tcPr>
            <w:tcW w:w="4513" w:type="dxa"/>
            <w:tcBorders>
              <w:bottom w:val="single" w:sz="4" w:space="0" w:color="auto"/>
            </w:tcBorders>
            <w:tcMar>
              <w:bottom w:w="170" w:type="dxa"/>
            </w:tcMar>
          </w:tcPr>
          <w:p w:rsidR="00071C5F" w:rsidRPr="00A75276" w:rsidRDefault="00071C5F" w:rsidP="003A29CF">
            <w:pPr>
              <w:rPr>
                <w:lang w:val="fr-FR"/>
              </w:rPr>
            </w:pPr>
          </w:p>
        </w:tc>
        <w:tc>
          <w:tcPr>
            <w:tcW w:w="4337" w:type="dxa"/>
            <w:tcBorders>
              <w:bottom w:val="single" w:sz="4" w:space="0" w:color="auto"/>
            </w:tcBorders>
            <w:tcMar>
              <w:left w:w="0" w:type="dxa"/>
              <w:right w:w="0" w:type="dxa"/>
            </w:tcMar>
          </w:tcPr>
          <w:p w:rsidR="00071C5F" w:rsidRPr="00A75276" w:rsidRDefault="00071C5F" w:rsidP="003A29CF">
            <w:pPr>
              <w:rPr>
                <w:lang w:val="fr-FR"/>
              </w:rPr>
            </w:pPr>
            <w:r w:rsidRPr="00A75276">
              <w:rPr>
                <w:noProof/>
                <w:lang w:eastAsia="en-US"/>
              </w:rPr>
              <w:drawing>
                <wp:inline distT="0" distB="0" distL="0" distR="0" wp14:anchorId="25C27CA9" wp14:editId="31351FD6">
                  <wp:extent cx="1856105"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071C5F" w:rsidRPr="00A75276" w:rsidRDefault="00071C5F" w:rsidP="003A29CF">
            <w:pPr>
              <w:jc w:val="right"/>
              <w:rPr>
                <w:lang w:val="fr-FR"/>
              </w:rPr>
            </w:pPr>
            <w:r w:rsidRPr="00A75276">
              <w:rPr>
                <w:b/>
                <w:sz w:val="40"/>
                <w:szCs w:val="40"/>
                <w:lang w:val="fr-FR"/>
              </w:rPr>
              <w:t>F</w:t>
            </w:r>
          </w:p>
        </w:tc>
      </w:tr>
      <w:tr w:rsidR="00A75276" w:rsidRPr="00A75276" w:rsidTr="003A29CF">
        <w:trPr>
          <w:trHeight w:hRule="exact" w:val="340"/>
        </w:trPr>
        <w:tc>
          <w:tcPr>
            <w:tcW w:w="9356" w:type="dxa"/>
            <w:gridSpan w:val="3"/>
            <w:tcBorders>
              <w:top w:val="single" w:sz="4" w:space="0" w:color="auto"/>
            </w:tcBorders>
            <w:tcMar>
              <w:top w:w="170" w:type="dxa"/>
              <w:left w:w="0" w:type="dxa"/>
              <w:right w:w="0" w:type="dxa"/>
            </w:tcMar>
            <w:vAlign w:val="bottom"/>
          </w:tcPr>
          <w:p w:rsidR="00071C5F" w:rsidRPr="00A75276" w:rsidRDefault="00071C5F" w:rsidP="003A29CF">
            <w:pPr>
              <w:jc w:val="right"/>
              <w:rPr>
                <w:rFonts w:ascii="Arial Black" w:hAnsi="Arial Black"/>
                <w:caps/>
                <w:sz w:val="15"/>
                <w:lang w:val="fr-FR"/>
              </w:rPr>
            </w:pPr>
            <w:r w:rsidRPr="00A75276">
              <w:rPr>
                <w:rFonts w:ascii="Arial Black" w:hAnsi="Arial Black"/>
                <w:caps/>
                <w:sz w:val="15"/>
                <w:lang w:val="fr-FR"/>
              </w:rPr>
              <w:t>PCT/WG/9/</w:t>
            </w:r>
            <w:bookmarkStart w:id="0" w:name="Code"/>
            <w:bookmarkEnd w:id="0"/>
            <w:r w:rsidRPr="00A75276">
              <w:rPr>
                <w:rFonts w:ascii="Arial Black" w:hAnsi="Arial Black"/>
                <w:caps/>
                <w:sz w:val="15"/>
                <w:lang w:val="fr-FR"/>
              </w:rPr>
              <w:t xml:space="preserve">2 </w:t>
            </w:r>
          </w:p>
        </w:tc>
      </w:tr>
      <w:tr w:rsidR="00A75276" w:rsidRPr="00A75276" w:rsidTr="003A29CF">
        <w:trPr>
          <w:trHeight w:hRule="exact" w:val="170"/>
        </w:trPr>
        <w:tc>
          <w:tcPr>
            <w:tcW w:w="9356" w:type="dxa"/>
            <w:gridSpan w:val="3"/>
            <w:noWrap/>
            <w:tcMar>
              <w:left w:w="0" w:type="dxa"/>
              <w:right w:w="0" w:type="dxa"/>
            </w:tcMar>
            <w:vAlign w:val="bottom"/>
          </w:tcPr>
          <w:p w:rsidR="00071C5F" w:rsidRPr="00A75276" w:rsidRDefault="00071C5F" w:rsidP="003A29CF">
            <w:pPr>
              <w:jc w:val="right"/>
              <w:rPr>
                <w:rFonts w:ascii="Arial Black" w:hAnsi="Arial Black"/>
                <w:caps/>
                <w:sz w:val="15"/>
                <w:lang w:val="fr-FR"/>
              </w:rPr>
            </w:pPr>
            <w:r w:rsidRPr="00A75276">
              <w:rPr>
                <w:rFonts w:ascii="Arial Black" w:hAnsi="Arial Black"/>
                <w:caps/>
                <w:sz w:val="15"/>
                <w:lang w:val="fr-FR"/>
              </w:rPr>
              <w:t xml:space="preserve">ORIGINAL : </w:t>
            </w:r>
            <w:bookmarkStart w:id="1" w:name="Original"/>
            <w:bookmarkEnd w:id="1"/>
            <w:r w:rsidRPr="00A75276">
              <w:rPr>
                <w:rFonts w:ascii="Arial Black" w:hAnsi="Arial Black"/>
                <w:caps/>
                <w:sz w:val="15"/>
                <w:lang w:val="fr-FR"/>
              </w:rPr>
              <w:t>anglais</w:t>
            </w:r>
          </w:p>
        </w:tc>
      </w:tr>
      <w:tr w:rsidR="00071C5F" w:rsidRPr="00A75276" w:rsidTr="003A29CF">
        <w:trPr>
          <w:trHeight w:hRule="exact" w:val="198"/>
        </w:trPr>
        <w:tc>
          <w:tcPr>
            <w:tcW w:w="9356" w:type="dxa"/>
            <w:gridSpan w:val="3"/>
            <w:tcMar>
              <w:left w:w="0" w:type="dxa"/>
              <w:right w:w="0" w:type="dxa"/>
            </w:tcMar>
            <w:vAlign w:val="bottom"/>
          </w:tcPr>
          <w:p w:rsidR="00071C5F" w:rsidRPr="00A75276" w:rsidRDefault="00071C5F" w:rsidP="003A29CF">
            <w:pPr>
              <w:jc w:val="right"/>
              <w:rPr>
                <w:rFonts w:ascii="Arial Black" w:hAnsi="Arial Black"/>
                <w:caps/>
                <w:sz w:val="15"/>
                <w:lang w:val="fr-FR"/>
              </w:rPr>
            </w:pPr>
            <w:r w:rsidRPr="00A75276">
              <w:rPr>
                <w:rFonts w:ascii="Arial Black" w:hAnsi="Arial Black"/>
                <w:caps/>
                <w:sz w:val="15"/>
                <w:lang w:val="fr-FR"/>
              </w:rPr>
              <w:t xml:space="preserve">DATE : </w:t>
            </w:r>
            <w:bookmarkStart w:id="2" w:name="Date"/>
            <w:bookmarkEnd w:id="2"/>
            <w:r w:rsidRPr="00A75276">
              <w:rPr>
                <w:rFonts w:ascii="Arial Black" w:hAnsi="Arial Black"/>
                <w:caps/>
                <w:sz w:val="15"/>
                <w:lang w:val="fr-FR"/>
              </w:rPr>
              <w:t>12 février 2016</w:t>
            </w:r>
          </w:p>
        </w:tc>
      </w:tr>
    </w:tbl>
    <w:p w:rsidR="00715135" w:rsidRPr="00A75276" w:rsidRDefault="00715135" w:rsidP="00071C5F">
      <w:pPr>
        <w:rPr>
          <w:lang w:val="fr-FR"/>
        </w:rPr>
      </w:pPr>
    </w:p>
    <w:p w:rsidR="00715135" w:rsidRPr="00A75276" w:rsidRDefault="00715135" w:rsidP="00071C5F">
      <w:pPr>
        <w:rPr>
          <w:lang w:val="fr-FR"/>
        </w:rPr>
      </w:pPr>
    </w:p>
    <w:p w:rsidR="00715135" w:rsidRPr="00A75276" w:rsidRDefault="00715135" w:rsidP="00071C5F">
      <w:pPr>
        <w:rPr>
          <w:lang w:val="fr-FR"/>
        </w:rPr>
      </w:pPr>
    </w:p>
    <w:p w:rsidR="00715135" w:rsidRPr="00A75276" w:rsidRDefault="00715135" w:rsidP="00071C5F">
      <w:pPr>
        <w:rPr>
          <w:lang w:val="fr-FR"/>
        </w:rPr>
      </w:pPr>
    </w:p>
    <w:p w:rsidR="00715135" w:rsidRPr="00A75276" w:rsidRDefault="00715135" w:rsidP="00071C5F">
      <w:pPr>
        <w:rPr>
          <w:lang w:val="fr-FR"/>
        </w:rPr>
      </w:pPr>
    </w:p>
    <w:p w:rsidR="00715135" w:rsidRPr="00A75276" w:rsidRDefault="00071C5F" w:rsidP="00071C5F">
      <w:pPr>
        <w:rPr>
          <w:b/>
          <w:sz w:val="28"/>
          <w:szCs w:val="28"/>
          <w:lang w:val="fr-FR"/>
        </w:rPr>
      </w:pPr>
      <w:r w:rsidRPr="00A75276">
        <w:rPr>
          <w:b/>
          <w:sz w:val="28"/>
          <w:szCs w:val="28"/>
          <w:lang w:val="fr-FR"/>
        </w:rPr>
        <w:t>Groupe de travail du Traité de coopération en matière de brevets (PCT)</w:t>
      </w:r>
    </w:p>
    <w:p w:rsidR="00715135" w:rsidRPr="00A75276" w:rsidRDefault="00715135" w:rsidP="00071C5F">
      <w:pPr>
        <w:rPr>
          <w:lang w:val="fr-FR"/>
        </w:rPr>
      </w:pPr>
    </w:p>
    <w:p w:rsidR="00715135" w:rsidRPr="00A75276" w:rsidRDefault="00715135" w:rsidP="00071C5F">
      <w:pPr>
        <w:rPr>
          <w:lang w:val="fr-FR"/>
        </w:rPr>
      </w:pPr>
    </w:p>
    <w:p w:rsidR="00715135" w:rsidRPr="00A75276" w:rsidRDefault="00071C5F" w:rsidP="00071C5F">
      <w:pPr>
        <w:rPr>
          <w:b/>
          <w:sz w:val="24"/>
          <w:szCs w:val="24"/>
          <w:lang w:val="fr-FR"/>
        </w:rPr>
      </w:pPr>
      <w:r w:rsidRPr="00A75276">
        <w:rPr>
          <w:b/>
          <w:sz w:val="24"/>
          <w:szCs w:val="24"/>
          <w:lang w:val="fr-FR"/>
        </w:rPr>
        <w:t>Neuvième</w:t>
      </w:r>
      <w:r w:rsidR="00432F5D" w:rsidRPr="00A75276">
        <w:rPr>
          <w:b/>
          <w:sz w:val="24"/>
          <w:szCs w:val="24"/>
          <w:lang w:val="fr-FR"/>
        </w:rPr>
        <w:t> </w:t>
      </w:r>
      <w:r w:rsidRPr="00A75276">
        <w:rPr>
          <w:b/>
          <w:sz w:val="24"/>
          <w:szCs w:val="24"/>
          <w:lang w:val="fr-FR"/>
        </w:rPr>
        <w:t>session</w:t>
      </w:r>
    </w:p>
    <w:p w:rsidR="00715135" w:rsidRPr="00A75276" w:rsidRDefault="00071C5F" w:rsidP="00071C5F">
      <w:pPr>
        <w:rPr>
          <w:b/>
          <w:sz w:val="24"/>
          <w:szCs w:val="24"/>
          <w:lang w:val="fr-FR"/>
        </w:rPr>
      </w:pPr>
      <w:r w:rsidRPr="00A75276">
        <w:rPr>
          <w:b/>
          <w:sz w:val="24"/>
          <w:szCs w:val="24"/>
          <w:lang w:val="fr-FR"/>
        </w:rPr>
        <w:t>Genève, 17 – 2</w:t>
      </w:r>
      <w:r w:rsidR="002E5DCA" w:rsidRPr="00A75276">
        <w:rPr>
          <w:b/>
          <w:sz w:val="24"/>
          <w:szCs w:val="24"/>
          <w:lang w:val="fr-FR"/>
        </w:rPr>
        <w:t>0 mai 20</w:t>
      </w:r>
      <w:r w:rsidRPr="00A75276">
        <w:rPr>
          <w:b/>
          <w:sz w:val="24"/>
          <w:szCs w:val="24"/>
          <w:lang w:val="fr-FR"/>
        </w:rPr>
        <w:t>16</w:t>
      </w:r>
    </w:p>
    <w:p w:rsidR="00715135" w:rsidRPr="00A75276" w:rsidRDefault="00715135" w:rsidP="00071C5F">
      <w:pPr>
        <w:rPr>
          <w:lang w:val="fr-FR"/>
        </w:rPr>
      </w:pPr>
    </w:p>
    <w:p w:rsidR="00715135" w:rsidRPr="00A75276" w:rsidRDefault="00715135" w:rsidP="00071C5F">
      <w:pPr>
        <w:rPr>
          <w:lang w:val="fr-FR"/>
        </w:rPr>
      </w:pPr>
    </w:p>
    <w:p w:rsidR="00715135" w:rsidRPr="00A75276" w:rsidRDefault="00715135" w:rsidP="00071C5F">
      <w:pPr>
        <w:rPr>
          <w:lang w:val="fr-FR"/>
        </w:rPr>
      </w:pPr>
    </w:p>
    <w:p w:rsidR="00715135" w:rsidRPr="00A75276" w:rsidRDefault="0013559F" w:rsidP="008B2CC1">
      <w:pPr>
        <w:rPr>
          <w:caps/>
          <w:sz w:val="24"/>
          <w:lang w:val="fr-FR"/>
        </w:rPr>
      </w:pPr>
      <w:r w:rsidRPr="00A75276">
        <w:rPr>
          <w:caps/>
          <w:sz w:val="24"/>
          <w:lang w:val="fr-FR"/>
        </w:rPr>
        <w:t>Rapport sur la vingt</w:t>
      </w:r>
      <w:r w:rsidR="00A16C85" w:rsidRPr="00A75276">
        <w:rPr>
          <w:caps/>
          <w:sz w:val="24"/>
          <w:lang w:val="fr-FR"/>
        </w:rPr>
        <w:noBreakHyphen/>
      </w:r>
      <w:r w:rsidRPr="00A75276">
        <w:rPr>
          <w:caps/>
          <w:sz w:val="24"/>
          <w:lang w:val="fr-FR"/>
        </w:rPr>
        <w:t>troisième</w:t>
      </w:r>
      <w:r w:rsidR="00894F0B" w:rsidRPr="00A75276">
        <w:rPr>
          <w:caps/>
          <w:sz w:val="24"/>
          <w:lang w:val="fr-FR"/>
        </w:rPr>
        <w:t> </w:t>
      </w:r>
      <w:r w:rsidRPr="00A75276">
        <w:rPr>
          <w:caps/>
          <w:sz w:val="24"/>
          <w:lang w:val="fr-FR"/>
        </w:rPr>
        <w:t>réunion des administrations internationales instituées en vertu</w:t>
      </w:r>
      <w:r w:rsidR="002E5DCA" w:rsidRPr="00A75276">
        <w:rPr>
          <w:caps/>
          <w:sz w:val="24"/>
          <w:lang w:val="fr-FR"/>
        </w:rPr>
        <w:t xml:space="preserve"> du PCT</w:t>
      </w:r>
    </w:p>
    <w:p w:rsidR="00715135" w:rsidRPr="00A75276" w:rsidRDefault="00715135" w:rsidP="008B2CC1">
      <w:pPr>
        <w:rPr>
          <w:lang w:val="fr-FR"/>
        </w:rPr>
      </w:pPr>
    </w:p>
    <w:p w:rsidR="00715135" w:rsidRPr="00A75276" w:rsidRDefault="00BB409F" w:rsidP="008B2CC1">
      <w:pPr>
        <w:rPr>
          <w:i/>
          <w:lang w:val="fr-FR"/>
        </w:rPr>
      </w:pPr>
      <w:bookmarkStart w:id="3" w:name="Prepared"/>
      <w:bookmarkEnd w:id="3"/>
      <w:r w:rsidRPr="00A75276">
        <w:rPr>
          <w:i/>
          <w:lang w:val="fr-FR"/>
        </w:rPr>
        <w:t xml:space="preserve">Document </w:t>
      </w:r>
      <w:r w:rsidR="00894F0B" w:rsidRPr="00A75276">
        <w:rPr>
          <w:i/>
          <w:lang w:val="fr-FR"/>
        </w:rPr>
        <w:t>établi par le Bureau i</w:t>
      </w:r>
      <w:r w:rsidRPr="00A75276">
        <w:rPr>
          <w:i/>
          <w:lang w:val="fr-FR"/>
        </w:rPr>
        <w:t>nternational</w:t>
      </w:r>
    </w:p>
    <w:p w:rsidR="00715135" w:rsidRPr="00A75276" w:rsidRDefault="00715135">
      <w:pPr>
        <w:rPr>
          <w:lang w:val="fr-FR"/>
        </w:rPr>
      </w:pPr>
    </w:p>
    <w:p w:rsidR="00715135" w:rsidRPr="00A75276" w:rsidRDefault="00715135">
      <w:pPr>
        <w:rPr>
          <w:lang w:val="fr-FR"/>
        </w:rPr>
      </w:pPr>
    </w:p>
    <w:p w:rsidR="00715135" w:rsidRPr="00A75276" w:rsidRDefault="00715135">
      <w:pPr>
        <w:rPr>
          <w:lang w:val="fr-FR"/>
        </w:rPr>
      </w:pPr>
    </w:p>
    <w:p w:rsidR="00715135" w:rsidRPr="00A75276" w:rsidRDefault="00715135" w:rsidP="0053057A">
      <w:pPr>
        <w:rPr>
          <w:lang w:val="fr-FR"/>
        </w:rPr>
      </w:pPr>
    </w:p>
    <w:p w:rsidR="00715135" w:rsidRPr="00A75276" w:rsidRDefault="005E3CED" w:rsidP="0081387F">
      <w:pPr>
        <w:pStyle w:val="ONUMFS"/>
        <w:rPr>
          <w:lang w:val="fr-FR"/>
        </w:rPr>
      </w:pPr>
      <w:r w:rsidRPr="00A75276">
        <w:rPr>
          <w:lang w:val="fr-FR"/>
        </w:rPr>
        <w:t>L</w:t>
      </w:r>
      <w:r w:rsidR="009C53EC" w:rsidRPr="00A75276">
        <w:rPr>
          <w:lang w:val="fr-FR"/>
        </w:rPr>
        <w:t>’</w:t>
      </w:r>
      <w:r w:rsidRPr="00A75276">
        <w:rPr>
          <w:lang w:val="fr-FR"/>
        </w:rPr>
        <w:t xml:space="preserve">annexe du présent </w:t>
      </w:r>
      <w:r w:rsidR="00F12259" w:rsidRPr="00A75276">
        <w:rPr>
          <w:lang w:val="fr-FR"/>
        </w:rPr>
        <w:t xml:space="preserve">document </w:t>
      </w:r>
      <w:r w:rsidRPr="00A75276">
        <w:rPr>
          <w:lang w:val="fr-FR"/>
        </w:rPr>
        <w:t>contient le résumé établi par le président de la vingt</w:t>
      </w:r>
      <w:r w:rsidR="00A16C85" w:rsidRPr="00A75276">
        <w:rPr>
          <w:lang w:val="fr-FR"/>
        </w:rPr>
        <w:noBreakHyphen/>
      </w:r>
      <w:r w:rsidRPr="001A65DF">
        <w:rPr>
          <w:lang w:val="fr-FR"/>
        </w:rPr>
        <w:t>troisième</w:t>
      </w:r>
      <w:r w:rsidRPr="00A75276">
        <w:rPr>
          <w:lang w:val="fr-FR"/>
        </w:rPr>
        <w:t xml:space="preserve"> Réunion des administrations internationales du Traité de coopération en matière de brevets (PCT/MIA) tenue à Santiago</w:t>
      </w:r>
      <w:r w:rsidR="00F12259" w:rsidRPr="00A75276">
        <w:rPr>
          <w:lang w:val="fr-FR"/>
        </w:rPr>
        <w:t xml:space="preserve"> </w:t>
      </w:r>
      <w:r w:rsidRPr="00A75276">
        <w:rPr>
          <w:lang w:val="fr-FR"/>
        </w:rPr>
        <w:t>(</w:t>
      </w:r>
      <w:r w:rsidR="00F12259" w:rsidRPr="00A75276">
        <w:rPr>
          <w:lang w:val="fr-FR"/>
        </w:rPr>
        <w:t>Chil</w:t>
      </w:r>
      <w:r w:rsidRPr="00A75276">
        <w:rPr>
          <w:lang w:val="fr-FR"/>
        </w:rPr>
        <w:t xml:space="preserve">i) du </w:t>
      </w:r>
      <w:r w:rsidR="00F12259" w:rsidRPr="00A75276">
        <w:rPr>
          <w:lang w:val="fr-FR"/>
        </w:rPr>
        <w:t xml:space="preserve">20 </w:t>
      </w:r>
      <w:r w:rsidRPr="00A75276">
        <w:rPr>
          <w:lang w:val="fr-FR"/>
        </w:rPr>
        <w:t xml:space="preserve">au </w:t>
      </w:r>
      <w:r w:rsidR="00F12259" w:rsidRPr="00A75276">
        <w:rPr>
          <w:lang w:val="fr-FR"/>
        </w:rPr>
        <w:t>22</w:t>
      </w:r>
      <w:r w:rsidRPr="00A75276">
        <w:rPr>
          <w:lang w:val="fr-FR"/>
        </w:rPr>
        <w:t> </w:t>
      </w:r>
      <w:r w:rsidR="002E5DCA" w:rsidRPr="00A75276">
        <w:rPr>
          <w:lang w:val="fr-FR"/>
        </w:rPr>
        <w:t>janvier 20</w:t>
      </w:r>
      <w:r w:rsidR="00F12259" w:rsidRPr="00A75276">
        <w:rPr>
          <w:lang w:val="fr-FR"/>
        </w:rPr>
        <w:t xml:space="preserve">16.  </w:t>
      </w:r>
      <w:r w:rsidR="0090244E" w:rsidRPr="00A75276">
        <w:rPr>
          <w:lang w:val="fr-FR"/>
        </w:rPr>
        <w:t>L</w:t>
      </w:r>
      <w:r w:rsidR="009C53EC" w:rsidRPr="00A75276">
        <w:rPr>
          <w:lang w:val="fr-FR"/>
        </w:rPr>
        <w:t>’</w:t>
      </w:r>
      <w:r w:rsidR="0090244E" w:rsidRPr="00A75276">
        <w:rPr>
          <w:lang w:val="fr-FR"/>
        </w:rPr>
        <w:t>annexe</w:t>
      </w:r>
      <w:r w:rsidR="00432F5D" w:rsidRPr="00A75276">
        <w:rPr>
          <w:lang w:val="fr-FR"/>
        </w:rPr>
        <w:t> </w:t>
      </w:r>
      <w:r w:rsidR="0090244E" w:rsidRPr="00A75276">
        <w:rPr>
          <w:lang w:val="fr-FR"/>
        </w:rPr>
        <w:t>II du résumé contient le résumé présenté par le président de la sixième</w:t>
      </w:r>
      <w:r w:rsidR="00432F5D" w:rsidRPr="00A75276">
        <w:rPr>
          <w:lang w:val="fr-FR"/>
        </w:rPr>
        <w:t> </w:t>
      </w:r>
      <w:r w:rsidR="0090244E" w:rsidRPr="00A75276">
        <w:rPr>
          <w:lang w:val="fr-FR"/>
        </w:rPr>
        <w:t xml:space="preserve">session informelle du </w:t>
      </w:r>
      <w:r w:rsidR="00D07DAB" w:rsidRPr="00A75276">
        <w:rPr>
          <w:lang w:val="fr-FR"/>
        </w:rPr>
        <w:t>s</w:t>
      </w:r>
      <w:r w:rsidR="0090244E" w:rsidRPr="00A75276">
        <w:rPr>
          <w:lang w:val="fr-FR"/>
        </w:rPr>
        <w:t>ous</w:t>
      </w:r>
      <w:r w:rsidR="00A16C85" w:rsidRPr="00A75276">
        <w:rPr>
          <w:lang w:val="fr-FR"/>
        </w:rPr>
        <w:noBreakHyphen/>
      </w:r>
      <w:r w:rsidR="0090244E" w:rsidRPr="00A75276">
        <w:rPr>
          <w:lang w:val="fr-FR"/>
        </w:rPr>
        <w:t>groupe chargé de la qualité de</w:t>
      </w:r>
      <w:r w:rsidR="002E5DCA" w:rsidRPr="00A75276">
        <w:rPr>
          <w:lang w:val="fr-FR"/>
        </w:rPr>
        <w:t xml:space="preserve"> la PCT</w:t>
      </w:r>
      <w:r w:rsidR="0090244E" w:rsidRPr="00A75276">
        <w:rPr>
          <w:lang w:val="fr-FR"/>
        </w:rPr>
        <w:t>/MIA qui a eu lieu à Santiago les 18 et 19</w:t>
      </w:r>
      <w:r w:rsidR="00141119" w:rsidRPr="00A75276">
        <w:rPr>
          <w:lang w:val="fr-FR"/>
        </w:rPr>
        <w:t> janvier </w:t>
      </w:r>
      <w:r w:rsidR="0090244E" w:rsidRPr="00A75276">
        <w:rPr>
          <w:lang w:val="fr-FR"/>
        </w:rPr>
        <w:t>2016, juste avant la Réunion des administrations internationales.</w:t>
      </w:r>
    </w:p>
    <w:p w:rsidR="00715135" w:rsidRPr="00A75276" w:rsidRDefault="005E3CED" w:rsidP="00360B03">
      <w:pPr>
        <w:pStyle w:val="ONUMFS"/>
        <w:ind w:left="5533"/>
        <w:rPr>
          <w:i/>
          <w:lang w:val="fr-FR"/>
        </w:rPr>
      </w:pPr>
      <w:r w:rsidRPr="00A75276">
        <w:rPr>
          <w:i/>
          <w:lang w:val="fr-FR"/>
        </w:rPr>
        <w:t>Le groupe de travail est invité à prendre note du résumé établi par le président de la vingt</w:t>
      </w:r>
      <w:r w:rsidR="00A16C85" w:rsidRPr="00A75276">
        <w:rPr>
          <w:i/>
          <w:lang w:val="fr-FR"/>
        </w:rPr>
        <w:noBreakHyphen/>
      </w:r>
      <w:r w:rsidRPr="00A75276">
        <w:rPr>
          <w:i/>
          <w:lang w:val="fr-FR"/>
        </w:rPr>
        <w:t>troisième Réunion des administrations internationales</w:t>
      </w:r>
      <w:r w:rsidR="002E5DCA" w:rsidRPr="00A75276">
        <w:rPr>
          <w:i/>
          <w:lang w:val="fr-FR"/>
        </w:rPr>
        <w:t xml:space="preserve"> du PCT</w:t>
      </w:r>
      <w:r w:rsidR="00F12259" w:rsidRPr="00A75276">
        <w:rPr>
          <w:i/>
          <w:lang w:val="fr-FR"/>
        </w:rPr>
        <w:t xml:space="preserve"> (document PCT/MIA/23/14), </w:t>
      </w:r>
      <w:r w:rsidRPr="00A75276">
        <w:rPr>
          <w:i/>
          <w:lang w:val="fr-FR"/>
        </w:rPr>
        <w:t>reproduit dans l</w:t>
      </w:r>
      <w:r w:rsidR="009C53EC" w:rsidRPr="00A75276">
        <w:rPr>
          <w:i/>
          <w:lang w:val="fr-FR"/>
        </w:rPr>
        <w:t>’</w:t>
      </w:r>
      <w:r w:rsidRPr="00A75276">
        <w:rPr>
          <w:i/>
          <w:lang w:val="fr-FR"/>
        </w:rPr>
        <w:t xml:space="preserve">annexe du présent </w:t>
      </w:r>
      <w:r w:rsidR="00F12259" w:rsidRPr="00A75276">
        <w:rPr>
          <w:i/>
          <w:lang w:val="fr-FR"/>
        </w:rPr>
        <w:t>document.</w:t>
      </w:r>
    </w:p>
    <w:p w:rsidR="00F12259" w:rsidRPr="00A75276" w:rsidRDefault="00F12259" w:rsidP="00F12259">
      <w:pPr>
        <w:pStyle w:val="ONUME"/>
        <w:numPr>
          <w:ilvl w:val="0"/>
          <w:numId w:val="0"/>
        </w:numPr>
        <w:ind w:left="5533"/>
        <w:rPr>
          <w:lang w:val="fr-FR"/>
        </w:rPr>
        <w:sectPr w:rsidR="00F12259" w:rsidRPr="00A75276" w:rsidSect="0081387F">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pPr>
      <w:r w:rsidRPr="00A75276">
        <w:rPr>
          <w:lang w:val="fr-FR"/>
        </w:rPr>
        <w:t>[</w:t>
      </w:r>
      <w:r w:rsidR="00894F0B" w:rsidRPr="00A75276">
        <w:rPr>
          <w:lang w:val="fr-FR"/>
        </w:rPr>
        <w:t>L</w:t>
      </w:r>
      <w:r w:rsidR="009C53EC" w:rsidRPr="00A75276">
        <w:rPr>
          <w:lang w:val="fr-FR"/>
        </w:rPr>
        <w:t>’</w:t>
      </w:r>
      <w:r w:rsidR="00894F0B" w:rsidRPr="00A75276">
        <w:rPr>
          <w:lang w:val="fr-FR"/>
        </w:rPr>
        <w:t>annexe suit</w:t>
      </w:r>
      <w:r w:rsidRPr="00A75276">
        <w:rPr>
          <w:lang w:val="fr-FR"/>
        </w:rPr>
        <w:t>]</w:t>
      </w:r>
    </w:p>
    <w:p w:rsidR="00715135" w:rsidRPr="00A75276" w:rsidRDefault="00894F0B" w:rsidP="00F12259">
      <w:pPr>
        <w:pStyle w:val="Heading2"/>
        <w:rPr>
          <w:lang w:val="fr-FR"/>
        </w:rPr>
      </w:pPr>
      <w:r w:rsidRPr="00A75276">
        <w:rPr>
          <w:lang w:val="fr-FR"/>
        </w:rPr>
        <w:lastRenderedPageBreak/>
        <w:t>Réunion des administrations interna</w:t>
      </w:r>
      <w:r w:rsidR="00360B03" w:rsidRPr="00A75276">
        <w:rPr>
          <w:lang w:val="fr-FR"/>
        </w:rPr>
        <w:t>tionales instituées en vertu du </w:t>
      </w:r>
      <w:r w:rsidRPr="00A75276">
        <w:rPr>
          <w:lang w:val="fr-FR"/>
        </w:rPr>
        <w:t>Traité de coopération en matière de brevets (PCT)</w:t>
      </w:r>
    </w:p>
    <w:p w:rsidR="00715135" w:rsidRPr="00A75276" w:rsidRDefault="00360B03" w:rsidP="00F12259">
      <w:pPr>
        <w:pStyle w:val="Heading2"/>
        <w:rPr>
          <w:lang w:val="fr-FR"/>
        </w:rPr>
      </w:pPr>
      <w:r w:rsidRPr="00A75276">
        <w:rPr>
          <w:lang w:val="fr-FR"/>
        </w:rPr>
        <w:t>Vingt</w:t>
      </w:r>
      <w:r w:rsidR="00A16C85" w:rsidRPr="00A75276">
        <w:rPr>
          <w:lang w:val="fr-FR"/>
        </w:rPr>
        <w:noBreakHyphen/>
      </w:r>
      <w:r w:rsidRPr="00A75276">
        <w:rPr>
          <w:lang w:val="fr-FR"/>
        </w:rPr>
        <w:t>troisième session, S</w:t>
      </w:r>
      <w:r w:rsidR="00141119" w:rsidRPr="00A75276">
        <w:rPr>
          <w:lang w:val="fr-FR"/>
        </w:rPr>
        <w:t>antiago</w:t>
      </w:r>
      <w:r w:rsidRPr="00A75276">
        <w:rPr>
          <w:lang w:val="fr-FR"/>
        </w:rPr>
        <w:t>, 20 – 22 janvier 2016</w:t>
      </w:r>
    </w:p>
    <w:p w:rsidR="00715135" w:rsidRPr="00A75276" w:rsidRDefault="00715135" w:rsidP="00F12259">
      <w:pPr>
        <w:rPr>
          <w:lang w:val="fr-FR"/>
        </w:rPr>
      </w:pPr>
    </w:p>
    <w:p w:rsidR="00715135" w:rsidRPr="00A75276" w:rsidRDefault="00360B03" w:rsidP="00F12259">
      <w:pPr>
        <w:rPr>
          <w:caps/>
          <w:sz w:val="24"/>
          <w:lang w:val="fr-FR"/>
        </w:rPr>
      </w:pPr>
      <w:r w:rsidRPr="00A75276">
        <w:rPr>
          <w:caps/>
          <w:sz w:val="24"/>
          <w:lang w:val="fr-FR"/>
        </w:rPr>
        <w:t>Résumé présenté par le président</w:t>
      </w:r>
    </w:p>
    <w:p w:rsidR="00715135" w:rsidRPr="00A75276" w:rsidRDefault="00360B03" w:rsidP="00F12259">
      <w:pPr>
        <w:rPr>
          <w:i/>
          <w:lang w:val="fr-FR"/>
        </w:rPr>
      </w:pPr>
      <w:r w:rsidRPr="00A75276">
        <w:rPr>
          <w:i/>
          <w:lang w:val="fr-FR"/>
        </w:rPr>
        <w:t>(</w:t>
      </w:r>
      <w:proofErr w:type="gramStart"/>
      <w:r w:rsidRPr="00A75276">
        <w:rPr>
          <w:i/>
          <w:lang w:val="fr-FR"/>
        </w:rPr>
        <w:t>la</w:t>
      </w:r>
      <w:proofErr w:type="gramEnd"/>
      <w:r w:rsidRPr="00A75276">
        <w:rPr>
          <w:i/>
          <w:lang w:val="fr-FR"/>
        </w:rPr>
        <w:t xml:space="preserve"> réunion a pris note du résumé, tiré du document</w:t>
      </w:r>
      <w:r w:rsidR="00F12259" w:rsidRPr="00A75276">
        <w:rPr>
          <w:i/>
          <w:lang w:val="fr-FR"/>
        </w:rPr>
        <w:t xml:space="preserve"> PCT/MIA/23/14)</w:t>
      </w:r>
    </w:p>
    <w:p w:rsidR="00715135" w:rsidRPr="00A75276" w:rsidRDefault="00715135" w:rsidP="00F12259">
      <w:pPr>
        <w:rPr>
          <w:i/>
          <w:lang w:val="fr-FR"/>
        </w:rPr>
      </w:pPr>
    </w:p>
    <w:p w:rsidR="00715135" w:rsidRPr="00A75276" w:rsidRDefault="004838AB" w:rsidP="004838AB">
      <w:pPr>
        <w:pStyle w:val="Heading1"/>
        <w:rPr>
          <w:lang w:val="fr-FR"/>
        </w:rPr>
      </w:pPr>
      <w:r w:rsidRPr="00A75276">
        <w:rPr>
          <w:lang w:val="fr-FR"/>
        </w:rPr>
        <w:t>Introduction</w:t>
      </w:r>
    </w:p>
    <w:p w:rsidR="00715135" w:rsidRPr="00A75276" w:rsidRDefault="00360B03" w:rsidP="00360B03">
      <w:pPr>
        <w:pStyle w:val="ONUMFS"/>
        <w:numPr>
          <w:ilvl w:val="0"/>
          <w:numId w:val="9"/>
        </w:numPr>
        <w:rPr>
          <w:lang w:val="fr-FR"/>
        </w:rPr>
      </w:pPr>
      <w:r w:rsidRPr="00A75276">
        <w:rPr>
          <w:lang w:val="fr-FR"/>
        </w:rPr>
        <w:t>La vingt</w:t>
      </w:r>
      <w:r w:rsidR="00A16C85" w:rsidRPr="00A75276">
        <w:rPr>
          <w:lang w:val="fr-FR"/>
        </w:rPr>
        <w:noBreakHyphen/>
      </w:r>
      <w:r w:rsidRPr="00A75276">
        <w:rPr>
          <w:lang w:val="fr-FR"/>
        </w:rPr>
        <w:t>troisième Réunion des administrations internationales instituées en vertu du PCT (ci</w:t>
      </w:r>
      <w:r w:rsidR="00A16C85" w:rsidRPr="00A75276">
        <w:rPr>
          <w:lang w:val="fr-FR"/>
        </w:rPr>
        <w:noBreakHyphen/>
      </w:r>
      <w:r w:rsidRPr="00A75276">
        <w:rPr>
          <w:lang w:val="fr-FR"/>
        </w:rPr>
        <w:t xml:space="preserve">après dénommée </w:t>
      </w:r>
      <w:r w:rsidR="00E874A5" w:rsidRPr="00A75276">
        <w:rPr>
          <w:lang w:val="fr-FR"/>
        </w:rPr>
        <w:t>“</w:t>
      </w:r>
      <w:r w:rsidR="00423E10" w:rsidRPr="00A75276">
        <w:rPr>
          <w:lang w:val="fr-FR"/>
        </w:rPr>
        <w:t>r</w:t>
      </w:r>
      <w:r w:rsidRPr="00A75276">
        <w:rPr>
          <w:lang w:val="fr-FR"/>
        </w:rPr>
        <w:t>éunion</w:t>
      </w:r>
      <w:r w:rsidR="00E874A5" w:rsidRPr="00A75276">
        <w:rPr>
          <w:lang w:val="fr-FR"/>
        </w:rPr>
        <w:t>”</w:t>
      </w:r>
      <w:r w:rsidRPr="00A75276">
        <w:rPr>
          <w:lang w:val="fr-FR"/>
        </w:rPr>
        <w:t>) s</w:t>
      </w:r>
      <w:r w:rsidR="009C53EC" w:rsidRPr="00A75276">
        <w:rPr>
          <w:lang w:val="fr-FR"/>
        </w:rPr>
        <w:t>’</w:t>
      </w:r>
      <w:r w:rsidRPr="00A75276">
        <w:rPr>
          <w:lang w:val="fr-FR"/>
        </w:rPr>
        <w:t xml:space="preserve">est tenue à </w:t>
      </w:r>
      <w:r w:rsidR="004838AB" w:rsidRPr="00A75276">
        <w:rPr>
          <w:lang w:val="fr-FR"/>
        </w:rPr>
        <w:t xml:space="preserve">Santiago </w:t>
      </w:r>
      <w:r w:rsidRPr="00A75276">
        <w:rPr>
          <w:lang w:val="fr-FR"/>
        </w:rPr>
        <w:t>du</w:t>
      </w:r>
      <w:r w:rsidR="004838AB" w:rsidRPr="00A75276">
        <w:rPr>
          <w:lang w:val="fr-FR"/>
        </w:rPr>
        <w:t xml:space="preserve"> 20 </w:t>
      </w:r>
      <w:r w:rsidRPr="00A75276">
        <w:rPr>
          <w:lang w:val="fr-FR"/>
        </w:rPr>
        <w:t>au</w:t>
      </w:r>
      <w:r w:rsidR="004838AB" w:rsidRPr="00A75276">
        <w:rPr>
          <w:lang w:val="fr-FR"/>
        </w:rPr>
        <w:t> 22</w:t>
      </w:r>
      <w:r w:rsidRPr="00A75276">
        <w:rPr>
          <w:lang w:val="fr-FR"/>
        </w:rPr>
        <w:t> janvier </w:t>
      </w:r>
      <w:r w:rsidR="004838AB" w:rsidRPr="00A75276">
        <w:rPr>
          <w:lang w:val="fr-FR"/>
        </w:rPr>
        <w:t>2016.</w:t>
      </w:r>
    </w:p>
    <w:p w:rsidR="00715135" w:rsidRPr="00A75276" w:rsidRDefault="00360B03" w:rsidP="00360B03">
      <w:pPr>
        <w:pStyle w:val="ONUMFS"/>
        <w:rPr>
          <w:lang w:val="fr-FR"/>
        </w:rPr>
      </w:pPr>
      <w:r w:rsidRPr="00A75276">
        <w:rPr>
          <w:lang w:val="fr-FR"/>
        </w:rPr>
        <w:t>Les administrations chargées de la recherche internationale ou de l</w:t>
      </w:r>
      <w:r w:rsidR="009C53EC" w:rsidRPr="00A75276">
        <w:rPr>
          <w:lang w:val="fr-FR"/>
        </w:rPr>
        <w:t>’</w:t>
      </w:r>
      <w:r w:rsidRPr="00A75276">
        <w:rPr>
          <w:lang w:val="fr-FR"/>
        </w:rPr>
        <w:t>examen préliminaire international ci</w:t>
      </w:r>
      <w:r w:rsidR="00A16C85" w:rsidRPr="00A75276">
        <w:rPr>
          <w:lang w:val="fr-FR"/>
        </w:rPr>
        <w:noBreakHyphen/>
      </w:r>
      <w:r w:rsidRPr="00A75276">
        <w:rPr>
          <w:lang w:val="fr-FR"/>
        </w:rPr>
        <w:t>après étaient représentées à cette réunion </w:t>
      </w:r>
      <w:r w:rsidR="004838AB" w:rsidRPr="00A75276">
        <w:rPr>
          <w:lang w:val="fr-FR"/>
        </w:rPr>
        <w:t>:</w:t>
      </w:r>
      <w:r w:rsidRPr="00A75276">
        <w:rPr>
          <w:lang w:val="fr-FR"/>
        </w:rPr>
        <w:t xml:space="preserve"> Institut des brevets de </w:t>
      </w:r>
      <w:proofErr w:type="spellStart"/>
      <w:r w:rsidRPr="00A75276">
        <w:rPr>
          <w:lang w:val="fr-FR"/>
        </w:rPr>
        <w:t>Visegrad</w:t>
      </w:r>
      <w:proofErr w:type="spellEnd"/>
      <w:r w:rsidRPr="00A75276">
        <w:rPr>
          <w:lang w:val="fr-FR"/>
        </w:rPr>
        <w:t>, Institut national de la propriété industrielle du Brésil, Institut national de la propriété industrielle du Chili, Institut nordique des brevets, IP </w:t>
      </w:r>
      <w:proofErr w:type="spellStart"/>
      <w:r w:rsidRPr="00A75276">
        <w:rPr>
          <w:lang w:val="fr-FR"/>
        </w:rPr>
        <w:t>Australia</w:t>
      </w:r>
      <w:proofErr w:type="spellEnd"/>
      <w:r w:rsidRPr="00A75276">
        <w:rPr>
          <w:lang w:val="fr-FR"/>
        </w:rPr>
        <w:t>, Office autrichien des brevets, Office coréen de la propriété intellectuelle, Office d</w:t>
      </w:r>
      <w:r w:rsidR="009C53EC" w:rsidRPr="00A75276">
        <w:rPr>
          <w:lang w:val="fr-FR"/>
        </w:rPr>
        <w:t>’</w:t>
      </w:r>
      <w:r w:rsidRPr="00A75276">
        <w:rPr>
          <w:lang w:val="fr-FR"/>
        </w:rPr>
        <w:t>État de la propriété intellectuelle de la République populaire de Chine, Office de la propriété intellectuelle de Singapour, Office de la propriété intellectuelle du Canada, Office des brevets du Japon, Office des brevets et des marques des États</w:t>
      </w:r>
      <w:r w:rsidR="00A16C85" w:rsidRPr="00A75276">
        <w:rPr>
          <w:lang w:val="fr-FR"/>
        </w:rPr>
        <w:noBreakHyphen/>
      </w:r>
      <w:r w:rsidRPr="00A75276">
        <w:rPr>
          <w:lang w:val="fr-FR"/>
        </w:rPr>
        <w:t>Unis d</w:t>
      </w:r>
      <w:r w:rsidR="009C53EC" w:rsidRPr="00A75276">
        <w:rPr>
          <w:lang w:val="fr-FR"/>
        </w:rPr>
        <w:t>’</w:t>
      </w:r>
      <w:r w:rsidRPr="00A75276">
        <w:rPr>
          <w:lang w:val="fr-FR"/>
        </w:rPr>
        <w:t>Amérique, Office espagnol des brevets et des marques, Office européen des brevets, Office finlandais des brevets et de l</w:t>
      </w:r>
      <w:r w:rsidR="009C53EC" w:rsidRPr="00A75276">
        <w:rPr>
          <w:lang w:val="fr-FR"/>
        </w:rPr>
        <w:t>’</w:t>
      </w:r>
      <w:r w:rsidRPr="00A75276">
        <w:rPr>
          <w:lang w:val="fr-FR"/>
        </w:rPr>
        <w:t>enregistrement, Office indien des brevets, Office suédois des brevets et de l</w:t>
      </w:r>
      <w:r w:rsidR="009C53EC" w:rsidRPr="00A75276">
        <w:rPr>
          <w:lang w:val="fr-FR"/>
        </w:rPr>
        <w:t>’</w:t>
      </w:r>
      <w:r w:rsidRPr="00A75276">
        <w:rPr>
          <w:lang w:val="fr-FR"/>
        </w:rPr>
        <w:t>enregistrement et Service fédéral pour la propriété intellectuelle de la Fédération de Russie (</w:t>
      </w:r>
      <w:proofErr w:type="spellStart"/>
      <w:r w:rsidRPr="00A75276">
        <w:rPr>
          <w:lang w:val="fr-FR"/>
        </w:rPr>
        <w:t>Rospatent</w:t>
      </w:r>
      <w:proofErr w:type="spellEnd"/>
      <w:r w:rsidRPr="00A75276">
        <w:rPr>
          <w:lang w:val="fr-FR"/>
        </w:rPr>
        <w:t>)</w:t>
      </w:r>
      <w:r w:rsidR="004838AB" w:rsidRPr="00A75276">
        <w:rPr>
          <w:lang w:val="fr-FR"/>
        </w:rPr>
        <w:t>.</w:t>
      </w:r>
    </w:p>
    <w:p w:rsidR="00715135" w:rsidRPr="00A75276" w:rsidRDefault="00360B03" w:rsidP="00360B03">
      <w:pPr>
        <w:pStyle w:val="ONUMFS"/>
        <w:rPr>
          <w:lang w:val="fr-FR"/>
        </w:rPr>
      </w:pPr>
      <w:r w:rsidRPr="00A75276">
        <w:rPr>
          <w:lang w:val="fr-FR"/>
        </w:rPr>
        <w:t>La liste des participants figure dans l</w:t>
      </w:r>
      <w:r w:rsidR="009C53EC" w:rsidRPr="00A75276">
        <w:rPr>
          <w:lang w:val="fr-FR"/>
        </w:rPr>
        <w:t>’</w:t>
      </w:r>
      <w:r w:rsidRPr="00A75276">
        <w:rPr>
          <w:lang w:val="fr-FR"/>
        </w:rPr>
        <w:t>annexe I du présent document.</w:t>
      </w:r>
    </w:p>
    <w:p w:rsidR="00715135" w:rsidRPr="00A75276" w:rsidRDefault="00141119" w:rsidP="0090244E">
      <w:pPr>
        <w:pStyle w:val="Heading1"/>
        <w:rPr>
          <w:lang w:val="fr-FR"/>
        </w:rPr>
      </w:pPr>
      <w:r w:rsidRPr="00A75276">
        <w:rPr>
          <w:lang w:val="fr-FR"/>
        </w:rPr>
        <w:t>Point </w:t>
      </w:r>
      <w:r w:rsidR="0090244E" w:rsidRPr="00A75276">
        <w:rPr>
          <w:lang w:val="fr-FR"/>
        </w:rPr>
        <w:t>1 de l</w:t>
      </w:r>
      <w:r w:rsidR="009C53EC" w:rsidRPr="00A75276">
        <w:rPr>
          <w:lang w:val="fr-FR"/>
        </w:rPr>
        <w:t>’</w:t>
      </w:r>
      <w:r w:rsidR="0090244E" w:rsidRPr="00A75276">
        <w:rPr>
          <w:lang w:val="fr-FR"/>
        </w:rPr>
        <w:t>ordre du jour</w:t>
      </w:r>
      <w:r w:rsidRPr="00A75276">
        <w:rPr>
          <w:lang w:val="fr-FR"/>
        </w:rPr>
        <w:t> </w:t>
      </w:r>
      <w:r w:rsidR="0090244E" w:rsidRPr="00A75276">
        <w:rPr>
          <w:lang w:val="fr-FR"/>
        </w:rPr>
        <w:t>: ouverture de la réunion</w:t>
      </w:r>
    </w:p>
    <w:p w:rsidR="00715135" w:rsidRPr="00A75276" w:rsidRDefault="00141119" w:rsidP="0090244E">
      <w:pPr>
        <w:pStyle w:val="ONUMFS"/>
        <w:rPr>
          <w:lang w:val="fr-FR"/>
        </w:rPr>
      </w:pPr>
      <w:r w:rsidRPr="00A75276">
        <w:rPr>
          <w:lang w:val="fr-FR"/>
        </w:rPr>
        <w:t>M. John Sandage, vice</w:t>
      </w:r>
      <w:r w:rsidR="00A16C85" w:rsidRPr="00A75276">
        <w:rPr>
          <w:lang w:val="fr-FR"/>
        </w:rPr>
        <w:noBreakHyphen/>
      </w:r>
      <w:r w:rsidR="0090244E" w:rsidRPr="00A75276">
        <w:rPr>
          <w:lang w:val="fr-FR"/>
        </w:rPr>
        <w:t>directeur général de l</w:t>
      </w:r>
      <w:r w:rsidR="009C53EC" w:rsidRPr="00A75276">
        <w:rPr>
          <w:lang w:val="fr-FR"/>
        </w:rPr>
        <w:t>’</w:t>
      </w:r>
      <w:r w:rsidR="0090244E" w:rsidRPr="00A75276">
        <w:rPr>
          <w:lang w:val="fr-FR"/>
        </w:rPr>
        <w:t>OMPI, a souhaité la bienvenue aux participants au nom du Directeur génér</w:t>
      </w:r>
      <w:r w:rsidR="00A16C85" w:rsidRPr="00A75276">
        <w:rPr>
          <w:lang w:val="fr-FR"/>
        </w:rPr>
        <w:t>al.  Da</w:t>
      </w:r>
      <w:r w:rsidR="005E3CED" w:rsidRPr="00A75276">
        <w:rPr>
          <w:lang w:val="fr-FR"/>
        </w:rPr>
        <w:t>ns ses observations liminaires</w:t>
      </w:r>
      <w:r w:rsidR="004838AB" w:rsidRPr="00A75276">
        <w:rPr>
          <w:lang w:val="fr-FR"/>
        </w:rPr>
        <w:t xml:space="preserve">, </w:t>
      </w:r>
      <w:r w:rsidR="005E3CED" w:rsidRPr="00A75276">
        <w:rPr>
          <w:lang w:val="fr-FR"/>
        </w:rPr>
        <w:t>il a remercié en particulier l</w:t>
      </w:r>
      <w:r w:rsidR="009C53EC" w:rsidRPr="00A75276">
        <w:rPr>
          <w:lang w:val="fr-FR"/>
        </w:rPr>
        <w:t>’</w:t>
      </w:r>
      <w:r w:rsidR="005E3CED" w:rsidRPr="00A75276">
        <w:rPr>
          <w:lang w:val="fr-FR"/>
        </w:rPr>
        <w:t xml:space="preserve">Institut national de la propriété industrielle du Chili </w:t>
      </w:r>
      <w:r w:rsidR="004838AB" w:rsidRPr="00A75276">
        <w:rPr>
          <w:lang w:val="fr-FR"/>
        </w:rPr>
        <w:t xml:space="preserve">(INAPI) </w:t>
      </w:r>
      <w:r w:rsidR="00C436E7" w:rsidRPr="00A75276">
        <w:rPr>
          <w:lang w:val="fr-FR"/>
        </w:rPr>
        <w:t>d</w:t>
      </w:r>
      <w:r w:rsidR="009C53EC" w:rsidRPr="00A75276">
        <w:rPr>
          <w:lang w:val="fr-FR"/>
        </w:rPr>
        <w:t>’</w:t>
      </w:r>
      <w:r w:rsidR="00C436E7" w:rsidRPr="00A75276">
        <w:rPr>
          <w:lang w:val="fr-FR"/>
        </w:rPr>
        <w:t>accueillir la réunion, souligné les principales réalisations de l</w:t>
      </w:r>
      <w:r w:rsidR="009C53EC" w:rsidRPr="00A75276">
        <w:rPr>
          <w:lang w:val="fr-FR"/>
        </w:rPr>
        <w:t>’</w:t>
      </w:r>
      <w:r w:rsidR="004838AB" w:rsidRPr="00A75276">
        <w:rPr>
          <w:lang w:val="fr-FR"/>
        </w:rPr>
        <w:t xml:space="preserve">INAPI </w:t>
      </w:r>
      <w:r w:rsidR="00C436E7" w:rsidRPr="00A75276">
        <w:rPr>
          <w:lang w:val="fr-FR"/>
        </w:rPr>
        <w:t>depuis sa création en</w:t>
      </w:r>
      <w:r w:rsidR="00432F5D" w:rsidRPr="00A75276">
        <w:rPr>
          <w:lang w:val="fr-FR"/>
        </w:rPr>
        <w:t> </w:t>
      </w:r>
      <w:r w:rsidR="004838AB" w:rsidRPr="00A75276">
        <w:rPr>
          <w:lang w:val="fr-FR"/>
        </w:rPr>
        <w:t xml:space="preserve">2009, </w:t>
      </w:r>
      <w:r w:rsidR="00C436E7" w:rsidRPr="00A75276">
        <w:rPr>
          <w:lang w:val="fr-FR"/>
        </w:rPr>
        <w:t>notamment l</w:t>
      </w:r>
      <w:r w:rsidR="009C53EC" w:rsidRPr="00A75276">
        <w:rPr>
          <w:lang w:val="fr-FR"/>
        </w:rPr>
        <w:t>’</w:t>
      </w:r>
      <w:r w:rsidR="00C436E7" w:rsidRPr="00A75276">
        <w:rPr>
          <w:lang w:val="fr-FR"/>
        </w:rPr>
        <w:t>adhésion</w:t>
      </w:r>
      <w:r w:rsidR="002E5DCA" w:rsidRPr="00A75276">
        <w:rPr>
          <w:lang w:val="fr-FR"/>
        </w:rPr>
        <w:t xml:space="preserve"> au PCT</w:t>
      </w:r>
      <w:r w:rsidR="00C436E7" w:rsidRPr="00A75276">
        <w:rPr>
          <w:lang w:val="fr-FR"/>
        </w:rPr>
        <w:t xml:space="preserve"> e</w:t>
      </w:r>
      <w:r w:rsidR="004838AB" w:rsidRPr="00A75276">
        <w:rPr>
          <w:lang w:val="fr-FR"/>
        </w:rPr>
        <w:t>n</w:t>
      </w:r>
      <w:r w:rsidR="00432F5D" w:rsidRPr="00A75276">
        <w:rPr>
          <w:lang w:val="fr-FR"/>
        </w:rPr>
        <w:t> </w:t>
      </w:r>
      <w:r w:rsidR="004838AB" w:rsidRPr="00A75276">
        <w:rPr>
          <w:lang w:val="fr-FR"/>
        </w:rPr>
        <w:t xml:space="preserve">2009 </w:t>
      </w:r>
      <w:r w:rsidR="00423E10" w:rsidRPr="00A75276">
        <w:rPr>
          <w:lang w:val="fr-FR"/>
        </w:rPr>
        <w:t xml:space="preserve">et </w:t>
      </w:r>
      <w:r w:rsidR="00C436E7" w:rsidRPr="00A75276">
        <w:rPr>
          <w:lang w:val="fr-FR"/>
        </w:rPr>
        <w:t xml:space="preserve">sa nomination en </w:t>
      </w:r>
      <w:r w:rsidR="002C7217" w:rsidRPr="00A75276">
        <w:rPr>
          <w:lang w:val="fr-FR"/>
        </w:rPr>
        <w:t>qualité d</w:t>
      </w:r>
      <w:r w:rsidR="009C53EC" w:rsidRPr="00A75276">
        <w:rPr>
          <w:lang w:val="fr-FR"/>
        </w:rPr>
        <w:t>’</w:t>
      </w:r>
      <w:r w:rsidR="00C436E7" w:rsidRPr="00A75276">
        <w:rPr>
          <w:lang w:val="fr-FR"/>
        </w:rPr>
        <w:t>administration internationale en</w:t>
      </w:r>
      <w:r w:rsidR="00432F5D" w:rsidRPr="00A75276">
        <w:rPr>
          <w:lang w:val="fr-FR"/>
        </w:rPr>
        <w:t> </w:t>
      </w:r>
      <w:r w:rsidR="004838AB" w:rsidRPr="00A75276">
        <w:rPr>
          <w:lang w:val="fr-FR"/>
        </w:rPr>
        <w:t xml:space="preserve">2012, </w:t>
      </w:r>
      <w:r w:rsidR="002C7217" w:rsidRPr="00A75276">
        <w:rPr>
          <w:lang w:val="fr-FR"/>
        </w:rPr>
        <w:t>et mis en exergue le rôle du partage du travail entre les o</w:t>
      </w:r>
      <w:r w:rsidR="004838AB" w:rsidRPr="00A75276">
        <w:rPr>
          <w:lang w:val="fr-FR"/>
        </w:rPr>
        <w:t xml:space="preserve">ffices </w:t>
      </w:r>
      <w:r w:rsidR="002C7217" w:rsidRPr="00A75276">
        <w:rPr>
          <w:lang w:val="fr-FR"/>
        </w:rPr>
        <w:t>et l</w:t>
      </w:r>
      <w:r w:rsidR="009C53EC" w:rsidRPr="00A75276">
        <w:rPr>
          <w:lang w:val="fr-FR"/>
        </w:rPr>
        <w:t>’</w:t>
      </w:r>
      <w:r w:rsidR="004838AB" w:rsidRPr="00A75276">
        <w:rPr>
          <w:lang w:val="fr-FR"/>
        </w:rPr>
        <w:t>importance</w:t>
      </w:r>
      <w:r w:rsidR="002E5DCA" w:rsidRPr="00A75276">
        <w:rPr>
          <w:lang w:val="fr-FR"/>
        </w:rPr>
        <w:t xml:space="preserve"> du PCT</w:t>
      </w:r>
      <w:r w:rsidR="004838AB" w:rsidRPr="00A75276">
        <w:rPr>
          <w:lang w:val="fr-FR"/>
        </w:rPr>
        <w:t xml:space="preserve"> </w:t>
      </w:r>
      <w:r w:rsidR="002C7217" w:rsidRPr="00A75276">
        <w:rPr>
          <w:lang w:val="fr-FR"/>
        </w:rPr>
        <w:t>dans ce</w:t>
      </w:r>
      <w:r w:rsidR="004838AB" w:rsidRPr="00A75276">
        <w:rPr>
          <w:lang w:val="fr-FR"/>
        </w:rPr>
        <w:t xml:space="preserve"> context</w:t>
      </w:r>
      <w:r w:rsidR="002C7217" w:rsidRPr="00A75276">
        <w:rPr>
          <w:lang w:val="fr-FR"/>
        </w:rPr>
        <w:t>e</w:t>
      </w:r>
      <w:r w:rsidR="004838AB" w:rsidRPr="00A75276">
        <w:rPr>
          <w:lang w:val="fr-FR"/>
        </w:rPr>
        <w:t>.</w:t>
      </w:r>
    </w:p>
    <w:p w:rsidR="00715135" w:rsidRPr="00A75276" w:rsidRDefault="002C7217" w:rsidP="002C7217">
      <w:pPr>
        <w:pStyle w:val="ONUMFS"/>
        <w:rPr>
          <w:lang w:val="fr-FR"/>
        </w:rPr>
      </w:pPr>
      <w:r w:rsidRPr="00A75276">
        <w:rPr>
          <w:lang w:val="fr-FR"/>
        </w:rPr>
        <w:t>M.</w:t>
      </w:r>
      <w:r w:rsidR="00432F5D" w:rsidRPr="00A75276">
        <w:rPr>
          <w:lang w:val="fr-FR"/>
        </w:rPr>
        <w:t> </w:t>
      </w:r>
      <w:r w:rsidR="001D7A85" w:rsidRPr="00A75276">
        <w:rPr>
          <w:lang w:val="fr-FR"/>
        </w:rPr>
        <w:t>Maximiliano </w:t>
      </w:r>
      <w:r w:rsidRPr="00A75276">
        <w:rPr>
          <w:lang w:val="fr-FR"/>
        </w:rPr>
        <w:t>Santa Cruz, directeur national de l</w:t>
      </w:r>
      <w:r w:rsidR="009C53EC" w:rsidRPr="00A75276">
        <w:rPr>
          <w:lang w:val="fr-FR"/>
        </w:rPr>
        <w:t>’</w:t>
      </w:r>
      <w:r w:rsidRPr="00A75276">
        <w:rPr>
          <w:lang w:val="fr-FR"/>
        </w:rPr>
        <w:t xml:space="preserve">Institut national de la propriété industrielle du Chili (INAPI), a souhaité la bienvenue aux </w:t>
      </w:r>
      <w:r w:rsidR="00423E10" w:rsidRPr="00A75276">
        <w:rPr>
          <w:lang w:val="fr-FR"/>
        </w:rPr>
        <w:t xml:space="preserve">participants </w:t>
      </w:r>
      <w:r w:rsidRPr="00A75276">
        <w:rPr>
          <w:lang w:val="fr-FR"/>
        </w:rPr>
        <w:t>de la première Réunion des administrations internationales à se tenir au Chi</w:t>
      </w:r>
      <w:r w:rsidR="00A16C85" w:rsidRPr="00A75276">
        <w:rPr>
          <w:lang w:val="fr-FR"/>
        </w:rPr>
        <w:t>li.  Da</w:t>
      </w:r>
      <w:r w:rsidRPr="00A75276">
        <w:rPr>
          <w:lang w:val="fr-FR"/>
        </w:rPr>
        <w:t xml:space="preserve">ns ses observations liminaires, il a notamment </w:t>
      </w:r>
      <w:r w:rsidR="00423E10" w:rsidRPr="00A75276">
        <w:rPr>
          <w:lang w:val="fr-FR"/>
        </w:rPr>
        <w:t>mis en exergue</w:t>
      </w:r>
      <w:r w:rsidRPr="00A75276">
        <w:rPr>
          <w:lang w:val="fr-FR"/>
        </w:rPr>
        <w:t xml:space="preserve"> le rôle</w:t>
      </w:r>
      <w:r w:rsidR="002E5DCA" w:rsidRPr="00A75276">
        <w:rPr>
          <w:lang w:val="fr-FR"/>
        </w:rPr>
        <w:t xml:space="preserve"> du PCT</w:t>
      </w:r>
      <w:r w:rsidRPr="00A75276">
        <w:rPr>
          <w:lang w:val="fr-FR"/>
        </w:rPr>
        <w:t xml:space="preserve"> en tant qu</w:t>
      </w:r>
      <w:r w:rsidR="009C53EC" w:rsidRPr="00A75276">
        <w:rPr>
          <w:lang w:val="fr-FR"/>
        </w:rPr>
        <w:t>’</w:t>
      </w:r>
      <w:r w:rsidRPr="00A75276">
        <w:rPr>
          <w:lang w:val="fr-FR"/>
        </w:rPr>
        <w:t>épine dorsale du système international des brevets et, soulignant l</w:t>
      </w:r>
      <w:r w:rsidR="009C53EC" w:rsidRPr="00A75276">
        <w:rPr>
          <w:lang w:val="fr-FR"/>
        </w:rPr>
        <w:t>’</w:t>
      </w:r>
      <w:r w:rsidRPr="00A75276">
        <w:rPr>
          <w:lang w:val="fr-FR"/>
        </w:rPr>
        <w:t>excellente coopération des États membres dans leurs efforts pour améliorer le système, a affirmé qu</w:t>
      </w:r>
      <w:r w:rsidR="009C53EC" w:rsidRPr="00A75276">
        <w:rPr>
          <w:lang w:val="fr-FR"/>
        </w:rPr>
        <w:t>’</w:t>
      </w:r>
      <w:r w:rsidRPr="00A75276">
        <w:rPr>
          <w:lang w:val="fr-FR"/>
        </w:rPr>
        <w:t xml:space="preserve">il constituait un </w:t>
      </w:r>
      <w:r w:rsidR="00423E10" w:rsidRPr="00A75276">
        <w:rPr>
          <w:lang w:val="fr-FR"/>
        </w:rPr>
        <w:t>excellent</w:t>
      </w:r>
      <w:r w:rsidRPr="00A75276">
        <w:rPr>
          <w:lang w:val="fr-FR"/>
        </w:rPr>
        <w:t xml:space="preserve"> exemple de bon fonctionnement d</w:t>
      </w:r>
      <w:r w:rsidR="009C53EC" w:rsidRPr="00A75276">
        <w:rPr>
          <w:lang w:val="fr-FR"/>
        </w:rPr>
        <w:t>’</w:t>
      </w:r>
      <w:r w:rsidRPr="00A75276">
        <w:rPr>
          <w:lang w:val="fr-FR"/>
        </w:rPr>
        <w:t>un cadre multilatéral.</w:t>
      </w:r>
    </w:p>
    <w:p w:rsidR="00715135" w:rsidRPr="00A75276" w:rsidRDefault="00B60334" w:rsidP="00B60334">
      <w:pPr>
        <w:pStyle w:val="ONUMFS"/>
        <w:rPr>
          <w:lang w:val="fr-FR"/>
        </w:rPr>
      </w:pPr>
      <w:r w:rsidRPr="00A75276">
        <w:rPr>
          <w:lang w:val="fr-FR"/>
        </w:rPr>
        <w:t>M.</w:t>
      </w:r>
      <w:r w:rsidR="00432F5D" w:rsidRPr="00A75276">
        <w:rPr>
          <w:lang w:val="fr-FR"/>
        </w:rPr>
        <w:t> </w:t>
      </w:r>
      <w:r w:rsidR="001D7A85" w:rsidRPr="00A75276">
        <w:rPr>
          <w:lang w:val="fr-FR"/>
        </w:rPr>
        <w:t>Luis Felipe </w:t>
      </w:r>
      <w:proofErr w:type="spellStart"/>
      <w:r w:rsidRPr="00A75276">
        <w:rPr>
          <w:lang w:val="fr-FR"/>
        </w:rPr>
        <w:t>Céspedes</w:t>
      </w:r>
      <w:proofErr w:type="spellEnd"/>
      <w:r w:rsidRPr="00A75276">
        <w:rPr>
          <w:lang w:val="fr-FR"/>
        </w:rPr>
        <w:t>, ministre de l</w:t>
      </w:r>
      <w:r w:rsidR="009C53EC" w:rsidRPr="00A75276">
        <w:rPr>
          <w:lang w:val="fr-FR"/>
        </w:rPr>
        <w:t>’</w:t>
      </w:r>
      <w:r w:rsidRPr="00A75276">
        <w:rPr>
          <w:lang w:val="fr-FR"/>
        </w:rPr>
        <w:t>économie, du développement et du tourisme du Chili</w:t>
      </w:r>
      <w:r w:rsidR="00423E10" w:rsidRPr="00A75276">
        <w:rPr>
          <w:lang w:val="fr-FR"/>
        </w:rPr>
        <w:t>,</w:t>
      </w:r>
      <w:r w:rsidRPr="00A75276">
        <w:rPr>
          <w:lang w:val="fr-FR"/>
        </w:rPr>
        <w:t xml:space="preserve"> a pris la parole dans l</w:t>
      </w:r>
      <w:r w:rsidR="009C53EC" w:rsidRPr="00A75276">
        <w:rPr>
          <w:lang w:val="fr-FR"/>
        </w:rPr>
        <w:t>’</w:t>
      </w:r>
      <w:r w:rsidRPr="00A75276">
        <w:rPr>
          <w:lang w:val="fr-FR"/>
        </w:rPr>
        <w:t>après</w:t>
      </w:r>
      <w:r w:rsidR="00A16C85" w:rsidRPr="00A75276">
        <w:rPr>
          <w:lang w:val="fr-FR"/>
        </w:rPr>
        <w:noBreakHyphen/>
      </w:r>
      <w:r w:rsidRPr="00A75276">
        <w:rPr>
          <w:lang w:val="fr-FR"/>
        </w:rPr>
        <w:t>midi du 2</w:t>
      </w:r>
      <w:r w:rsidR="002E5DCA" w:rsidRPr="00A75276">
        <w:rPr>
          <w:lang w:val="fr-FR"/>
        </w:rPr>
        <w:t>0 janvier 20</w:t>
      </w:r>
      <w:r w:rsidRPr="00A75276">
        <w:rPr>
          <w:lang w:val="fr-FR"/>
        </w:rPr>
        <w:t>16.  Dans sa déclaration, il a notamment souligné l</w:t>
      </w:r>
      <w:r w:rsidR="009C53EC" w:rsidRPr="00A75276">
        <w:rPr>
          <w:lang w:val="fr-FR"/>
        </w:rPr>
        <w:t>’</w:t>
      </w:r>
      <w:r w:rsidRPr="00A75276">
        <w:rPr>
          <w:lang w:val="fr-FR"/>
        </w:rPr>
        <w:t>importance de l</w:t>
      </w:r>
      <w:r w:rsidR="009C53EC" w:rsidRPr="00A75276">
        <w:rPr>
          <w:lang w:val="fr-FR"/>
        </w:rPr>
        <w:t>’</w:t>
      </w:r>
      <w:r w:rsidRPr="00A75276">
        <w:rPr>
          <w:lang w:val="fr-FR"/>
        </w:rPr>
        <w:t>innovation comme moteur de la croissance et de l</w:t>
      </w:r>
      <w:r w:rsidR="009C53EC" w:rsidRPr="00A75276">
        <w:rPr>
          <w:lang w:val="fr-FR"/>
        </w:rPr>
        <w:t>’</w:t>
      </w:r>
      <w:r w:rsidRPr="00A75276">
        <w:rPr>
          <w:lang w:val="fr-FR"/>
        </w:rPr>
        <w:t>augmentation la productivité pour un pays comme la Chine, et le rôle joué et les réalisations obtenues par l</w:t>
      </w:r>
      <w:r w:rsidR="009C53EC" w:rsidRPr="00A75276">
        <w:rPr>
          <w:lang w:val="fr-FR"/>
        </w:rPr>
        <w:t>’</w:t>
      </w:r>
      <w:r w:rsidRPr="00A75276">
        <w:rPr>
          <w:lang w:val="fr-FR"/>
        </w:rPr>
        <w:t>INAPI au cours des six</w:t>
      </w:r>
      <w:r w:rsidR="00432F5D" w:rsidRPr="00A75276">
        <w:rPr>
          <w:lang w:val="fr-FR"/>
        </w:rPr>
        <w:t> </w:t>
      </w:r>
      <w:r w:rsidRPr="00A75276">
        <w:rPr>
          <w:lang w:val="fr-FR"/>
        </w:rPr>
        <w:t>années seulement écoulées depuis sa création en</w:t>
      </w:r>
      <w:r w:rsidR="00432F5D" w:rsidRPr="00A75276">
        <w:rPr>
          <w:lang w:val="fr-FR"/>
        </w:rPr>
        <w:t> </w:t>
      </w:r>
      <w:r w:rsidRPr="00A75276">
        <w:rPr>
          <w:lang w:val="fr-FR"/>
        </w:rPr>
        <w:t>2009.</w:t>
      </w:r>
    </w:p>
    <w:p w:rsidR="00715135" w:rsidRPr="00A75276" w:rsidRDefault="00141119" w:rsidP="0090244E">
      <w:pPr>
        <w:pStyle w:val="Heading1"/>
        <w:rPr>
          <w:lang w:val="fr-FR"/>
        </w:rPr>
      </w:pPr>
      <w:r w:rsidRPr="00A75276">
        <w:rPr>
          <w:lang w:val="fr-FR"/>
        </w:rPr>
        <w:t>Point </w:t>
      </w:r>
      <w:r w:rsidR="0090244E" w:rsidRPr="00A75276">
        <w:rPr>
          <w:lang w:val="fr-FR"/>
        </w:rPr>
        <w:t>2 de l</w:t>
      </w:r>
      <w:r w:rsidR="009C53EC" w:rsidRPr="00A75276">
        <w:rPr>
          <w:lang w:val="fr-FR"/>
        </w:rPr>
        <w:t>’</w:t>
      </w:r>
      <w:r w:rsidR="0090244E" w:rsidRPr="00A75276">
        <w:rPr>
          <w:lang w:val="fr-FR"/>
        </w:rPr>
        <w:t>ordre du jour</w:t>
      </w:r>
      <w:r w:rsidRPr="00A75276">
        <w:rPr>
          <w:lang w:val="fr-FR"/>
        </w:rPr>
        <w:t> </w:t>
      </w:r>
      <w:r w:rsidR="0090244E" w:rsidRPr="00A75276">
        <w:rPr>
          <w:lang w:val="fr-FR"/>
        </w:rPr>
        <w:t>: élection d</w:t>
      </w:r>
      <w:r w:rsidR="009C53EC" w:rsidRPr="00A75276">
        <w:rPr>
          <w:lang w:val="fr-FR"/>
        </w:rPr>
        <w:t>’</w:t>
      </w:r>
      <w:r w:rsidR="0090244E" w:rsidRPr="00A75276">
        <w:rPr>
          <w:lang w:val="fr-FR"/>
        </w:rPr>
        <w:t>un président</w:t>
      </w:r>
    </w:p>
    <w:p w:rsidR="00715135" w:rsidRPr="00A75276" w:rsidRDefault="00B60334" w:rsidP="00360B03">
      <w:pPr>
        <w:pStyle w:val="ONUMFS"/>
        <w:rPr>
          <w:lang w:val="fr-FR"/>
        </w:rPr>
      </w:pPr>
      <w:r w:rsidRPr="00A75276">
        <w:rPr>
          <w:lang w:val="fr-FR"/>
        </w:rPr>
        <w:t xml:space="preserve">La </w:t>
      </w:r>
      <w:r w:rsidR="004D25E1" w:rsidRPr="00A75276">
        <w:rPr>
          <w:lang w:val="fr-FR"/>
        </w:rPr>
        <w:t>réunion</w:t>
      </w:r>
      <w:r w:rsidRPr="00A75276">
        <w:rPr>
          <w:lang w:val="fr-FR"/>
        </w:rPr>
        <w:t xml:space="preserve"> a été présidée par M</w:t>
      </w:r>
      <w:r w:rsidR="004838AB" w:rsidRPr="00A75276">
        <w:rPr>
          <w:lang w:val="fr-FR"/>
        </w:rPr>
        <w:t>.</w:t>
      </w:r>
      <w:r w:rsidR="00432F5D" w:rsidRPr="00A75276">
        <w:rPr>
          <w:lang w:val="fr-FR"/>
        </w:rPr>
        <w:t> </w:t>
      </w:r>
      <w:r w:rsidR="008925E3" w:rsidRPr="00A75276">
        <w:rPr>
          <w:lang w:val="fr-FR"/>
        </w:rPr>
        <w:t>Maximiliano </w:t>
      </w:r>
      <w:r w:rsidR="004838AB" w:rsidRPr="00A75276">
        <w:rPr>
          <w:lang w:val="fr-FR"/>
        </w:rPr>
        <w:t xml:space="preserve">Santa Cruz, </w:t>
      </w:r>
      <w:r w:rsidRPr="00A75276">
        <w:rPr>
          <w:lang w:val="fr-FR"/>
        </w:rPr>
        <w:t>directeur n</w:t>
      </w:r>
      <w:r w:rsidR="004838AB" w:rsidRPr="00A75276">
        <w:rPr>
          <w:lang w:val="fr-FR"/>
        </w:rPr>
        <w:t xml:space="preserve">ational </w:t>
      </w:r>
      <w:r w:rsidR="002C7217" w:rsidRPr="00A75276">
        <w:rPr>
          <w:lang w:val="fr-FR"/>
        </w:rPr>
        <w:t>l</w:t>
      </w:r>
      <w:r w:rsidR="009C53EC" w:rsidRPr="00A75276">
        <w:rPr>
          <w:lang w:val="fr-FR"/>
        </w:rPr>
        <w:t>’</w:t>
      </w:r>
      <w:r w:rsidR="002C7217" w:rsidRPr="00A75276">
        <w:rPr>
          <w:lang w:val="fr-FR"/>
        </w:rPr>
        <w:t>Institut national de la propriété industrielle du Chili</w:t>
      </w:r>
      <w:r w:rsidR="004838AB" w:rsidRPr="00A75276">
        <w:rPr>
          <w:lang w:val="fr-FR"/>
        </w:rPr>
        <w:t>.</w:t>
      </w:r>
    </w:p>
    <w:p w:rsidR="00715135" w:rsidRPr="00A75276" w:rsidRDefault="00141119" w:rsidP="0090244E">
      <w:pPr>
        <w:pStyle w:val="Heading1"/>
        <w:rPr>
          <w:lang w:val="fr-FR"/>
        </w:rPr>
      </w:pPr>
      <w:r w:rsidRPr="00A75276">
        <w:rPr>
          <w:lang w:val="fr-FR"/>
        </w:rPr>
        <w:lastRenderedPageBreak/>
        <w:t>Point </w:t>
      </w:r>
      <w:r w:rsidR="0090244E" w:rsidRPr="00A75276">
        <w:rPr>
          <w:lang w:val="fr-FR"/>
        </w:rPr>
        <w:t>3 de l</w:t>
      </w:r>
      <w:r w:rsidR="009C53EC" w:rsidRPr="00A75276">
        <w:rPr>
          <w:lang w:val="fr-FR"/>
        </w:rPr>
        <w:t>’</w:t>
      </w:r>
      <w:r w:rsidR="0090244E" w:rsidRPr="00A75276">
        <w:rPr>
          <w:lang w:val="fr-FR"/>
        </w:rPr>
        <w:t>ordre du jour</w:t>
      </w:r>
      <w:r w:rsidRPr="00A75276">
        <w:rPr>
          <w:lang w:val="fr-FR"/>
        </w:rPr>
        <w:t> </w:t>
      </w:r>
      <w:r w:rsidR="0090244E" w:rsidRPr="00A75276">
        <w:rPr>
          <w:lang w:val="fr-FR"/>
        </w:rPr>
        <w:t>: adoption de l</w:t>
      </w:r>
      <w:r w:rsidR="009C53EC" w:rsidRPr="00A75276">
        <w:rPr>
          <w:lang w:val="fr-FR"/>
        </w:rPr>
        <w:t>’</w:t>
      </w:r>
      <w:r w:rsidR="0090244E" w:rsidRPr="00A75276">
        <w:rPr>
          <w:lang w:val="fr-FR"/>
        </w:rPr>
        <w:t>ordre du jour</w:t>
      </w:r>
    </w:p>
    <w:p w:rsidR="00715135" w:rsidRPr="00A75276" w:rsidRDefault="0090244E" w:rsidP="0090244E">
      <w:pPr>
        <w:pStyle w:val="ONUMFS"/>
        <w:rPr>
          <w:lang w:val="fr-FR"/>
        </w:rPr>
      </w:pPr>
      <w:r w:rsidRPr="00A75276">
        <w:rPr>
          <w:lang w:val="fr-FR"/>
        </w:rPr>
        <w:t>Les participants ont adopté l</w:t>
      </w:r>
      <w:r w:rsidR="009C53EC" w:rsidRPr="00A75276">
        <w:rPr>
          <w:lang w:val="fr-FR"/>
        </w:rPr>
        <w:t>’</w:t>
      </w:r>
      <w:r w:rsidRPr="00A75276">
        <w:rPr>
          <w:lang w:val="fr-FR"/>
        </w:rPr>
        <w:t>ordre du jour tel qu</w:t>
      </w:r>
      <w:r w:rsidR="009C53EC" w:rsidRPr="00A75276">
        <w:rPr>
          <w:lang w:val="fr-FR"/>
        </w:rPr>
        <w:t>’</w:t>
      </w:r>
      <w:r w:rsidRPr="00A75276">
        <w:rPr>
          <w:lang w:val="fr-FR"/>
        </w:rPr>
        <w:t>il figure dans le document PCT/MIA/23/1 </w:t>
      </w:r>
      <w:proofErr w:type="spellStart"/>
      <w:r w:rsidRPr="00A75276">
        <w:rPr>
          <w:lang w:val="fr-FR"/>
        </w:rPr>
        <w:t>Rev</w:t>
      </w:r>
      <w:proofErr w:type="spellEnd"/>
      <w:r w:rsidRPr="00A75276">
        <w:rPr>
          <w:lang w:val="fr-FR"/>
        </w:rPr>
        <w:t>.</w:t>
      </w:r>
    </w:p>
    <w:p w:rsidR="00715135" w:rsidRPr="00A75276" w:rsidRDefault="00141119" w:rsidP="0090244E">
      <w:pPr>
        <w:pStyle w:val="Heading1"/>
        <w:rPr>
          <w:lang w:val="fr-FR"/>
        </w:rPr>
      </w:pPr>
      <w:r w:rsidRPr="00A75276">
        <w:rPr>
          <w:lang w:val="fr-FR"/>
        </w:rPr>
        <w:t>Point </w:t>
      </w:r>
      <w:r w:rsidR="0090244E" w:rsidRPr="00A75276">
        <w:rPr>
          <w:lang w:val="fr-FR"/>
        </w:rPr>
        <w:t>4 de l</w:t>
      </w:r>
      <w:r w:rsidR="009C53EC" w:rsidRPr="00A75276">
        <w:rPr>
          <w:lang w:val="fr-FR"/>
        </w:rPr>
        <w:t>’</w:t>
      </w:r>
      <w:r w:rsidR="0090244E" w:rsidRPr="00A75276">
        <w:rPr>
          <w:lang w:val="fr-FR"/>
        </w:rPr>
        <w:t>ordre du jour</w:t>
      </w:r>
      <w:r w:rsidRPr="00A75276">
        <w:rPr>
          <w:lang w:val="fr-FR"/>
        </w:rPr>
        <w:t> </w:t>
      </w:r>
      <w:r w:rsidR="0090244E" w:rsidRPr="00A75276">
        <w:rPr>
          <w:lang w:val="fr-FR"/>
        </w:rPr>
        <w:t>: statistiques concernant</w:t>
      </w:r>
      <w:r w:rsidR="002E5DCA" w:rsidRPr="00A75276">
        <w:rPr>
          <w:lang w:val="fr-FR"/>
        </w:rPr>
        <w:t xml:space="preserve"> le PCT</w:t>
      </w:r>
    </w:p>
    <w:p w:rsidR="00715135" w:rsidRPr="00A75276" w:rsidRDefault="0090244E" w:rsidP="0090244E">
      <w:pPr>
        <w:pStyle w:val="ONUMFS"/>
        <w:rPr>
          <w:lang w:val="fr-FR"/>
        </w:rPr>
      </w:pPr>
      <w:r w:rsidRPr="00A75276">
        <w:rPr>
          <w:lang w:val="fr-FR"/>
        </w:rPr>
        <w:t>Les participants de la réunion ont pris bonne note de l</w:t>
      </w:r>
      <w:r w:rsidR="009C53EC" w:rsidRPr="00A75276">
        <w:rPr>
          <w:lang w:val="fr-FR"/>
        </w:rPr>
        <w:t>’</w:t>
      </w:r>
      <w:r w:rsidRPr="00A75276">
        <w:rPr>
          <w:lang w:val="fr-FR"/>
        </w:rPr>
        <w:t>exposé du Bureau international sur les plus récentes statistiques concernant</w:t>
      </w:r>
      <w:r w:rsidR="002E5DCA" w:rsidRPr="00A75276">
        <w:rPr>
          <w:lang w:val="fr-FR"/>
        </w:rPr>
        <w:t xml:space="preserve"> le PCT</w:t>
      </w:r>
      <w:r w:rsidRPr="00A75276">
        <w:rPr>
          <w:rStyle w:val="FootnoteReference"/>
          <w:lang w:val="fr-FR"/>
        </w:rPr>
        <w:footnoteReference w:id="2"/>
      </w:r>
      <w:r w:rsidRPr="00A75276">
        <w:rPr>
          <w:lang w:val="fr-FR"/>
        </w:rPr>
        <w:t>.</w:t>
      </w:r>
    </w:p>
    <w:p w:rsidR="002E5DCA" w:rsidRPr="001A65DF" w:rsidRDefault="00351B21" w:rsidP="004838AB">
      <w:pPr>
        <w:pStyle w:val="Heading1"/>
        <w:rPr>
          <w:lang w:val="fr-FR"/>
        </w:rPr>
      </w:pPr>
      <w:r w:rsidRPr="00A75276">
        <w:rPr>
          <w:lang w:val="fr-FR"/>
        </w:rPr>
        <w:t>Point 5 de l</w:t>
      </w:r>
      <w:r w:rsidR="009C53EC" w:rsidRPr="00A75276">
        <w:rPr>
          <w:lang w:val="fr-FR"/>
        </w:rPr>
        <w:t>’</w:t>
      </w:r>
      <w:r w:rsidRPr="00A75276">
        <w:rPr>
          <w:lang w:val="fr-FR"/>
        </w:rPr>
        <w:t xml:space="preserve">ordre du jour : </w:t>
      </w:r>
      <w:r w:rsidR="00B469F8" w:rsidRPr="001A65DF">
        <w:rPr>
          <w:lang w:val="fr-FR"/>
        </w:rPr>
        <w:t>QUESTIONS DÉCOULANT DU SOUS</w:t>
      </w:r>
      <w:r w:rsidR="00A16C85" w:rsidRPr="001A65DF">
        <w:rPr>
          <w:lang w:val="fr-FR"/>
        </w:rPr>
        <w:noBreakHyphen/>
      </w:r>
      <w:r w:rsidR="00B469F8" w:rsidRPr="001A65DF">
        <w:rPr>
          <w:lang w:val="fr-FR"/>
        </w:rPr>
        <w:t>GROUPE CHARGÉ DE LA QUALITÉ</w:t>
      </w:r>
    </w:p>
    <w:p w:rsidR="00715135" w:rsidRPr="00A75276" w:rsidRDefault="00B60334" w:rsidP="004838AB">
      <w:pPr>
        <w:pStyle w:val="Heading2"/>
      </w:pPr>
      <w:r w:rsidRPr="00A75276">
        <w:t>a)</w:t>
      </w:r>
      <w:r w:rsidRPr="00A75276">
        <w:tab/>
        <w:t>qualitÉ</w:t>
      </w:r>
    </w:p>
    <w:p w:rsidR="00715135" w:rsidRPr="00A75276" w:rsidRDefault="004E1D34" w:rsidP="00360B03">
      <w:pPr>
        <w:pStyle w:val="ONUMFS"/>
        <w:rPr>
          <w:lang w:val="fr-FR"/>
        </w:rPr>
      </w:pPr>
      <w:r w:rsidRPr="00A75276">
        <w:rPr>
          <w:lang w:val="fr-FR"/>
        </w:rPr>
        <w:t>Aucune administration n</w:t>
      </w:r>
      <w:r w:rsidR="009C53EC" w:rsidRPr="00A75276">
        <w:rPr>
          <w:lang w:val="fr-FR"/>
        </w:rPr>
        <w:t>’</w:t>
      </w:r>
      <w:r w:rsidRPr="00A75276">
        <w:rPr>
          <w:lang w:val="fr-FR"/>
        </w:rPr>
        <w:t>est intervenue sur ce point de l</w:t>
      </w:r>
      <w:r w:rsidR="009C53EC" w:rsidRPr="00A75276">
        <w:rPr>
          <w:lang w:val="fr-FR"/>
        </w:rPr>
        <w:t>’</w:t>
      </w:r>
      <w:r w:rsidRPr="00A75276">
        <w:rPr>
          <w:lang w:val="fr-FR"/>
        </w:rPr>
        <w:t>ordre du jour.</w:t>
      </w:r>
    </w:p>
    <w:p w:rsidR="00715135" w:rsidRPr="00A75276" w:rsidRDefault="004838AB" w:rsidP="004838AB">
      <w:pPr>
        <w:pStyle w:val="Heading2"/>
      </w:pPr>
      <w:r w:rsidRPr="00A75276">
        <w:t>b)</w:t>
      </w:r>
      <w:r w:rsidRPr="00A75276">
        <w:tab/>
      </w:r>
      <w:r w:rsidR="00B60334" w:rsidRPr="00A75276">
        <w:t>nomination d</w:t>
      </w:r>
      <w:r w:rsidR="009C53EC" w:rsidRPr="00A75276">
        <w:t>’</w:t>
      </w:r>
      <w:r w:rsidR="00B60334" w:rsidRPr="00A75276">
        <w:t>administrations</w:t>
      </w:r>
    </w:p>
    <w:p w:rsidR="00715135" w:rsidRPr="00A75276" w:rsidRDefault="004E1D34" w:rsidP="00B60334">
      <w:pPr>
        <w:pStyle w:val="ONUMFS"/>
        <w:rPr>
          <w:lang w:val="fr-FR"/>
        </w:rPr>
      </w:pPr>
      <w:r w:rsidRPr="00A75276">
        <w:rPr>
          <w:lang w:val="fr-FR"/>
        </w:rPr>
        <w:t>Aucune administration n</w:t>
      </w:r>
      <w:r w:rsidR="009C53EC" w:rsidRPr="00A75276">
        <w:rPr>
          <w:lang w:val="fr-FR"/>
        </w:rPr>
        <w:t>’</w:t>
      </w:r>
      <w:r w:rsidRPr="00A75276">
        <w:rPr>
          <w:lang w:val="fr-FR"/>
        </w:rPr>
        <w:t>est intervenue sur ce point de l</w:t>
      </w:r>
      <w:r w:rsidR="009C53EC" w:rsidRPr="00A75276">
        <w:rPr>
          <w:lang w:val="fr-FR"/>
        </w:rPr>
        <w:t>’</w:t>
      </w:r>
      <w:r w:rsidRPr="00A75276">
        <w:rPr>
          <w:lang w:val="fr-FR"/>
        </w:rPr>
        <w:t>ordre du jour.</w:t>
      </w:r>
    </w:p>
    <w:p w:rsidR="00715135" w:rsidRPr="00A75276" w:rsidRDefault="004838AB" w:rsidP="00B60334">
      <w:pPr>
        <w:pStyle w:val="Heading2"/>
      </w:pPr>
      <w:r w:rsidRPr="00A75276">
        <w:t>c)</w:t>
      </w:r>
      <w:r w:rsidRPr="00A75276">
        <w:tab/>
      </w:r>
      <w:r w:rsidR="00B60334" w:rsidRPr="00A75276">
        <w:t>questions diverses</w:t>
      </w:r>
    </w:p>
    <w:p w:rsidR="00715135" w:rsidRPr="00A75276" w:rsidRDefault="004E1D34" w:rsidP="00B60334">
      <w:pPr>
        <w:pStyle w:val="ONUMFS"/>
        <w:rPr>
          <w:lang w:val="fr-FR"/>
        </w:rPr>
      </w:pPr>
      <w:r w:rsidRPr="00A75276">
        <w:rPr>
          <w:lang w:val="fr-FR"/>
        </w:rPr>
        <w:t>Aucune administration n</w:t>
      </w:r>
      <w:r w:rsidR="009C53EC" w:rsidRPr="00A75276">
        <w:rPr>
          <w:lang w:val="fr-FR"/>
        </w:rPr>
        <w:t>’</w:t>
      </w:r>
      <w:r w:rsidRPr="00A75276">
        <w:rPr>
          <w:lang w:val="fr-FR"/>
        </w:rPr>
        <w:t>est intervenue sur ce point de l</w:t>
      </w:r>
      <w:r w:rsidR="009C53EC" w:rsidRPr="00A75276">
        <w:rPr>
          <w:lang w:val="fr-FR"/>
        </w:rPr>
        <w:t>’</w:t>
      </w:r>
      <w:r w:rsidRPr="00A75276">
        <w:rPr>
          <w:lang w:val="fr-FR"/>
        </w:rPr>
        <w:t>ordre du jour.</w:t>
      </w:r>
    </w:p>
    <w:p w:rsidR="002E5DCA" w:rsidRPr="001A65DF" w:rsidRDefault="004838AB" w:rsidP="00B60334">
      <w:pPr>
        <w:pStyle w:val="Heading2"/>
        <w:rPr>
          <w:lang w:val="fr-FR"/>
        </w:rPr>
      </w:pPr>
      <w:r w:rsidRPr="001A65DF">
        <w:rPr>
          <w:lang w:val="fr-FR"/>
        </w:rPr>
        <w:t>d)</w:t>
      </w:r>
      <w:r w:rsidRPr="001A65DF">
        <w:rPr>
          <w:lang w:val="fr-FR"/>
        </w:rPr>
        <w:tab/>
      </w:r>
      <w:r w:rsidR="00B60334" w:rsidRPr="001A65DF">
        <w:rPr>
          <w:lang w:val="fr-FR"/>
        </w:rPr>
        <w:t>approbation du rapport du sous</w:t>
      </w:r>
      <w:r w:rsidR="00A16C85" w:rsidRPr="001A65DF">
        <w:rPr>
          <w:lang w:val="fr-FR"/>
        </w:rPr>
        <w:noBreakHyphen/>
      </w:r>
      <w:r w:rsidR="00B60334" w:rsidRPr="001A65DF">
        <w:rPr>
          <w:lang w:val="fr-FR"/>
        </w:rPr>
        <w:t>groupe chargé de la qualité et des recommandations concernant ses travaux futurs</w:t>
      </w:r>
    </w:p>
    <w:p w:rsidR="00715135" w:rsidRPr="00A75276" w:rsidRDefault="00B60334" w:rsidP="00360B03">
      <w:pPr>
        <w:pStyle w:val="ONUMFS"/>
        <w:ind w:left="567"/>
        <w:rPr>
          <w:lang w:val="fr-FR"/>
        </w:rPr>
      </w:pPr>
      <w:r w:rsidRPr="00A75276">
        <w:rPr>
          <w:lang w:val="fr-FR"/>
        </w:rPr>
        <w:t xml:space="preserve">La </w:t>
      </w:r>
      <w:r w:rsidR="004D25E1" w:rsidRPr="00A75276">
        <w:rPr>
          <w:lang w:val="fr-FR"/>
        </w:rPr>
        <w:t>réunion</w:t>
      </w:r>
      <w:r w:rsidRPr="00A75276">
        <w:rPr>
          <w:lang w:val="fr-FR"/>
        </w:rPr>
        <w:t xml:space="preserve"> a pris note </w:t>
      </w:r>
      <w:r w:rsidR="004E1D34" w:rsidRPr="00A75276">
        <w:rPr>
          <w:lang w:val="fr-FR"/>
        </w:rPr>
        <w:t>en l</w:t>
      </w:r>
      <w:r w:rsidR="009C53EC" w:rsidRPr="00A75276">
        <w:rPr>
          <w:lang w:val="fr-FR"/>
        </w:rPr>
        <w:t>’</w:t>
      </w:r>
      <w:r w:rsidR="004E1D34" w:rsidRPr="00A75276">
        <w:rPr>
          <w:lang w:val="fr-FR"/>
        </w:rPr>
        <w:t>approuvant du résu</w:t>
      </w:r>
      <w:r w:rsidR="00D07DAB" w:rsidRPr="00A75276">
        <w:rPr>
          <w:lang w:val="fr-FR"/>
        </w:rPr>
        <w:t>mé établi par le président du sou</w:t>
      </w:r>
      <w:r w:rsidR="004E1D34" w:rsidRPr="00A75276">
        <w:rPr>
          <w:lang w:val="fr-FR"/>
        </w:rPr>
        <w:t>s</w:t>
      </w:r>
      <w:r w:rsidR="00A16C85" w:rsidRPr="00A75276">
        <w:rPr>
          <w:lang w:val="fr-FR"/>
        </w:rPr>
        <w:noBreakHyphen/>
      </w:r>
      <w:r w:rsidR="004E1D34" w:rsidRPr="00A75276">
        <w:rPr>
          <w:lang w:val="fr-FR"/>
        </w:rPr>
        <w:t>groupe chargé de la qualité reproduit à l</w:t>
      </w:r>
      <w:r w:rsidR="009C53EC" w:rsidRPr="00A75276">
        <w:rPr>
          <w:lang w:val="fr-FR"/>
        </w:rPr>
        <w:t>’</w:t>
      </w:r>
      <w:r w:rsidR="004E1D34" w:rsidRPr="00A75276">
        <w:rPr>
          <w:lang w:val="fr-FR"/>
        </w:rPr>
        <w:t>annexe</w:t>
      </w:r>
      <w:r w:rsidR="00432F5D" w:rsidRPr="00A75276">
        <w:rPr>
          <w:lang w:val="fr-FR"/>
        </w:rPr>
        <w:t> </w:t>
      </w:r>
      <w:r w:rsidR="004838AB" w:rsidRPr="00A75276">
        <w:rPr>
          <w:lang w:val="fr-FR"/>
        </w:rPr>
        <w:t xml:space="preserve">II </w:t>
      </w:r>
      <w:r w:rsidR="004E1D34" w:rsidRPr="00A75276">
        <w:rPr>
          <w:lang w:val="fr-FR"/>
        </w:rPr>
        <w:t xml:space="preserve">du présent </w:t>
      </w:r>
      <w:r w:rsidR="004838AB" w:rsidRPr="00A75276">
        <w:rPr>
          <w:lang w:val="fr-FR"/>
        </w:rPr>
        <w:t xml:space="preserve">document, </w:t>
      </w:r>
      <w:r w:rsidR="004E1D34" w:rsidRPr="00A75276">
        <w:rPr>
          <w:lang w:val="fr-FR"/>
        </w:rPr>
        <w:t xml:space="preserve">a fait siennes les recommandations contenues dans ledit résumé et a approuvé le renouvellement </w:t>
      </w:r>
      <w:r w:rsidR="006D30D5" w:rsidRPr="00A75276">
        <w:rPr>
          <w:lang w:val="fr-FR"/>
        </w:rPr>
        <w:t>du mandat du sous</w:t>
      </w:r>
      <w:r w:rsidR="00A16C85" w:rsidRPr="00A75276">
        <w:rPr>
          <w:lang w:val="fr-FR"/>
        </w:rPr>
        <w:noBreakHyphen/>
      </w:r>
      <w:r w:rsidR="006D30D5" w:rsidRPr="00A75276">
        <w:rPr>
          <w:lang w:val="fr-FR"/>
        </w:rPr>
        <w:t>groupe, dont s</w:t>
      </w:r>
      <w:r w:rsidR="004E1D34" w:rsidRPr="00A75276">
        <w:rPr>
          <w:lang w:val="fr-FR"/>
        </w:rPr>
        <w:t xml:space="preserve">a convocation </w:t>
      </w:r>
      <w:r w:rsidR="006D30D5" w:rsidRPr="00A75276">
        <w:rPr>
          <w:lang w:val="fr-FR"/>
        </w:rPr>
        <w:t>en</w:t>
      </w:r>
      <w:r w:rsidR="004E1D34" w:rsidRPr="00A75276">
        <w:rPr>
          <w:lang w:val="fr-FR"/>
        </w:rPr>
        <w:t xml:space="preserve"> réunion physique en</w:t>
      </w:r>
      <w:r w:rsidR="00432F5D" w:rsidRPr="00A75276">
        <w:rPr>
          <w:lang w:val="fr-FR"/>
        </w:rPr>
        <w:t> </w:t>
      </w:r>
      <w:r w:rsidR="004838AB" w:rsidRPr="00A75276">
        <w:rPr>
          <w:lang w:val="fr-FR"/>
        </w:rPr>
        <w:t>2017.</w:t>
      </w:r>
    </w:p>
    <w:p w:rsidR="00715135" w:rsidRPr="00A75276" w:rsidRDefault="00351B21" w:rsidP="004838AB">
      <w:pPr>
        <w:pStyle w:val="Heading1"/>
        <w:rPr>
          <w:lang w:val="fr-FR"/>
        </w:rPr>
      </w:pPr>
      <w:r w:rsidRPr="00A75276">
        <w:rPr>
          <w:lang w:val="fr-FR"/>
        </w:rPr>
        <w:t>Point 6 de l</w:t>
      </w:r>
      <w:r w:rsidR="009C53EC" w:rsidRPr="00A75276">
        <w:rPr>
          <w:lang w:val="fr-FR"/>
        </w:rPr>
        <w:t>’</w:t>
      </w:r>
      <w:r w:rsidRPr="00A75276">
        <w:rPr>
          <w:lang w:val="fr-FR"/>
        </w:rPr>
        <w:t xml:space="preserve">ordre du jour : </w:t>
      </w:r>
      <w:r w:rsidR="006D30D5" w:rsidRPr="00A75276">
        <w:rPr>
          <w:lang w:val="fr-FR"/>
        </w:rPr>
        <w:t>re</w:t>
      </w:r>
      <w:r w:rsidR="004E1D34" w:rsidRPr="00A75276">
        <w:rPr>
          <w:lang w:val="fr-FR"/>
        </w:rPr>
        <w:t>Nouvelle</w:t>
      </w:r>
      <w:r w:rsidR="006D30D5" w:rsidRPr="00A75276">
        <w:rPr>
          <w:lang w:val="fr-FR"/>
        </w:rPr>
        <w:t>ment de la</w:t>
      </w:r>
      <w:r w:rsidR="004E1D34" w:rsidRPr="00A75276">
        <w:rPr>
          <w:lang w:val="fr-FR"/>
        </w:rPr>
        <w:t xml:space="preserve"> nomination d</w:t>
      </w:r>
      <w:r w:rsidR="009C53EC" w:rsidRPr="00A75276">
        <w:rPr>
          <w:lang w:val="fr-FR"/>
        </w:rPr>
        <w:t>’</w:t>
      </w:r>
      <w:r w:rsidR="004E1D34" w:rsidRPr="00A75276">
        <w:rPr>
          <w:lang w:val="fr-FR"/>
        </w:rPr>
        <w:t>administrations internationales existantes</w:t>
      </w:r>
    </w:p>
    <w:p w:rsidR="00715135" w:rsidRPr="00A75276" w:rsidRDefault="0090244E" w:rsidP="0090244E">
      <w:pPr>
        <w:pStyle w:val="ONUMFS"/>
        <w:rPr>
          <w:lang w:val="fr-FR"/>
        </w:rPr>
      </w:pPr>
      <w:r w:rsidRPr="00A75276">
        <w:rPr>
          <w:lang w:val="fr-FR"/>
        </w:rPr>
        <w:t>Les délibérations ont eu lieu sur la base du document PCT/MIA/23/9.</w:t>
      </w:r>
    </w:p>
    <w:p w:rsidR="00715135" w:rsidRPr="00A75276" w:rsidRDefault="00034C8C" w:rsidP="00360B03">
      <w:pPr>
        <w:pStyle w:val="ONUMFS"/>
        <w:rPr>
          <w:lang w:val="fr-FR"/>
        </w:rPr>
      </w:pPr>
      <w:r w:rsidRPr="00A75276">
        <w:rPr>
          <w:lang w:val="fr-FR"/>
        </w:rPr>
        <w:t>Une administration a indiqué qu</w:t>
      </w:r>
      <w:r w:rsidR="009C53EC" w:rsidRPr="00A75276">
        <w:rPr>
          <w:lang w:val="fr-FR"/>
        </w:rPr>
        <w:t>’</w:t>
      </w:r>
      <w:r w:rsidRPr="00A75276">
        <w:rPr>
          <w:lang w:val="fr-FR"/>
        </w:rPr>
        <w:t>il était essentiel que les administrations prouvent au Comité de coopération technique</w:t>
      </w:r>
      <w:r w:rsidR="002E5DCA" w:rsidRPr="00A75276">
        <w:rPr>
          <w:lang w:val="fr-FR"/>
        </w:rPr>
        <w:t xml:space="preserve"> du PCT</w:t>
      </w:r>
      <w:r w:rsidR="004838AB" w:rsidRPr="00A75276">
        <w:rPr>
          <w:lang w:val="fr-FR"/>
        </w:rPr>
        <w:t xml:space="preserve"> (CTC) </w:t>
      </w:r>
      <w:r w:rsidRPr="00A75276">
        <w:rPr>
          <w:lang w:val="fr-FR"/>
        </w:rPr>
        <w:t>qu</w:t>
      </w:r>
      <w:r w:rsidR="009C53EC" w:rsidRPr="00A75276">
        <w:rPr>
          <w:lang w:val="fr-FR"/>
        </w:rPr>
        <w:t>’</w:t>
      </w:r>
      <w:r w:rsidRPr="00A75276">
        <w:rPr>
          <w:lang w:val="fr-FR"/>
        </w:rPr>
        <w:t xml:space="preserve">elles satisfaisaient aux exigences minimales pour la nomination en fournissant des informations </w:t>
      </w:r>
      <w:r w:rsidR="00EC51CC" w:rsidRPr="00A75276">
        <w:rPr>
          <w:lang w:val="fr-FR"/>
        </w:rPr>
        <w:t>sur la base de celles proposées dans le formul</w:t>
      </w:r>
      <w:r w:rsidR="00D07DAB" w:rsidRPr="00A75276">
        <w:rPr>
          <w:lang w:val="fr-FR"/>
        </w:rPr>
        <w:t>aire de demande examiné par le s</w:t>
      </w:r>
      <w:r w:rsidR="00EC51CC" w:rsidRPr="00A75276">
        <w:rPr>
          <w:lang w:val="fr-FR"/>
        </w:rPr>
        <w:t>ous</w:t>
      </w:r>
      <w:r w:rsidR="00A16C85" w:rsidRPr="00A75276">
        <w:rPr>
          <w:lang w:val="fr-FR"/>
        </w:rPr>
        <w:noBreakHyphen/>
      </w:r>
      <w:r w:rsidR="00EC51CC" w:rsidRPr="00A75276">
        <w:rPr>
          <w:lang w:val="fr-FR"/>
        </w:rPr>
        <w:t>groupe chargé de la qualité</w:t>
      </w:r>
      <w:r w:rsidR="004838AB" w:rsidRPr="00A75276">
        <w:rPr>
          <w:lang w:val="fr-FR"/>
        </w:rPr>
        <w:t>.</w:t>
      </w:r>
    </w:p>
    <w:p w:rsidR="00715135" w:rsidRPr="00A75276" w:rsidRDefault="00EC51CC" w:rsidP="00360B03">
      <w:pPr>
        <w:pStyle w:val="ONUMFS"/>
        <w:rPr>
          <w:lang w:val="fr-FR"/>
        </w:rPr>
      </w:pPr>
      <w:r w:rsidRPr="00A75276">
        <w:rPr>
          <w:lang w:val="fr-FR"/>
        </w:rPr>
        <w:t>Une administration a suggéré de préciser le libellé de l</w:t>
      </w:r>
      <w:r w:rsidR="009C53EC" w:rsidRPr="00A75276">
        <w:rPr>
          <w:lang w:val="fr-FR"/>
        </w:rPr>
        <w:t>’</w:t>
      </w:r>
      <w:r w:rsidRPr="00A75276">
        <w:rPr>
          <w:lang w:val="fr-FR"/>
        </w:rPr>
        <w:t>article</w:t>
      </w:r>
      <w:r w:rsidR="00432F5D" w:rsidRPr="00A75276">
        <w:rPr>
          <w:lang w:val="fr-FR"/>
        </w:rPr>
        <w:t> </w:t>
      </w:r>
      <w:r w:rsidR="004838AB" w:rsidRPr="00A75276">
        <w:rPr>
          <w:lang w:val="fr-FR"/>
        </w:rPr>
        <w:t xml:space="preserve">4 </w:t>
      </w:r>
      <w:r w:rsidRPr="00A75276">
        <w:rPr>
          <w:lang w:val="fr-FR"/>
        </w:rPr>
        <w:t>de l</w:t>
      </w:r>
      <w:r w:rsidR="009C53EC" w:rsidRPr="00A75276">
        <w:rPr>
          <w:lang w:val="fr-FR"/>
        </w:rPr>
        <w:t>’</w:t>
      </w:r>
      <w:r w:rsidRPr="00A75276">
        <w:rPr>
          <w:lang w:val="fr-FR"/>
        </w:rPr>
        <w:t>accord type couvrant les éléments ne faisant pas l</w:t>
      </w:r>
      <w:r w:rsidR="009C53EC" w:rsidRPr="00A75276">
        <w:rPr>
          <w:lang w:val="fr-FR"/>
        </w:rPr>
        <w:t>’</w:t>
      </w:r>
      <w:r w:rsidRPr="00A75276">
        <w:rPr>
          <w:lang w:val="fr-FR"/>
        </w:rPr>
        <w:t>objet d</w:t>
      </w:r>
      <w:r w:rsidR="009C53EC" w:rsidRPr="00A75276">
        <w:rPr>
          <w:lang w:val="fr-FR"/>
        </w:rPr>
        <w:t>’</w:t>
      </w:r>
      <w:r w:rsidRPr="00A75276">
        <w:rPr>
          <w:lang w:val="fr-FR"/>
        </w:rPr>
        <w:t>une recherche par l</w:t>
      </w:r>
      <w:r w:rsidR="009C53EC" w:rsidRPr="00A75276">
        <w:rPr>
          <w:lang w:val="fr-FR"/>
        </w:rPr>
        <w:t>’</w:t>
      </w:r>
      <w:r w:rsidRPr="00A75276">
        <w:rPr>
          <w:lang w:val="fr-FR"/>
        </w:rPr>
        <w:t>administration internationale</w:t>
      </w:r>
      <w:r w:rsidR="004838AB" w:rsidRPr="00A75276">
        <w:rPr>
          <w:lang w:val="fr-FR"/>
        </w:rPr>
        <w:t>.</w:t>
      </w:r>
    </w:p>
    <w:p w:rsidR="00715135" w:rsidRPr="00A75276" w:rsidRDefault="00E47980" w:rsidP="00360B03">
      <w:pPr>
        <w:pStyle w:val="ONUMFS"/>
        <w:rPr>
          <w:lang w:val="fr-FR"/>
        </w:rPr>
      </w:pPr>
      <w:r w:rsidRPr="00A75276">
        <w:rPr>
          <w:lang w:val="fr-FR"/>
        </w:rPr>
        <w:t>Une administration a suggéré de prévoir un processus d</w:t>
      </w:r>
      <w:r w:rsidR="009C53EC" w:rsidRPr="00A75276">
        <w:rPr>
          <w:lang w:val="fr-FR"/>
        </w:rPr>
        <w:t>’</w:t>
      </w:r>
      <w:r w:rsidRPr="00A75276">
        <w:rPr>
          <w:lang w:val="fr-FR"/>
        </w:rPr>
        <w:t xml:space="preserve">examen collégial en vertu duquel la </w:t>
      </w:r>
      <w:r w:rsidR="004838AB" w:rsidRPr="00A75276">
        <w:rPr>
          <w:lang w:val="fr-FR"/>
        </w:rPr>
        <w:t xml:space="preserve">documentation </w:t>
      </w:r>
      <w:r w:rsidRPr="00A75276">
        <w:rPr>
          <w:lang w:val="fr-FR"/>
        </w:rPr>
        <w:t>soumise pour le renouvellement de la nomination d</w:t>
      </w:r>
      <w:r w:rsidR="009C53EC" w:rsidRPr="00A75276">
        <w:rPr>
          <w:lang w:val="fr-FR"/>
        </w:rPr>
        <w:t>’</w:t>
      </w:r>
      <w:r w:rsidRPr="00A75276">
        <w:rPr>
          <w:lang w:val="fr-FR"/>
        </w:rPr>
        <w:t xml:space="preserve">une administration serait passée en revue par une ou plusieurs autres administrations en vue de vérifier sa conformité avec les exigences en matière de </w:t>
      </w:r>
      <w:r w:rsidR="004838AB" w:rsidRPr="00A75276">
        <w:rPr>
          <w:lang w:val="fr-FR"/>
        </w:rPr>
        <w:t xml:space="preserve">documentation </w:t>
      </w:r>
      <w:r w:rsidR="00403F00" w:rsidRPr="00A75276">
        <w:rPr>
          <w:lang w:val="fr-FR"/>
        </w:rPr>
        <w:t>minimale prévues à la règle 36.1.</w:t>
      </w:r>
      <w:r w:rsidR="004838AB" w:rsidRPr="00A75276">
        <w:rPr>
          <w:lang w:val="fr-FR"/>
        </w:rPr>
        <w:t>ii).</w:t>
      </w:r>
    </w:p>
    <w:p w:rsidR="00715135" w:rsidRPr="00A75276" w:rsidRDefault="00403F00" w:rsidP="00360B03">
      <w:pPr>
        <w:pStyle w:val="ONUMFS"/>
        <w:rPr>
          <w:lang w:val="fr-FR"/>
        </w:rPr>
      </w:pPr>
      <w:r w:rsidRPr="00A75276">
        <w:rPr>
          <w:lang w:val="fr-FR"/>
        </w:rPr>
        <w:t xml:space="preserve">Une administration a suggéré que le renouvellement de la nomination soit </w:t>
      </w:r>
      <w:r w:rsidR="00F25B3A" w:rsidRPr="00A75276">
        <w:rPr>
          <w:lang w:val="fr-FR"/>
        </w:rPr>
        <w:t xml:space="preserve">traité conformément aux </w:t>
      </w:r>
      <w:r w:rsidR="004D25E1" w:rsidRPr="00A75276">
        <w:rPr>
          <w:lang w:val="fr-FR"/>
        </w:rPr>
        <w:t>exigences</w:t>
      </w:r>
      <w:r w:rsidR="00F25B3A" w:rsidRPr="00A75276">
        <w:rPr>
          <w:lang w:val="fr-FR"/>
        </w:rPr>
        <w:t xml:space="preserve"> prévues par les règles actuelles afin d</w:t>
      </w:r>
      <w:r w:rsidR="009C53EC" w:rsidRPr="00A75276">
        <w:rPr>
          <w:lang w:val="fr-FR"/>
        </w:rPr>
        <w:t>’</w:t>
      </w:r>
      <w:r w:rsidR="00F25B3A" w:rsidRPr="00A75276">
        <w:rPr>
          <w:lang w:val="fr-FR"/>
        </w:rPr>
        <w:t>éviter d</w:t>
      </w:r>
      <w:r w:rsidR="009C53EC" w:rsidRPr="00A75276">
        <w:rPr>
          <w:lang w:val="fr-FR"/>
        </w:rPr>
        <w:t>’</w:t>
      </w:r>
      <w:r w:rsidR="00F25B3A" w:rsidRPr="00A75276">
        <w:rPr>
          <w:lang w:val="fr-FR"/>
        </w:rPr>
        <w:t xml:space="preserve">accroître la charge de travail des administrations </w:t>
      </w:r>
      <w:r w:rsidR="004D25E1" w:rsidRPr="00A75276">
        <w:rPr>
          <w:lang w:val="fr-FR"/>
        </w:rPr>
        <w:t>internationales</w:t>
      </w:r>
      <w:r w:rsidR="00F25B3A" w:rsidRPr="00A75276">
        <w:rPr>
          <w:lang w:val="fr-FR"/>
        </w:rPr>
        <w:t xml:space="preserve"> existantes</w:t>
      </w:r>
      <w:r w:rsidR="004838AB" w:rsidRPr="00A75276">
        <w:rPr>
          <w:lang w:val="fr-FR"/>
        </w:rPr>
        <w:t>.</w:t>
      </w:r>
    </w:p>
    <w:p w:rsidR="00715135" w:rsidRPr="00A75276" w:rsidRDefault="0090244E" w:rsidP="0090244E">
      <w:pPr>
        <w:pStyle w:val="ONUMFS"/>
        <w:ind w:left="567"/>
        <w:rPr>
          <w:lang w:val="fr-FR"/>
        </w:rPr>
      </w:pPr>
      <w:r w:rsidRPr="00A75276">
        <w:rPr>
          <w:lang w:val="fr-FR"/>
        </w:rPr>
        <w:t>La réunion a pris note du contenu du document PCT/MIA/23/9.</w:t>
      </w:r>
    </w:p>
    <w:p w:rsidR="00715135" w:rsidRPr="00A75276" w:rsidRDefault="0090244E" w:rsidP="0090244E">
      <w:pPr>
        <w:pStyle w:val="Heading1"/>
        <w:keepLines/>
        <w:rPr>
          <w:lang w:val="fr-FR"/>
        </w:rPr>
      </w:pPr>
      <w:r w:rsidRPr="00A75276">
        <w:rPr>
          <w:lang w:val="fr-FR"/>
        </w:rPr>
        <w:lastRenderedPageBreak/>
        <w:t>Point</w:t>
      </w:r>
      <w:r w:rsidR="00141119" w:rsidRPr="00A75276">
        <w:rPr>
          <w:lang w:val="fr-FR"/>
        </w:rPr>
        <w:t> 7</w:t>
      </w:r>
      <w:r w:rsidRPr="00A75276">
        <w:rPr>
          <w:lang w:val="fr-FR"/>
        </w:rPr>
        <w:t xml:space="preserve"> de l</w:t>
      </w:r>
      <w:r w:rsidR="009C53EC" w:rsidRPr="00A75276">
        <w:rPr>
          <w:lang w:val="fr-FR"/>
        </w:rPr>
        <w:t>’</w:t>
      </w:r>
      <w:r w:rsidRPr="00A75276">
        <w:rPr>
          <w:lang w:val="fr-FR"/>
        </w:rPr>
        <w:t>ordre du jour</w:t>
      </w:r>
      <w:r w:rsidR="00432F5D" w:rsidRPr="00A75276">
        <w:rPr>
          <w:lang w:val="fr-FR"/>
        </w:rPr>
        <w:t> </w:t>
      </w:r>
      <w:r w:rsidRPr="00A75276">
        <w:rPr>
          <w:lang w:val="fr-FR"/>
        </w:rPr>
        <w:t>: services en ligne</w:t>
      </w:r>
      <w:r w:rsidR="002E5DCA" w:rsidRPr="00A75276">
        <w:rPr>
          <w:lang w:val="fr-FR"/>
        </w:rPr>
        <w:t xml:space="preserve"> du PCT</w:t>
      </w:r>
    </w:p>
    <w:p w:rsidR="00715135" w:rsidRPr="00A75276" w:rsidRDefault="0090244E" w:rsidP="0090244E">
      <w:pPr>
        <w:pStyle w:val="ONUMFS"/>
        <w:rPr>
          <w:lang w:val="fr-FR"/>
        </w:rPr>
      </w:pPr>
      <w:r w:rsidRPr="00A75276">
        <w:rPr>
          <w:lang w:val="fr-FR"/>
        </w:rPr>
        <w:t>Les délibérations ont eu lieu sur la base du document PCT/MIA/23/6.</w:t>
      </w:r>
    </w:p>
    <w:p w:rsidR="00715135" w:rsidRPr="00A75276" w:rsidRDefault="0090244E" w:rsidP="0090244E">
      <w:pPr>
        <w:pStyle w:val="ONUMFS"/>
        <w:rPr>
          <w:lang w:val="fr-FR"/>
        </w:rPr>
      </w:pPr>
      <w:r w:rsidRPr="00A75276">
        <w:rPr>
          <w:lang w:val="fr-FR"/>
        </w:rPr>
        <w:t>Toutes les administrations qui se sont exprimées sur cette question se sont dites très satisfaites des divers services électroniques offerts par le Bureau international pour faciliter le fonctionnement efficace et rationnel des offices agissant en leurs différentes qualités dans le cadre</w:t>
      </w:r>
      <w:r w:rsidR="002E5DCA" w:rsidRPr="00A75276">
        <w:rPr>
          <w:lang w:val="fr-FR"/>
        </w:rPr>
        <w:t xml:space="preserve"> du PCT</w:t>
      </w:r>
      <w:r w:rsidRPr="00A75276">
        <w:rPr>
          <w:lang w:val="fr-FR"/>
        </w:rPr>
        <w:t>.</w:t>
      </w:r>
    </w:p>
    <w:p w:rsidR="00715135" w:rsidRPr="00A75276" w:rsidRDefault="00CF75C5" w:rsidP="00360B03">
      <w:pPr>
        <w:pStyle w:val="ONUMFS"/>
        <w:rPr>
          <w:lang w:val="fr-FR"/>
        </w:rPr>
      </w:pPr>
      <w:r w:rsidRPr="00A75276">
        <w:rPr>
          <w:lang w:val="fr-FR"/>
        </w:rPr>
        <w:t>Les administrations qui bénéficiaient déjà de la réception des copies de recherche sous forme électronique ont confirmé qu</w:t>
      </w:r>
      <w:r w:rsidR="009C53EC" w:rsidRPr="00A75276">
        <w:rPr>
          <w:lang w:val="fr-FR"/>
        </w:rPr>
        <w:t>’</w:t>
      </w:r>
      <w:r w:rsidRPr="00A75276">
        <w:rPr>
          <w:lang w:val="fr-FR"/>
        </w:rPr>
        <w:t>elles étaient très satisfaites des résultats du projet</w:t>
      </w:r>
      <w:r w:rsidR="004838AB" w:rsidRPr="00A75276">
        <w:rPr>
          <w:lang w:val="fr-FR"/>
        </w:rPr>
        <w:t xml:space="preserve"> </w:t>
      </w:r>
      <w:proofErr w:type="spellStart"/>
      <w:r w:rsidR="004838AB" w:rsidRPr="00A75276">
        <w:rPr>
          <w:lang w:val="fr-FR"/>
        </w:rPr>
        <w:t>eSearchCopy</w:t>
      </w:r>
      <w:proofErr w:type="spellEnd"/>
      <w:r w:rsidR="004838AB" w:rsidRPr="00A75276">
        <w:rPr>
          <w:lang w:val="fr-FR"/>
        </w:rPr>
        <w:t xml:space="preserve"> </w:t>
      </w:r>
      <w:r w:rsidRPr="00A75276">
        <w:rPr>
          <w:lang w:val="fr-FR"/>
        </w:rPr>
        <w:t>et espéraient que davantage d</w:t>
      </w:r>
      <w:r w:rsidR="009C53EC" w:rsidRPr="00A75276">
        <w:rPr>
          <w:lang w:val="fr-FR"/>
        </w:rPr>
        <w:t>’</w:t>
      </w:r>
      <w:r w:rsidRPr="00A75276">
        <w:rPr>
          <w:lang w:val="fr-FR"/>
        </w:rPr>
        <w:t>offices récepteurs participeraient au projet dans l</w:t>
      </w:r>
      <w:r w:rsidR="009C53EC" w:rsidRPr="00A75276">
        <w:rPr>
          <w:lang w:val="fr-FR"/>
        </w:rPr>
        <w:t>’</w:t>
      </w:r>
      <w:r w:rsidRPr="00A75276">
        <w:rPr>
          <w:lang w:val="fr-FR"/>
        </w:rPr>
        <w:t>avenir proc</w:t>
      </w:r>
      <w:r w:rsidR="00A16C85" w:rsidRPr="00A75276">
        <w:rPr>
          <w:lang w:val="fr-FR"/>
        </w:rPr>
        <w:t>he.  Un</w:t>
      </w:r>
      <w:r w:rsidRPr="00A75276">
        <w:rPr>
          <w:lang w:val="fr-FR"/>
        </w:rPr>
        <w:t>e administration a déclaré qu</w:t>
      </w:r>
      <w:r w:rsidR="009C53EC" w:rsidRPr="00A75276">
        <w:rPr>
          <w:lang w:val="fr-FR"/>
        </w:rPr>
        <w:t>’</w:t>
      </w:r>
      <w:r w:rsidRPr="00A75276">
        <w:rPr>
          <w:lang w:val="fr-FR"/>
        </w:rPr>
        <w:t>elle avait commencé un projet pilote avec un certain nombre d</w:t>
      </w:r>
      <w:r w:rsidR="009C53EC" w:rsidRPr="00A75276">
        <w:rPr>
          <w:lang w:val="fr-FR"/>
        </w:rPr>
        <w:t>’</w:t>
      </w:r>
      <w:r w:rsidRPr="00A75276">
        <w:rPr>
          <w:lang w:val="fr-FR"/>
        </w:rPr>
        <w:t>o</w:t>
      </w:r>
      <w:r w:rsidR="004838AB" w:rsidRPr="00A75276">
        <w:rPr>
          <w:lang w:val="fr-FR"/>
        </w:rPr>
        <w:t xml:space="preserve">ffices </w:t>
      </w:r>
      <w:r w:rsidRPr="00A75276">
        <w:rPr>
          <w:lang w:val="fr-FR"/>
        </w:rPr>
        <w:t>récepteurs et qu</w:t>
      </w:r>
      <w:r w:rsidR="009C53EC" w:rsidRPr="00A75276">
        <w:rPr>
          <w:lang w:val="fr-FR"/>
        </w:rPr>
        <w:t>’</w:t>
      </w:r>
      <w:r w:rsidRPr="00A75276">
        <w:rPr>
          <w:lang w:val="fr-FR"/>
        </w:rPr>
        <w:t xml:space="preserve">elle espérait que ce projet pilote confirmerait les avantages attendus, notamment en termes de communication plus rapide des </w:t>
      </w:r>
      <w:r w:rsidR="004838AB" w:rsidRPr="00A75276">
        <w:rPr>
          <w:lang w:val="fr-FR"/>
        </w:rPr>
        <w:t xml:space="preserve">copies </w:t>
      </w:r>
      <w:r w:rsidRPr="00A75276">
        <w:rPr>
          <w:lang w:val="fr-FR"/>
        </w:rPr>
        <w:t>de recherche aux administrations, ainsi que de qualité et de conformité des donné</w:t>
      </w:r>
      <w:r w:rsidR="00A16C85" w:rsidRPr="00A75276">
        <w:rPr>
          <w:lang w:val="fr-FR"/>
        </w:rPr>
        <w:t>es.  Pl</w:t>
      </w:r>
      <w:r w:rsidRPr="00A75276">
        <w:rPr>
          <w:lang w:val="fr-FR"/>
        </w:rPr>
        <w:t xml:space="preserve">usieurs autres administrations qui ne participaient pas encore au projet </w:t>
      </w:r>
      <w:proofErr w:type="spellStart"/>
      <w:r w:rsidR="004838AB" w:rsidRPr="00A75276">
        <w:rPr>
          <w:lang w:val="fr-FR"/>
        </w:rPr>
        <w:t>eSearchCopy</w:t>
      </w:r>
      <w:proofErr w:type="spellEnd"/>
      <w:r w:rsidR="004838AB" w:rsidRPr="00A75276">
        <w:rPr>
          <w:lang w:val="fr-FR"/>
        </w:rPr>
        <w:t xml:space="preserve"> </w:t>
      </w:r>
      <w:r w:rsidRPr="00A75276">
        <w:rPr>
          <w:lang w:val="fr-FR"/>
        </w:rPr>
        <w:t xml:space="preserve">ont manifesté un vif intérêt </w:t>
      </w:r>
      <w:r w:rsidR="001A483D" w:rsidRPr="00A75276">
        <w:rPr>
          <w:lang w:val="fr-FR"/>
        </w:rPr>
        <w:t xml:space="preserve">pour y prendre part dans un </w:t>
      </w:r>
      <w:r w:rsidR="00825B9B" w:rsidRPr="00A75276">
        <w:rPr>
          <w:lang w:val="fr-FR"/>
        </w:rPr>
        <w:t>avenir proche</w:t>
      </w:r>
      <w:r w:rsidR="004838AB" w:rsidRPr="00A75276">
        <w:rPr>
          <w:lang w:val="fr-FR"/>
        </w:rPr>
        <w:t>.</w:t>
      </w:r>
    </w:p>
    <w:p w:rsidR="00715135" w:rsidRPr="00A75276" w:rsidRDefault="00825B9B" w:rsidP="00360B03">
      <w:pPr>
        <w:pStyle w:val="ONUMFS"/>
        <w:rPr>
          <w:lang w:val="fr-FR"/>
        </w:rPr>
      </w:pPr>
      <w:r w:rsidRPr="00A75276">
        <w:rPr>
          <w:lang w:val="fr-FR"/>
        </w:rPr>
        <w:t>Les administrations qui</w:t>
      </w:r>
      <w:r w:rsidR="004838AB" w:rsidRPr="00A75276">
        <w:rPr>
          <w:lang w:val="fr-FR"/>
        </w:rPr>
        <w:t xml:space="preserve">, </w:t>
      </w:r>
      <w:r w:rsidRPr="00A75276">
        <w:rPr>
          <w:lang w:val="fr-FR"/>
        </w:rPr>
        <w:t>en leur qualité d</w:t>
      </w:r>
      <w:r w:rsidR="009C53EC" w:rsidRPr="00A75276">
        <w:rPr>
          <w:lang w:val="fr-FR"/>
        </w:rPr>
        <w:t>’</w:t>
      </w:r>
      <w:r w:rsidRPr="00A75276">
        <w:rPr>
          <w:lang w:val="fr-FR"/>
        </w:rPr>
        <w:t>offices récepteurs, proposaient le dépôt électronique selon</w:t>
      </w:r>
      <w:r w:rsidR="002E5DCA" w:rsidRPr="00A75276">
        <w:rPr>
          <w:lang w:val="fr-FR"/>
        </w:rPr>
        <w:t xml:space="preserve"> le PCT</w:t>
      </w:r>
      <w:r w:rsidR="004838AB" w:rsidRPr="00A75276">
        <w:rPr>
          <w:lang w:val="fr-FR"/>
        </w:rPr>
        <w:t xml:space="preserve"> </w:t>
      </w:r>
      <w:r w:rsidRPr="00A75276">
        <w:rPr>
          <w:lang w:val="fr-FR"/>
        </w:rPr>
        <w:t xml:space="preserve">et utilisaient le système </w:t>
      </w:r>
      <w:proofErr w:type="spellStart"/>
      <w:r w:rsidR="004838AB" w:rsidRPr="00A75276">
        <w:rPr>
          <w:lang w:val="fr-FR"/>
        </w:rPr>
        <w:t>ePCT</w:t>
      </w:r>
      <w:proofErr w:type="spellEnd"/>
      <w:r w:rsidR="004838AB" w:rsidRPr="00A75276">
        <w:rPr>
          <w:lang w:val="fr-FR"/>
        </w:rPr>
        <w:t xml:space="preserve"> </w:t>
      </w:r>
      <w:r w:rsidRPr="00A75276">
        <w:rPr>
          <w:lang w:val="fr-FR"/>
        </w:rPr>
        <w:t>pour les o</w:t>
      </w:r>
      <w:r w:rsidR="004838AB" w:rsidRPr="00A75276">
        <w:rPr>
          <w:lang w:val="fr-FR"/>
        </w:rPr>
        <w:t xml:space="preserve">ffices </w:t>
      </w:r>
      <w:r w:rsidRPr="00A75276">
        <w:rPr>
          <w:lang w:val="fr-FR"/>
        </w:rPr>
        <w:t xml:space="preserve">ont aussi fait part de leur profonde </w:t>
      </w:r>
      <w:r w:rsidR="004838AB" w:rsidRPr="00A75276">
        <w:rPr>
          <w:lang w:val="fr-FR"/>
        </w:rPr>
        <w:t xml:space="preserve">satisfaction </w:t>
      </w:r>
      <w:r w:rsidRPr="00A75276">
        <w:rPr>
          <w:lang w:val="fr-FR"/>
        </w:rPr>
        <w:t xml:space="preserve">quant à ces éléments du système </w:t>
      </w:r>
      <w:proofErr w:type="spellStart"/>
      <w:r w:rsidR="004838AB" w:rsidRPr="00A75276">
        <w:rPr>
          <w:lang w:val="fr-FR"/>
        </w:rPr>
        <w:t>ePCT</w:t>
      </w:r>
      <w:proofErr w:type="spellEnd"/>
      <w:r w:rsidR="004838AB" w:rsidRPr="00A75276">
        <w:rPr>
          <w:lang w:val="fr-FR"/>
        </w:rPr>
        <w:t xml:space="preserve">, </w:t>
      </w:r>
      <w:r w:rsidRPr="00A75276">
        <w:rPr>
          <w:lang w:val="fr-FR"/>
        </w:rPr>
        <w:t>les dépôts électroniques selon</w:t>
      </w:r>
      <w:r w:rsidR="002E5DCA" w:rsidRPr="00A75276">
        <w:rPr>
          <w:lang w:val="fr-FR"/>
        </w:rPr>
        <w:t xml:space="preserve"> le PCT</w:t>
      </w:r>
      <w:r w:rsidR="004838AB" w:rsidRPr="00A75276">
        <w:rPr>
          <w:lang w:val="fr-FR"/>
        </w:rPr>
        <w:t xml:space="preserve"> </w:t>
      </w:r>
      <w:r w:rsidRPr="00A75276">
        <w:rPr>
          <w:lang w:val="fr-FR"/>
        </w:rPr>
        <w:t>constituant souvent la majorité des dépôts auprès de ces offic</w:t>
      </w:r>
      <w:r w:rsidR="00A16C85" w:rsidRPr="00A75276">
        <w:rPr>
          <w:lang w:val="fr-FR"/>
        </w:rPr>
        <w:t>es.  Un</w:t>
      </w:r>
      <w:r w:rsidR="006E4EA4" w:rsidRPr="00A75276">
        <w:rPr>
          <w:lang w:val="fr-FR"/>
        </w:rPr>
        <w:t>e administration</w:t>
      </w:r>
      <w:r w:rsidR="004838AB" w:rsidRPr="00A75276">
        <w:rPr>
          <w:lang w:val="fr-FR"/>
        </w:rPr>
        <w:t xml:space="preserve">, </w:t>
      </w:r>
      <w:r w:rsidR="006E4EA4" w:rsidRPr="00A75276">
        <w:rPr>
          <w:lang w:val="fr-FR"/>
        </w:rPr>
        <w:t>tout en faisant état d</w:t>
      </w:r>
      <w:r w:rsidR="009C53EC" w:rsidRPr="00A75276">
        <w:rPr>
          <w:lang w:val="fr-FR"/>
        </w:rPr>
        <w:t>’</w:t>
      </w:r>
      <w:r w:rsidR="006E4EA4" w:rsidRPr="00A75276">
        <w:rPr>
          <w:lang w:val="fr-FR"/>
        </w:rPr>
        <w:t>une utilisation très modeste du dépôt électronique selon</w:t>
      </w:r>
      <w:r w:rsidR="002E5DCA" w:rsidRPr="00A75276">
        <w:rPr>
          <w:lang w:val="fr-FR"/>
        </w:rPr>
        <w:t xml:space="preserve"> le PCT</w:t>
      </w:r>
      <w:r w:rsidR="004838AB" w:rsidRPr="00A75276">
        <w:rPr>
          <w:lang w:val="fr-FR"/>
        </w:rPr>
        <w:t xml:space="preserve"> </w:t>
      </w:r>
      <w:r w:rsidR="006E4EA4" w:rsidRPr="00A75276">
        <w:rPr>
          <w:lang w:val="fr-FR"/>
        </w:rPr>
        <w:t>à ce stade</w:t>
      </w:r>
      <w:r w:rsidR="004838AB" w:rsidRPr="00A75276">
        <w:rPr>
          <w:lang w:val="fr-FR"/>
        </w:rPr>
        <w:t xml:space="preserve">, </w:t>
      </w:r>
      <w:r w:rsidR="006E4EA4" w:rsidRPr="00A75276">
        <w:rPr>
          <w:lang w:val="fr-FR"/>
        </w:rPr>
        <w:t>principalement en raison du fait qu</w:t>
      </w:r>
      <w:r w:rsidR="009C53EC" w:rsidRPr="00A75276">
        <w:rPr>
          <w:lang w:val="fr-FR"/>
        </w:rPr>
        <w:t>’</w:t>
      </w:r>
      <w:r w:rsidR="006E4EA4" w:rsidRPr="00A75276">
        <w:rPr>
          <w:lang w:val="fr-FR"/>
        </w:rPr>
        <w:t>elle proposait son propre outil</w:t>
      </w:r>
      <w:r w:rsidR="004838AB" w:rsidRPr="00A75276">
        <w:rPr>
          <w:lang w:val="fr-FR"/>
        </w:rPr>
        <w:t xml:space="preserve"> </w:t>
      </w:r>
      <w:r w:rsidR="006E4EA4" w:rsidRPr="00A75276">
        <w:rPr>
          <w:lang w:val="fr-FR"/>
        </w:rPr>
        <w:t>de dépôt électronique</w:t>
      </w:r>
      <w:r w:rsidR="004838AB" w:rsidRPr="00A75276">
        <w:rPr>
          <w:lang w:val="fr-FR"/>
        </w:rPr>
        <w:t xml:space="preserve">, </w:t>
      </w:r>
      <w:r w:rsidR="006E4EA4" w:rsidRPr="00A75276">
        <w:rPr>
          <w:lang w:val="fr-FR"/>
        </w:rPr>
        <w:t>a déclaré qu</w:t>
      </w:r>
      <w:r w:rsidR="009C53EC" w:rsidRPr="00A75276">
        <w:rPr>
          <w:lang w:val="fr-FR"/>
        </w:rPr>
        <w:t>’</w:t>
      </w:r>
      <w:r w:rsidR="006E4EA4" w:rsidRPr="00A75276">
        <w:rPr>
          <w:lang w:val="fr-FR"/>
        </w:rPr>
        <w:t>elle avait reçu en</w:t>
      </w:r>
      <w:r w:rsidR="00432F5D" w:rsidRPr="00A75276">
        <w:rPr>
          <w:lang w:val="fr-FR"/>
        </w:rPr>
        <w:t> </w:t>
      </w:r>
      <w:r w:rsidR="006E4EA4" w:rsidRPr="00A75276">
        <w:rPr>
          <w:lang w:val="fr-FR"/>
        </w:rPr>
        <w:t>2015 plus de</w:t>
      </w:r>
      <w:r w:rsidR="00432F5D" w:rsidRPr="00A75276">
        <w:rPr>
          <w:lang w:val="fr-FR"/>
        </w:rPr>
        <w:t> </w:t>
      </w:r>
      <w:r w:rsidR="004838AB" w:rsidRPr="00A75276">
        <w:rPr>
          <w:lang w:val="fr-FR"/>
        </w:rPr>
        <w:t>1800 demand</w:t>
      </w:r>
      <w:r w:rsidR="006E4EA4" w:rsidRPr="00A75276">
        <w:rPr>
          <w:lang w:val="fr-FR"/>
        </w:rPr>
        <w:t>e</w:t>
      </w:r>
      <w:r w:rsidR="004838AB" w:rsidRPr="00A75276">
        <w:rPr>
          <w:lang w:val="fr-FR"/>
        </w:rPr>
        <w:t xml:space="preserve">s </w:t>
      </w:r>
      <w:r w:rsidR="006E4EA4" w:rsidRPr="00A75276">
        <w:rPr>
          <w:lang w:val="fr-FR"/>
        </w:rPr>
        <w:t>d</w:t>
      </w:r>
      <w:r w:rsidR="009C53EC" w:rsidRPr="00A75276">
        <w:rPr>
          <w:lang w:val="fr-FR"/>
        </w:rPr>
        <w:t>’</w:t>
      </w:r>
      <w:r w:rsidR="006E4EA4" w:rsidRPr="00A75276">
        <w:rPr>
          <w:lang w:val="fr-FR"/>
        </w:rPr>
        <w:t>examen préliminaire par l</w:t>
      </w:r>
      <w:r w:rsidR="009C53EC" w:rsidRPr="00A75276">
        <w:rPr>
          <w:lang w:val="fr-FR"/>
        </w:rPr>
        <w:t>’</w:t>
      </w:r>
      <w:r w:rsidR="006E4EA4" w:rsidRPr="00A75276">
        <w:rPr>
          <w:lang w:val="fr-FR"/>
        </w:rPr>
        <w:t>intermédiaire du système</w:t>
      </w:r>
      <w:r w:rsidR="004838AB" w:rsidRPr="00A75276">
        <w:rPr>
          <w:lang w:val="fr-FR"/>
        </w:rPr>
        <w:t xml:space="preserve"> </w:t>
      </w:r>
      <w:proofErr w:type="spellStart"/>
      <w:r w:rsidR="004838AB" w:rsidRPr="00A75276">
        <w:rPr>
          <w:lang w:val="fr-FR"/>
        </w:rPr>
        <w:t>e</w:t>
      </w:r>
      <w:r w:rsidR="00A16C85" w:rsidRPr="00A75276">
        <w:rPr>
          <w:lang w:val="fr-FR"/>
        </w:rPr>
        <w:t>PCT</w:t>
      </w:r>
      <w:proofErr w:type="spellEnd"/>
      <w:r w:rsidR="00A16C85" w:rsidRPr="00A75276">
        <w:rPr>
          <w:lang w:val="fr-FR"/>
        </w:rPr>
        <w:t>.  Un</w:t>
      </w:r>
      <w:r w:rsidR="006E4EA4" w:rsidRPr="00A75276">
        <w:rPr>
          <w:lang w:val="fr-FR"/>
        </w:rPr>
        <w:t>e autre administration a indiqué qu</w:t>
      </w:r>
      <w:r w:rsidR="009C53EC" w:rsidRPr="00A75276">
        <w:rPr>
          <w:lang w:val="fr-FR"/>
        </w:rPr>
        <w:t>’</w:t>
      </w:r>
      <w:r w:rsidR="006E4EA4" w:rsidRPr="00A75276">
        <w:rPr>
          <w:lang w:val="fr-FR"/>
        </w:rPr>
        <w:t>elle était particulièrement satisfaite de la qualité des services de l</w:t>
      </w:r>
      <w:r w:rsidR="009C53EC" w:rsidRPr="00A75276">
        <w:rPr>
          <w:lang w:val="fr-FR"/>
        </w:rPr>
        <w:t>’</w:t>
      </w:r>
      <w:r w:rsidR="006E4EA4" w:rsidRPr="00A75276">
        <w:rPr>
          <w:lang w:val="fr-FR"/>
        </w:rPr>
        <w:t xml:space="preserve">équipe du Bureau international chargée du système </w:t>
      </w:r>
      <w:proofErr w:type="spellStart"/>
      <w:r w:rsidR="005C14DC" w:rsidRPr="00A75276">
        <w:rPr>
          <w:lang w:val="fr-FR"/>
        </w:rPr>
        <w:t>ePCT</w:t>
      </w:r>
      <w:proofErr w:type="spellEnd"/>
      <w:r w:rsidR="005C14DC" w:rsidRPr="00A75276">
        <w:rPr>
          <w:lang w:val="fr-FR"/>
        </w:rPr>
        <w:t xml:space="preserve"> ainsi que des </w:t>
      </w:r>
      <w:r w:rsidR="006E4EA4" w:rsidRPr="00A75276">
        <w:rPr>
          <w:lang w:val="fr-FR"/>
        </w:rPr>
        <w:t xml:space="preserve">communications informelles avec </w:t>
      </w:r>
      <w:r w:rsidR="005C14DC" w:rsidRPr="00A75276">
        <w:rPr>
          <w:lang w:val="fr-FR"/>
        </w:rPr>
        <w:t>cette équipe</w:t>
      </w:r>
      <w:r w:rsidR="004838AB" w:rsidRPr="00A75276">
        <w:rPr>
          <w:lang w:val="fr-FR"/>
        </w:rPr>
        <w:t>.</w:t>
      </w:r>
    </w:p>
    <w:p w:rsidR="00715135" w:rsidRPr="00A75276" w:rsidRDefault="00CD3400" w:rsidP="00360B03">
      <w:pPr>
        <w:pStyle w:val="ONUMFS"/>
        <w:rPr>
          <w:lang w:val="fr-FR"/>
        </w:rPr>
      </w:pPr>
      <w:r w:rsidRPr="00A75276">
        <w:rPr>
          <w:lang w:val="fr-FR"/>
        </w:rPr>
        <w:t>En ré</w:t>
      </w:r>
      <w:r w:rsidR="004838AB" w:rsidRPr="00A75276">
        <w:rPr>
          <w:lang w:val="fr-FR"/>
        </w:rPr>
        <w:t xml:space="preserve">ponse </w:t>
      </w:r>
      <w:r w:rsidRPr="00A75276">
        <w:rPr>
          <w:lang w:val="fr-FR"/>
        </w:rPr>
        <w:t>à une demande d</w:t>
      </w:r>
      <w:r w:rsidR="009C53EC" w:rsidRPr="00A75276">
        <w:rPr>
          <w:lang w:val="fr-FR"/>
        </w:rPr>
        <w:t>’</w:t>
      </w:r>
      <w:r w:rsidRPr="00A75276">
        <w:rPr>
          <w:lang w:val="fr-FR"/>
        </w:rPr>
        <w:t>information sur les priorités des administrations en matière de travaux futurs, plusieurs administrations ont milité en faveur de l</w:t>
      </w:r>
      <w:r w:rsidR="009C53EC" w:rsidRPr="00A75276">
        <w:rPr>
          <w:lang w:val="fr-FR"/>
        </w:rPr>
        <w:t>’</w:t>
      </w:r>
      <w:r w:rsidRPr="00A75276">
        <w:rPr>
          <w:lang w:val="fr-FR"/>
        </w:rPr>
        <w:t xml:space="preserve">intégration de mécanismes de paiement centralisé des taxes au système </w:t>
      </w:r>
      <w:proofErr w:type="spellStart"/>
      <w:r w:rsidR="004838AB" w:rsidRPr="00A75276">
        <w:rPr>
          <w:lang w:val="fr-FR"/>
        </w:rPr>
        <w:t>e</w:t>
      </w:r>
      <w:r w:rsidR="00A16C85" w:rsidRPr="00A75276">
        <w:rPr>
          <w:lang w:val="fr-FR"/>
        </w:rPr>
        <w:t>PCT</w:t>
      </w:r>
      <w:proofErr w:type="spellEnd"/>
      <w:r w:rsidR="00A16C85" w:rsidRPr="00A75276">
        <w:rPr>
          <w:lang w:val="fr-FR"/>
        </w:rPr>
        <w:t>.  To</w:t>
      </w:r>
      <w:r w:rsidRPr="00A75276">
        <w:rPr>
          <w:lang w:val="fr-FR"/>
        </w:rPr>
        <w:t>utefois, une administration a fait observer que, dans la mesure où le paiement de la taxe de recherche déclenchait la recherche par l</w:t>
      </w:r>
      <w:r w:rsidR="009C53EC" w:rsidRPr="00A75276">
        <w:rPr>
          <w:lang w:val="fr-FR"/>
        </w:rPr>
        <w:t>’</w:t>
      </w:r>
      <w:r w:rsidRPr="00A75276">
        <w:rPr>
          <w:lang w:val="fr-FR"/>
        </w:rPr>
        <w:t xml:space="preserve">administration chargée de la recherche internationale, le paiement centralisé des taxes devrait être </w:t>
      </w:r>
      <w:proofErr w:type="gramStart"/>
      <w:r w:rsidRPr="00A75276">
        <w:rPr>
          <w:lang w:val="fr-FR"/>
        </w:rPr>
        <w:t>envisagé</w:t>
      </w:r>
      <w:proofErr w:type="gramEnd"/>
      <w:r w:rsidRPr="00A75276">
        <w:rPr>
          <w:lang w:val="fr-FR"/>
        </w:rPr>
        <w:t xml:space="preserve"> avec pruden</w:t>
      </w:r>
      <w:r w:rsidR="00A16C85" w:rsidRPr="00A75276">
        <w:rPr>
          <w:lang w:val="fr-FR"/>
        </w:rPr>
        <w:t>ce.  El</w:t>
      </w:r>
      <w:r w:rsidRPr="00A75276">
        <w:rPr>
          <w:lang w:val="fr-FR"/>
        </w:rPr>
        <w:t>le a indiqué qu</w:t>
      </w:r>
      <w:r w:rsidR="009C53EC" w:rsidRPr="00A75276">
        <w:rPr>
          <w:lang w:val="fr-FR"/>
        </w:rPr>
        <w:t>’</w:t>
      </w:r>
      <w:r w:rsidRPr="00A75276">
        <w:rPr>
          <w:lang w:val="fr-FR"/>
        </w:rPr>
        <w:t>elle serait favorable, à l</w:t>
      </w:r>
      <w:r w:rsidR="009C53EC" w:rsidRPr="00A75276">
        <w:rPr>
          <w:lang w:val="fr-FR"/>
        </w:rPr>
        <w:t>’</w:t>
      </w:r>
      <w:r w:rsidRPr="00A75276">
        <w:rPr>
          <w:lang w:val="fr-FR"/>
        </w:rPr>
        <w:t xml:space="preserve">avenir, à un système de </w:t>
      </w:r>
      <w:r w:rsidR="00A776F4" w:rsidRPr="00A75276">
        <w:rPr>
          <w:lang w:val="fr-FR"/>
        </w:rPr>
        <w:t xml:space="preserve">compensation qui serait lié au service </w:t>
      </w:r>
      <w:proofErr w:type="spellStart"/>
      <w:r w:rsidR="004838AB" w:rsidRPr="00A75276">
        <w:rPr>
          <w:lang w:val="fr-FR"/>
        </w:rPr>
        <w:t>eSeachCopy</w:t>
      </w:r>
      <w:proofErr w:type="spellEnd"/>
      <w:r w:rsidR="004838AB" w:rsidRPr="00A75276">
        <w:rPr>
          <w:lang w:val="fr-FR"/>
        </w:rPr>
        <w:t xml:space="preserve"> </w:t>
      </w:r>
      <w:r w:rsidR="00A776F4" w:rsidRPr="00A75276">
        <w:rPr>
          <w:lang w:val="fr-FR"/>
        </w:rPr>
        <w:t>en vue d</w:t>
      </w:r>
      <w:r w:rsidR="009C53EC" w:rsidRPr="00A75276">
        <w:rPr>
          <w:lang w:val="fr-FR"/>
        </w:rPr>
        <w:t>’</w:t>
      </w:r>
      <w:r w:rsidR="00A776F4" w:rsidRPr="00A75276">
        <w:rPr>
          <w:lang w:val="fr-FR"/>
        </w:rPr>
        <w:t>appuyer les travaux des administrations chargées de la recherche internationale</w:t>
      </w:r>
      <w:r w:rsidR="004838AB" w:rsidRPr="00A75276">
        <w:rPr>
          <w:lang w:val="fr-FR"/>
        </w:rPr>
        <w:t>.</w:t>
      </w:r>
    </w:p>
    <w:p w:rsidR="00715135" w:rsidRPr="00A75276" w:rsidRDefault="00A714CB" w:rsidP="00360B03">
      <w:pPr>
        <w:pStyle w:val="ONUMFS"/>
        <w:rPr>
          <w:lang w:val="fr-FR"/>
        </w:rPr>
      </w:pPr>
      <w:r w:rsidRPr="00A75276">
        <w:rPr>
          <w:lang w:val="fr-FR"/>
        </w:rPr>
        <w:t>Parmi les autres priorités indiquées figuraient la mise à disposition des rapports de recherche internationale et</w:t>
      </w:r>
      <w:r w:rsidR="003C60CE" w:rsidRPr="00A75276">
        <w:rPr>
          <w:lang w:val="fr-FR"/>
        </w:rPr>
        <w:t xml:space="preserve"> des opinions écrites au format </w:t>
      </w:r>
      <w:r w:rsidR="004838AB" w:rsidRPr="00A75276">
        <w:rPr>
          <w:lang w:val="fr-FR"/>
        </w:rPr>
        <w:t xml:space="preserve">XML;  </w:t>
      </w:r>
      <w:r w:rsidRPr="00A75276">
        <w:rPr>
          <w:lang w:val="fr-FR"/>
        </w:rPr>
        <w:t xml:space="preserve">le </w:t>
      </w:r>
      <w:r w:rsidR="004D25E1" w:rsidRPr="00A75276">
        <w:rPr>
          <w:lang w:val="fr-FR"/>
        </w:rPr>
        <w:t>développement</w:t>
      </w:r>
      <w:r w:rsidRPr="00A75276">
        <w:rPr>
          <w:lang w:val="fr-FR"/>
        </w:rPr>
        <w:t xml:space="preserve"> des services W</w:t>
      </w:r>
      <w:r w:rsidR="004838AB" w:rsidRPr="00A75276">
        <w:rPr>
          <w:lang w:val="fr-FR"/>
        </w:rPr>
        <w:t xml:space="preserve">eb;  </w:t>
      </w:r>
      <w:r w:rsidR="00642268" w:rsidRPr="00A75276">
        <w:rPr>
          <w:lang w:val="fr-FR"/>
        </w:rPr>
        <w:t>l</w:t>
      </w:r>
      <w:r w:rsidR="009C53EC" w:rsidRPr="00A75276">
        <w:rPr>
          <w:lang w:val="fr-FR"/>
        </w:rPr>
        <w:t>’</w:t>
      </w:r>
      <w:r w:rsidR="00642268" w:rsidRPr="00A75276">
        <w:rPr>
          <w:lang w:val="fr-FR"/>
        </w:rPr>
        <w:t xml:space="preserve">inclusion des documents déposés ultérieurement dans le système </w:t>
      </w:r>
      <w:proofErr w:type="spellStart"/>
      <w:r w:rsidR="004838AB" w:rsidRPr="00A75276">
        <w:rPr>
          <w:lang w:val="fr-FR"/>
        </w:rPr>
        <w:t>ePCT</w:t>
      </w:r>
      <w:proofErr w:type="spellEnd"/>
      <w:r w:rsidR="004838AB" w:rsidRPr="00A75276">
        <w:rPr>
          <w:lang w:val="fr-FR"/>
        </w:rPr>
        <w:t xml:space="preserve">;  </w:t>
      </w:r>
      <w:r w:rsidR="00642268" w:rsidRPr="00A75276">
        <w:rPr>
          <w:lang w:val="fr-FR"/>
        </w:rPr>
        <w:t xml:space="preserve">la question de la sécurité des </w:t>
      </w:r>
      <w:r w:rsidR="004838AB" w:rsidRPr="00A75276">
        <w:rPr>
          <w:lang w:val="fr-FR"/>
        </w:rPr>
        <w:t xml:space="preserve">documents </w:t>
      </w:r>
      <w:r w:rsidR="00642268" w:rsidRPr="00A75276">
        <w:rPr>
          <w:lang w:val="fr-FR"/>
        </w:rPr>
        <w:t>et des données et la compatibilité avec les exigences de la procédure d</w:t>
      </w:r>
      <w:r w:rsidR="009C53EC" w:rsidRPr="00A75276">
        <w:rPr>
          <w:lang w:val="fr-FR"/>
        </w:rPr>
        <w:t>’</w:t>
      </w:r>
      <w:r w:rsidR="00642268" w:rsidRPr="00A75276">
        <w:rPr>
          <w:lang w:val="fr-FR"/>
        </w:rPr>
        <w:t>examen des différents o</w:t>
      </w:r>
      <w:r w:rsidR="004838AB" w:rsidRPr="00A75276">
        <w:rPr>
          <w:lang w:val="fr-FR"/>
        </w:rPr>
        <w:t>ffice</w:t>
      </w:r>
      <w:r w:rsidR="00A16C85" w:rsidRPr="00A75276">
        <w:rPr>
          <w:lang w:val="fr-FR"/>
        </w:rPr>
        <w:t>s</w:t>
      </w:r>
      <w:r w:rsidR="004838AB" w:rsidRPr="00A75276">
        <w:rPr>
          <w:lang w:val="fr-FR"/>
        </w:rPr>
        <w:t>, a</w:t>
      </w:r>
      <w:r w:rsidR="00642268" w:rsidRPr="00A75276">
        <w:rPr>
          <w:lang w:val="fr-FR"/>
        </w:rPr>
        <w:t>insi que l</w:t>
      </w:r>
      <w:r w:rsidR="009C53EC" w:rsidRPr="00A75276">
        <w:rPr>
          <w:lang w:val="fr-FR"/>
        </w:rPr>
        <w:t>’</w:t>
      </w:r>
      <w:r w:rsidR="00642268" w:rsidRPr="00A75276">
        <w:rPr>
          <w:lang w:val="fr-FR"/>
        </w:rPr>
        <w:t xml:space="preserve">accès des offices désignés à la demande </w:t>
      </w:r>
      <w:r w:rsidR="004838AB" w:rsidRPr="00A75276">
        <w:rPr>
          <w:lang w:val="fr-FR"/>
        </w:rPr>
        <w:t>international</w:t>
      </w:r>
      <w:r w:rsidR="00696BF1" w:rsidRPr="00A75276">
        <w:rPr>
          <w:lang w:val="fr-FR"/>
        </w:rPr>
        <w:t>e et aux documents connexes en cas d</w:t>
      </w:r>
      <w:r w:rsidR="009C53EC" w:rsidRPr="00A75276">
        <w:rPr>
          <w:lang w:val="fr-FR"/>
        </w:rPr>
        <w:t>’</w:t>
      </w:r>
      <w:r w:rsidR="00696BF1" w:rsidRPr="00A75276">
        <w:rPr>
          <w:lang w:val="fr-FR"/>
        </w:rPr>
        <w:t>ouverture anticipé</w:t>
      </w:r>
      <w:r w:rsidR="001A483D" w:rsidRPr="00A75276">
        <w:rPr>
          <w:lang w:val="fr-FR"/>
        </w:rPr>
        <w:t>e</w:t>
      </w:r>
      <w:r w:rsidR="00696BF1" w:rsidRPr="00A75276">
        <w:rPr>
          <w:lang w:val="fr-FR"/>
        </w:rPr>
        <w:t xml:space="preserve"> de la phase </w:t>
      </w:r>
      <w:r w:rsidR="004838AB" w:rsidRPr="00A75276">
        <w:rPr>
          <w:lang w:val="fr-FR"/>
        </w:rPr>
        <w:t>national</w:t>
      </w:r>
      <w:r w:rsidR="00696BF1" w:rsidRPr="00A75276">
        <w:rPr>
          <w:lang w:val="fr-FR"/>
        </w:rPr>
        <w:t>e</w:t>
      </w:r>
      <w:r w:rsidR="004838AB" w:rsidRPr="00A75276">
        <w:rPr>
          <w:lang w:val="fr-FR"/>
        </w:rPr>
        <w:t xml:space="preserve">, </w:t>
      </w:r>
      <w:r w:rsidR="00696BF1" w:rsidRPr="00A75276">
        <w:rPr>
          <w:lang w:val="fr-FR"/>
        </w:rPr>
        <w:t xml:space="preserve">et notamment avant la </w:t>
      </w:r>
      <w:r w:rsidR="004838AB" w:rsidRPr="00A75276">
        <w:rPr>
          <w:lang w:val="fr-FR"/>
        </w:rPr>
        <w:t>publication</w:t>
      </w:r>
      <w:r w:rsidR="00696BF1" w:rsidRPr="00A75276">
        <w:rPr>
          <w:lang w:val="fr-FR"/>
        </w:rPr>
        <w:t xml:space="preserve"> internationale</w:t>
      </w:r>
      <w:r w:rsidR="004838AB" w:rsidRPr="00A75276">
        <w:rPr>
          <w:lang w:val="fr-FR"/>
        </w:rPr>
        <w:t>.</w:t>
      </w:r>
    </w:p>
    <w:p w:rsidR="00715135" w:rsidRPr="00A75276" w:rsidRDefault="0090244E" w:rsidP="0090244E">
      <w:pPr>
        <w:pStyle w:val="ONUMFS"/>
        <w:ind w:left="567"/>
        <w:rPr>
          <w:lang w:val="fr-FR"/>
        </w:rPr>
      </w:pPr>
      <w:r w:rsidRPr="00A75276">
        <w:rPr>
          <w:lang w:val="fr-FR"/>
        </w:rPr>
        <w:t>La réunion a pris note du contenu du document PCT/MIA/23/6.</w:t>
      </w:r>
    </w:p>
    <w:p w:rsidR="002E5DCA" w:rsidRPr="00A75276" w:rsidRDefault="00351B21" w:rsidP="004838AB">
      <w:pPr>
        <w:pStyle w:val="Heading1"/>
        <w:rPr>
          <w:lang w:val="fr-FR"/>
        </w:rPr>
      </w:pPr>
      <w:r w:rsidRPr="00A75276">
        <w:rPr>
          <w:lang w:val="fr-FR"/>
        </w:rPr>
        <w:t>Point 8 de l</w:t>
      </w:r>
      <w:r w:rsidR="009C53EC" w:rsidRPr="00A75276">
        <w:rPr>
          <w:lang w:val="fr-FR"/>
        </w:rPr>
        <w:t>’</w:t>
      </w:r>
      <w:r w:rsidRPr="00A75276">
        <w:rPr>
          <w:lang w:val="fr-FR"/>
        </w:rPr>
        <w:t xml:space="preserve">ordre du jour : </w:t>
      </w:r>
      <w:r w:rsidR="00696BF1" w:rsidRPr="00A75276">
        <w:rPr>
          <w:lang w:val="fr-FR"/>
        </w:rPr>
        <w:t>partage efficace des travaux outre les rapports internationaux</w:t>
      </w:r>
    </w:p>
    <w:p w:rsidR="00715135" w:rsidRPr="00A75276" w:rsidRDefault="0090244E" w:rsidP="0090244E">
      <w:pPr>
        <w:pStyle w:val="ONUMFS"/>
        <w:rPr>
          <w:lang w:val="fr-FR"/>
        </w:rPr>
      </w:pPr>
      <w:r w:rsidRPr="00A75276">
        <w:rPr>
          <w:lang w:val="fr-FR"/>
        </w:rPr>
        <w:t>Les délibérations ont eu lieu sur la base du document PCT/MIA/23/2.</w:t>
      </w:r>
    </w:p>
    <w:p w:rsidR="00715135" w:rsidRPr="00A75276" w:rsidRDefault="008E3C6B" w:rsidP="00360B03">
      <w:pPr>
        <w:pStyle w:val="ONUMFS"/>
        <w:rPr>
          <w:lang w:val="fr-FR"/>
        </w:rPr>
      </w:pPr>
      <w:r w:rsidRPr="00A75276">
        <w:rPr>
          <w:lang w:val="fr-FR"/>
        </w:rPr>
        <w:t>Les administrations qui participaient déjà au</w:t>
      </w:r>
      <w:r w:rsidR="00321CEA" w:rsidRPr="00A75276">
        <w:rPr>
          <w:lang w:val="fr-FR"/>
        </w:rPr>
        <w:t xml:space="preserve"> système </w:t>
      </w:r>
      <w:r w:rsidR="004838AB" w:rsidRPr="00A75276">
        <w:rPr>
          <w:lang w:val="fr-FR"/>
        </w:rPr>
        <w:t xml:space="preserve">WIPO CASE </w:t>
      </w:r>
      <w:r w:rsidR="00321CEA" w:rsidRPr="00A75276">
        <w:rPr>
          <w:lang w:val="fr-FR"/>
        </w:rPr>
        <w:t>en qualité d</w:t>
      </w:r>
      <w:r w:rsidR="009C53EC" w:rsidRPr="00A75276">
        <w:rPr>
          <w:lang w:val="fr-FR"/>
        </w:rPr>
        <w:t>’</w:t>
      </w:r>
      <w:r w:rsidR="00A16C85" w:rsidRPr="00A75276">
        <w:rPr>
          <w:lang w:val="fr-FR"/>
        </w:rPr>
        <w:t xml:space="preserve">office ayant accès </w:t>
      </w:r>
      <w:r w:rsidR="00321CEA" w:rsidRPr="00A75276">
        <w:rPr>
          <w:lang w:val="fr-FR"/>
        </w:rPr>
        <w:t>ou d</w:t>
      </w:r>
      <w:r w:rsidR="009C53EC" w:rsidRPr="00A75276">
        <w:rPr>
          <w:lang w:val="fr-FR"/>
        </w:rPr>
        <w:t>’</w:t>
      </w:r>
      <w:r w:rsidR="00321CEA" w:rsidRPr="00A75276">
        <w:rPr>
          <w:lang w:val="fr-FR"/>
        </w:rPr>
        <w:t>office fournisseur ont fait part de leur adhésion sans réserve à ce système, soulignant son potentiel en tant que plate</w:t>
      </w:r>
      <w:r w:rsidR="00A16C85" w:rsidRPr="00A75276">
        <w:rPr>
          <w:lang w:val="fr-FR"/>
        </w:rPr>
        <w:noBreakHyphen/>
      </w:r>
      <w:r w:rsidR="00321CEA" w:rsidRPr="00A75276">
        <w:rPr>
          <w:lang w:val="fr-FR"/>
        </w:rPr>
        <w:t>forme mondiale donnant accès à l</w:t>
      </w:r>
      <w:r w:rsidR="009C53EC" w:rsidRPr="00A75276">
        <w:rPr>
          <w:lang w:val="fr-FR"/>
        </w:rPr>
        <w:t>’</w:t>
      </w:r>
      <w:r w:rsidR="00321CEA" w:rsidRPr="00A75276">
        <w:rPr>
          <w:lang w:val="fr-FR"/>
        </w:rPr>
        <w:t xml:space="preserve">information relative </w:t>
      </w:r>
      <w:r w:rsidR="00321CEA" w:rsidRPr="00A75276">
        <w:rPr>
          <w:lang w:val="fr-FR"/>
        </w:rPr>
        <w:lastRenderedPageBreak/>
        <w:t>à la recherche et à l</w:t>
      </w:r>
      <w:r w:rsidR="009C53EC" w:rsidRPr="00A75276">
        <w:rPr>
          <w:lang w:val="fr-FR"/>
        </w:rPr>
        <w:t>’</w:t>
      </w:r>
      <w:r w:rsidR="00321CEA" w:rsidRPr="00A75276">
        <w:rPr>
          <w:lang w:val="fr-FR"/>
        </w:rPr>
        <w:t xml:space="preserve">examen sur les demandes </w:t>
      </w:r>
      <w:r w:rsidR="004838AB" w:rsidRPr="00A75276">
        <w:rPr>
          <w:lang w:val="fr-FR"/>
        </w:rPr>
        <w:t>national</w:t>
      </w:r>
      <w:r w:rsidR="00321CEA" w:rsidRPr="00A75276">
        <w:rPr>
          <w:lang w:val="fr-FR"/>
        </w:rPr>
        <w:t>es</w:t>
      </w:r>
      <w:r w:rsidR="004838AB" w:rsidRPr="00A75276">
        <w:rPr>
          <w:lang w:val="fr-FR"/>
        </w:rPr>
        <w:t xml:space="preserve"> </w:t>
      </w:r>
      <w:r w:rsidR="00321CEA" w:rsidRPr="00A75276">
        <w:rPr>
          <w:lang w:val="fr-FR"/>
        </w:rPr>
        <w:t>et</w:t>
      </w:r>
      <w:r w:rsidR="004838AB" w:rsidRPr="00A75276">
        <w:rPr>
          <w:lang w:val="fr-FR"/>
        </w:rPr>
        <w:t xml:space="preserve"> international</w:t>
      </w:r>
      <w:r w:rsidR="001A483D" w:rsidRPr="00A75276">
        <w:rPr>
          <w:lang w:val="fr-FR"/>
        </w:rPr>
        <w:t>es, et facilitant ainsi le</w:t>
      </w:r>
      <w:r w:rsidR="00321CEA" w:rsidRPr="00A75276">
        <w:rPr>
          <w:lang w:val="fr-FR"/>
        </w:rPr>
        <w:t xml:space="preserve"> partage du travail entre les offices, et ont vivement encouragé les autres administrations à les rejoind</w:t>
      </w:r>
      <w:r w:rsidR="00A16C85" w:rsidRPr="00A75276">
        <w:rPr>
          <w:lang w:val="fr-FR"/>
        </w:rPr>
        <w:t>re.  Pl</w:t>
      </w:r>
      <w:r w:rsidR="00321CEA" w:rsidRPr="00A75276">
        <w:rPr>
          <w:lang w:val="fr-FR"/>
        </w:rPr>
        <w:t>usieurs administrations ont remercié en particulier l</w:t>
      </w:r>
      <w:r w:rsidR="009C53EC" w:rsidRPr="00A75276">
        <w:rPr>
          <w:lang w:val="fr-FR"/>
        </w:rPr>
        <w:t>’</w:t>
      </w:r>
      <w:r w:rsidR="00321CEA" w:rsidRPr="00A75276">
        <w:rPr>
          <w:lang w:val="fr-FR"/>
        </w:rPr>
        <w:t>Office des brevets du Japon pour les efforts déployés par celui</w:t>
      </w:r>
      <w:r w:rsidR="00A16C85" w:rsidRPr="00A75276">
        <w:rPr>
          <w:lang w:val="fr-FR"/>
        </w:rPr>
        <w:noBreakHyphen/>
      </w:r>
      <w:r w:rsidR="00321CEA" w:rsidRPr="00A75276">
        <w:rPr>
          <w:lang w:val="fr-FR"/>
        </w:rPr>
        <w:t>ci en vue de relier la plate</w:t>
      </w:r>
      <w:r w:rsidR="00A16C85" w:rsidRPr="00A75276">
        <w:rPr>
          <w:lang w:val="fr-FR"/>
        </w:rPr>
        <w:noBreakHyphen/>
      </w:r>
      <w:r w:rsidR="00321CEA" w:rsidRPr="00A75276">
        <w:rPr>
          <w:lang w:val="fr-FR"/>
        </w:rPr>
        <w:t>forme du portail unique de l</w:t>
      </w:r>
      <w:r w:rsidR="009C53EC" w:rsidRPr="00A75276">
        <w:rPr>
          <w:lang w:val="fr-FR"/>
        </w:rPr>
        <w:t>’</w:t>
      </w:r>
      <w:r w:rsidR="004838AB" w:rsidRPr="00A75276">
        <w:rPr>
          <w:lang w:val="fr-FR"/>
        </w:rPr>
        <w:t>IP5</w:t>
      </w:r>
      <w:r w:rsidR="00321CEA" w:rsidRPr="00A75276">
        <w:rPr>
          <w:lang w:val="fr-FR"/>
        </w:rPr>
        <w:t xml:space="preserve"> au système </w:t>
      </w:r>
      <w:r w:rsidR="004838AB" w:rsidRPr="00A75276">
        <w:rPr>
          <w:lang w:val="fr-FR"/>
        </w:rPr>
        <w:t>WIPO CASE.</w:t>
      </w:r>
    </w:p>
    <w:p w:rsidR="00715135" w:rsidRPr="00A75276" w:rsidRDefault="000742E1" w:rsidP="00360B03">
      <w:pPr>
        <w:pStyle w:val="ONUMFS"/>
        <w:rPr>
          <w:lang w:val="fr-FR"/>
        </w:rPr>
      </w:pPr>
      <w:r w:rsidRPr="00A75276">
        <w:rPr>
          <w:lang w:val="fr-FR"/>
        </w:rPr>
        <w:t xml:space="preserve">Plusieurs administrations qui ne participaient pas encore au système </w:t>
      </w:r>
      <w:r w:rsidR="004838AB" w:rsidRPr="00A75276">
        <w:rPr>
          <w:lang w:val="fr-FR"/>
        </w:rPr>
        <w:t>WIPO CASE, o</w:t>
      </w:r>
      <w:r w:rsidRPr="00A75276">
        <w:rPr>
          <w:lang w:val="fr-FR"/>
        </w:rPr>
        <w:t>u qui n</w:t>
      </w:r>
      <w:r w:rsidR="009C53EC" w:rsidRPr="00A75276">
        <w:rPr>
          <w:lang w:val="fr-FR"/>
        </w:rPr>
        <w:t>’</w:t>
      </w:r>
      <w:r w:rsidRPr="00A75276">
        <w:rPr>
          <w:lang w:val="fr-FR"/>
        </w:rPr>
        <w:t>y participaient pas à la fois en tant qu</w:t>
      </w:r>
      <w:r w:rsidR="009C53EC" w:rsidRPr="00A75276">
        <w:rPr>
          <w:lang w:val="fr-FR"/>
        </w:rPr>
        <w:t>’</w:t>
      </w:r>
      <w:r w:rsidRPr="00A75276">
        <w:rPr>
          <w:lang w:val="fr-FR"/>
        </w:rPr>
        <w:t>office ayant accès et office fournisseur, ont exprimé l</w:t>
      </w:r>
      <w:r w:rsidR="009C53EC" w:rsidRPr="00A75276">
        <w:rPr>
          <w:lang w:val="fr-FR"/>
        </w:rPr>
        <w:t>’</w:t>
      </w:r>
      <w:r w:rsidRPr="00A75276">
        <w:rPr>
          <w:lang w:val="fr-FR"/>
        </w:rPr>
        <w:t xml:space="preserve">intention de le </w:t>
      </w:r>
      <w:r w:rsidR="00E177F7" w:rsidRPr="00A75276">
        <w:rPr>
          <w:lang w:val="fr-FR"/>
        </w:rPr>
        <w:t>faire dans un avenir proche</w:t>
      </w:r>
      <w:r w:rsidR="004838AB" w:rsidRPr="00A75276">
        <w:rPr>
          <w:lang w:val="fr-FR"/>
        </w:rPr>
        <w:t>.</w:t>
      </w:r>
    </w:p>
    <w:p w:rsidR="002E5DCA" w:rsidRPr="00A75276" w:rsidRDefault="00E177F7" w:rsidP="00360B03">
      <w:pPr>
        <w:pStyle w:val="ONUMFS"/>
        <w:rPr>
          <w:lang w:val="fr-FR"/>
        </w:rPr>
      </w:pPr>
      <w:r w:rsidRPr="00A75276">
        <w:rPr>
          <w:lang w:val="fr-FR"/>
        </w:rPr>
        <w:t>Une administration a suggéré d</w:t>
      </w:r>
      <w:r w:rsidR="009C53EC" w:rsidRPr="00A75276">
        <w:rPr>
          <w:lang w:val="fr-FR"/>
        </w:rPr>
        <w:t>’</w:t>
      </w:r>
      <w:r w:rsidRPr="00A75276">
        <w:rPr>
          <w:lang w:val="fr-FR"/>
        </w:rPr>
        <w:t>envisager la possibilité d</w:t>
      </w:r>
      <w:r w:rsidR="009C53EC" w:rsidRPr="00A75276">
        <w:rPr>
          <w:lang w:val="fr-FR"/>
        </w:rPr>
        <w:t>’</w:t>
      </w:r>
      <w:r w:rsidRPr="00A75276">
        <w:rPr>
          <w:lang w:val="fr-FR"/>
        </w:rPr>
        <w:t xml:space="preserve">utiliser le système </w:t>
      </w:r>
      <w:r w:rsidR="004838AB" w:rsidRPr="00A75276">
        <w:rPr>
          <w:lang w:val="fr-FR"/>
        </w:rPr>
        <w:t xml:space="preserve">WIPO CASE </w:t>
      </w:r>
      <w:r w:rsidRPr="00A75276">
        <w:rPr>
          <w:lang w:val="fr-FR"/>
        </w:rPr>
        <w:t xml:space="preserve">pour le </w:t>
      </w:r>
      <w:r w:rsidR="004838AB" w:rsidRPr="00A75276">
        <w:rPr>
          <w:lang w:val="fr-FR"/>
        </w:rPr>
        <w:t>transfer</w:t>
      </w:r>
      <w:r w:rsidRPr="00A75276">
        <w:rPr>
          <w:lang w:val="fr-FR"/>
        </w:rPr>
        <w:t xml:space="preserve">t sécurisé des </w:t>
      </w:r>
      <w:r w:rsidR="004838AB" w:rsidRPr="00A75276">
        <w:rPr>
          <w:lang w:val="fr-FR"/>
        </w:rPr>
        <w:t>documents relat</w:t>
      </w:r>
      <w:r w:rsidRPr="00A75276">
        <w:rPr>
          <w:lang w:val="fr-FR"/>
        </w:rPr>
        <w:t>ifs au service de coopération internationale en matière d</w:t>
      </w:r>
      <w:r w:rsidR="009C53EC" w:rsidRPr="00A75276">
        <w:rPr>
          <w:lang w:val="fr-FR"/>
        </w:rPr>
        <w:t>’</w:t>
      </w:r>
      <w:r w:rsidRPr="00A75276">
        <w:rPr>
          <w:lang w:val="fr-FR"/>
        </w:rPr>
        <w:t>examen (</w:t>
      </w:r>
      <w:r w:rsidR="004838AB" w:rsidRPr="00A75276">
        <w:rPr>
          <w:lang w:val="fr-FR"/>
        </w:rPr>
        <w:t xml:space="preserve">ICE) </w:t>
      </w:r>
      <w:r w:rsidRPr="00A75276">
        <w:rPr>
          <w:lang w:val="fr-FR"/>
        </w:rPr>
        <w:t>de l</w:t>
      </w:r>
      <w:r w:rsidR="009C53EC" w:rsidRPr="00A75276">
        <w:rPr>
          <w:lang w:val="fr-FR"/>
        </w:rPr>
        <w:t>’</w:t>
      </w:r>
      <w:r w:rsidRPr="00A75276">
        <w:rPr>
          <w:lang w:val="fr-FR"/>
        </w:rPr>
        <w:t>OMPI et s</w:t>
      </w:r>
      <w:r w:rsidR="009C53EC" w:rsidRPr="00A75276">
        <w:rPr>
          <w:lang w:val="fr-FR"/>
        </w:rPr>
        <w:t>’</w:t>
      </w:r>
      <w:r w:rsidRPr="00A75276">
        <w:rPr>
          <w:lang w:val="fr-FR"/>
        </w:rPr>
        <w:t>est proposée de participer à tout projet pilote à cet éga</w:t>
      </w:r>
      <w:r w:rsidR="00A16C85" w:rsidRPr="00A75276">
        <w:rPr>
          <w:lang w:val="fr-FR"/>
        </w:rPr>
        <w:t>rd.  El</w:t>
      </w:r>
      <w:r w:rsidRPr="00A75276">
        <w:rPr>
          <w:lang w:val="fr-FR"/>
        </w:rPr>
        <w:t>le a également suggéré d</w:t>
      </w:r>
      <w:r w:rsidR="009C53EC" w:rsidRPr="00A75276">
        <w:rPr>
          <w:lang w:val="fr-FR"/>
        </w:rPr>
        <w:t>’</w:t>
      </w:r>
      <w:r w:rsidRPr="00A75276">
        <w:rPr>
          <w:lang w:val="fr-FR"/>
        </w:rPr>
        <w:t>améliorer l</w:t>
      </w:r>
      <w:r w:rsidR="009C53EC" w:rsidRPr="00A75276">
        <w:rPr>
          <w:lang w:val="fr-FR"/>
        </w:rPr>
        <w:t>’</w:t>
      </w:r>
      <w:r w:rsidRPr="00A75276">
        <w:rPr>
          <w:lang w:val="fr-FR"/>
        </w:rPr>
        <w:t xml:space="preserve">accès au matériel de formation existant concernant le système </w:t>
      </w:r>
      <w:r w:rsidR="004838AB" w:rsidRPr="00A75276">
        <w:rPr>
          <w:lang w:val="fr-FR"/>
        </w:rPr>
        <w:t xml:space="preserve">WIPO CASE </w:t>
      </w:r>
      <w:r w:rsidRPr="00A75276">
        <w:rPr>
          <w:lang w:val="fr-FR"/>
        </w:rPr>
        <w:t>sur le site</w:t>
      </w:r>
      <w:r w:rsidR="00432F5D" w:rsidRPr="00A75276">
        <w:rPr>
          <w:lang w:val="fr-FR"/>
        </w:rPr>
        <w:t> </w:t>
      </w:r>
      <w:r w:rsidRPr="00A75276">
        <w:rPr>
          <w:lang w:val="fr-FR"/>
        </w:rPr>
        <w:t>Web de l</w:t>
      </w:r>
      <w:r w:rsidR="009C53EC" w:rsidRPr="00A75276">
        <w:rPr>
          <w:lang w:val="fr-FR"/>
        </w:rPr>
        <w:t>’</w:t>
      </w:r>
      <w:r w:rsidRPr="00A75276">
        <w:rPr>
          <w:lang w:val="fr-FR"/>
        </w:rPr>
        <w:t>O</w:t>
      </w:r>
      <w:r w:rsidR="00A16C85" w:rsidRPr="00A75276">
        <w:rPr>
          <w:lang w:val="fr-FR"/>
        </w:rPr>
        <w:t>MPI.  Un</w:t>
      </w:r>
      <w:r w:rsidRPr="00A75276">
        <w:rPr>
          <w:lang w:val="fr-FR"/>
        </w:rPr>
        <w:t xml:space="preserve">e autre administration a suggéré que le </w:t>
      </w:r>
      <w:r w:rsidR="004838AB" w:rsidRPr="00A75276">
        <w:rPr>
          <w:lang w:val="fr-FR"/>
        </w:rPr>
        <w:t xml:space="preserve">Bureau </w:t>
      </w:r>
      <w:r w:rsidRPr="00A75276">
        <w:rPr>
          <w:lang w:val="fr-FR"/>
        </w:rPr>
        <w:t>international</w:t>
      </w:r>
      <w:r w:rsidR="00E4533A" w:rsidRPr="00A75276">
        <w:rPr>
          <w:lang w:val="fr-FR"/>
        </w:rPr>
        <w:t xml:space="preserve"> </w:t>
      </w:r>
      <w:r w:rsidRPr="00A75276">
        <w:rPr>
          <w:lang w:val="fr-FR"/>
        </w:rPr>
        <w:t>se concentre sur l</w:t>
      </w:r>
      <w:r w:rsidR="009C53EC" w:rsidRPr="00A75276">
        <w:rPr>
          <w:lang w:val="fr-FR"/>
        </w:rPr>
        <w:t>’</w:t>
      </w:r>
      <w:r w:rsidRPr="00A75276">
        <w:rPr>
          <w:lang w:val="fr-FR"/>
        </w:rPr>
        <w:t>accessibilité et la facilité d</w:t>
      </w:r>
      <w:r w:rsidR="009C53EC" w:rsidRPr="00A75276">
        <w:rPr>
          <w:lang w:val="fr-FR"/>
        </w:rPr>
        <w:t>’</w:t>
      </w:r>
      <w:r w:rsidRPr="00A75276">
        <w:rPr>
          <w:lang w:val="fr-FR"/>
        </w:rPr>
        <w:t xml:space="preserve">utilisation du système </w:t>
      </w:r>
      <w:r w:rsidR="004838AB" w:rsidRPr="00A75276">
        <w:rPr>
          <w:lang w:val="fr-FR"/>
        </w:rPr>
        <w:t xml:space="preserve">WIPO CASE </w:t>
      </w:r>
      <w:r w:rsidRPr="00A75276">
        <w:rPr>
          <w:lang w:val="fr-FR"/>
        </w:rPr>
        <w:t>compte tenu de l</w:t>
      </w:r>
      <w:r w:rsidR="009C53EC" w:rsidRPr="00A75276">
        <w:rPr>
          <w:lang w:val="fr-FR"/>
        </w:rPr>
        <w:t>’</w:t>
      </w:r>
      <w:r w:rsidRPr="00A75276">
        <w:rPr>
          <w:lang w:val="fr-FR"/>
        </w:rPr>
        <w:t xml:space="preserve">augmentation de la </w:t>
      </w:r>
      <w:r w:rsidR="004838AB" w:rsidRPr="00A75276">
        <w:rPr>
          <w:lang w:val="fr-FR"/>
        </w:rPr>
        <w:t>demand</w:t>
      </w:r>
      <w:r w:rsidRPr="00A75276">
        <w:rPr>
          <w:lang w:val="fr-FR"/>
        </w:rPr>
        <w:t>e et de l</w:t>
      </w:r>
      <w:r w:rsidR="009C53EC" w:rsidRPr="00A75276">
        <w:rPr>
          <w:lang w:val="fr-FR"/>
        </w:rPr>
        <w:t>’</w:t>
      </w:r>
      <w:r w:rsidRPr="00A75276">
        <w:rPr>
          <w:lang w:val="fr-FR"/>
        </w:rPr>
        <w:t>utilisation</w:t>
      </w:r>
      <w:r w:rsidR="004838AB" w:rsidRPr="00A75276">
        <w:rPr>
          <w:lang w:val="fr-FR"/>
        </w:rPr>
        <w:t>.</w:t>
      </w:r>
    </w:p>
    <w:p w:rsidR="00715135" w:rsidRPr="00A75276" w:rsidRDefault="0090244E" w:rsidP="0090244E">
      <w:pPr>
        <w:pStyle w:val="ONUMFS"/>
        <w:ind w:left="567"/>
        <w:rPr>
          <w:lang w:val="fr-FR"/>
        </w:rPr>
      </w:pPr>
      <w:r w:rsidRPr="00A75276">
        <w:rPr>
          <w:lang w:val="fr-FR"/>
        </w:rPr>
        <w:t>La réunion a pris note du contenu du document PCT/MIA/23/2.</w:t>
      </w:r>
    </w:p>
    <w:p w:rsidR="00715135" w:rsidRPr="00A75276" w:rsidRDefault="00141119" w:rsidP="0090244E">
      <w:pPr>
        <w:pStyle w:val="Heading1"/>
        <w:rPr>
          <w:lang w:val="fr-FR"/>
        </w:rPr>
      </w:pPr>
      <w:r w:rsidRPr="00A75276">
        <w:rPr>
          <w:lang w:val="fr-FR"/>
        </w:rPr>
        <w:t>Point 9 de l</w:t>
      </w:r>
      <w:r w:rsidR="009C53EC" w:rsidRPr="00A75276">
        <w:rPr>
          <w:lang w:val="fr-FR"/>
        </w:rPr>
        <w:t>’</w:t>
      </w:r>
      <w:r w:rsidRPr="00A75276">
        <w:rPr>
          <w:lang w:val="fr-FR"/>
        </w:rPr>
        <w:t>ordre du jour </w:t>
      </w:r>
      <w:r w:rsidR="0090244E" w:rsidRPr="00A75276">
        <w:rPr>
          <w:lang w:val="fr-FR"/>
        </w:rPr>
        <w:t>: promouvoir le lien entre la phase internationale et la phase nationale</w:t>
      </w:r>
    </w:p>
    <w:p w:rsidR="00715135" w:rsidRPr="00A75276" w:rsidRDefault="0090244E" w:rsidP="0090244E">
      <w:pPr>
        <w:pStyle w:val="ONUMFS"/>
        <w:rPr>
          <w:lang w:val="fr-FR"/>
        </w:rPr>
      </w:pPr>
      <w:r w:rsidRPr="00A75276">
        <w:rPr>
          <w:lang w:val="fr-FR"/>
        </w:rPr>
        <w:t>Les délibérations ont eu lieu sur la base du document PCT/MIA/23/8.</w:t>
      </w:r>
    </w:p>
    <w:p w:rsidR="002E5DCA" w:rsidRPr="00A75276" w:rsidRDefault="00700493" w:rsidP="00360B03">
      <w:pPr>
        <w:pStyle w:val="ONUMFS"/>
        <w:rPr>
          <w:lang w:val="fr-FR"/>
        </w:rPr>
      </w:pPr>
      <w:r w:rsidRPr="00A75276">
        <w:rPr>
          <w:lang w:val="fr-FR"/>
        </w:rPr>
        <w:t>L</w:t>
      </w:r>
      <w:r w:rsidR="009C53EC" w:rsidRPr="00A75276">
        <w:rPr>
          <w:lang w:val="fr-FR"/>
        </w:rPr>
        <w:t>’</w:t>
      </w:r>
      <w:r w:rsidR="004838AB" w:rsidRPr="00A75276">
        <w:rPr>
          <w:lang w:val="fr-FR"/>
        </w:rPr>
        <w:t xml:space="preserve">Office </w:t>
      </w:r>
      <w:r w:rsidRPr="00A75276">
        <w:rPr>
          <w:lang w:val="fr-FR"/>
        </w:rPr>
        <w:t xml:space="preserve">des brevets du Japon </w:t>
      </w:r>
      <w:r w:rsidR="004838AB" w:rsidRPr="00A75276">
        <w:rPr>
          <w:lang w:val="fr-FR"/>
        </w:rPr>
        <w:t xml:space="preserve">(JPO) </w:t>
      </w:r>
      <w:r w:rsidRPr="00A75276">
        <w:rPr>
          <w:lang w:val="fr-FR"/>
        </w:rPr>
        <w:t>a présenté un exposé</w:t>
      </w:r>
      <w:r w:rsidR="004838AB" w:rsidRPr="00A75276">
        <w:rPr>
          <w:rStyle w:val="FootnoteReference"/>
          <w:lang w:val="fr-FR"/>
        </w:rPr>
        <w:footnoteReference w:id="3"/>
      </w:r>
      <w:r w:rsidR="004838AB" w:rsidRPr="00A75276">
        <w:rPr>
          <w:lang w:val="fr-FR"/>
        </w:rPr>
        <w:t xml:space="preserve"> </w:t>
      </w:r>
      <w:r w:rsidRPr="00A75276">
        <w:rPr>
          <w:lang w:val="fr-FR"/>
        </w:rPr>
        <w:t xml:space="preserve">sur le </w:t>
      </w:r>
      <w:r w:rsidR="00E874A5" w:rsidRPr="00A75276">
        <w:rPr>
          <w:lang w:val="fr-FR"/>
        </w:rPr>
        <w:t>“</w:t>
      </w:r>
      <w:r w:rsidRPr="00A75276">
        <w:rPr>
          <w:lang w:val="fr-FR"/>
        </w:rPr>
        <w:t>Manuel de la recherche internationale et de l</w:t>
      </w:r>
      <w:r w:rsidR="009C53EC" w:rsidRPr="00A75276">
        <w:rPr>
          <w:lang w:val="fr-FR"/>
        </w:rPr>
        <w:t>’</w:t>
      </w:r>
      <w:r w:rsidRPr="00A75276">
        <w:rPr>
          <w:lang w:val="fr-FR"/>
        </w:rPr>
        <w:t>examen préliminaire international à l</w:t>
      </w:r>
      <w:r w:rsidR="009C53EC" w:rsidRPr="00A75276">
        <w:rPr>
          <w:lang w:val="fr-FR"/>
        </w:rPr>
        <w:t>’</w:t>
      </w:r>
      <w:r w:rsidRPr="00A75276">
        <w:rPr>
          <w:lang w:val="fr-FR"/>
        </w:rPr>
        <w:t>Office des brevets du Japon</w:t>
      </w:r>
      <w:r w:rsidR="00E874A5" w:rsidRPr="00A75276">
        <w:rPr>
          <w:lang w:val="fr-FR"/>
        </w:rPr>
        <w:t>”</w:t>
      </w:r>
      <w:r w:rsidR="004838AB" w:rsidRPr="00A75276">
        <w:rPr>
          <w:lang w:val="fr-FR"/>
        </w:rPr>
        <w:t xml:space="preserve">, </w:t>
      </w:r>
      <w:r w:rsidRPr="00A75276">
        <w:rPr>
          <w:lang w:val="fr-FR"/>
        </w:rPr>
        <w:t xml:space="preserve">qui avait été publié en japonais et en anglais en </w:t>
      </w:r>
      <w:r w:rsidR="002E5DCA" w:rsidRPr="00A75276">
        <w:rPr>
          <w:lang w:val="fr-FR"/>
        </w:rPr>
        <w:t>octobre 20</w:t>
      </w:r>
      <w:r w:rsidR="004838AB" w:rsidRPr="00A75276">
        <w:rPr>
          <w:lang w:val="fr-FR"/>
        </w:rPr>
        <w:t xml:space="preserve">15 </w:t>
      </w:r>
      <w:r w:rsidRPr="00A75276">
        <w:rPr>
          <w:lang w:val="fr-FR"/>
        </w:rPr>
        <w:t>et mis à disposition sur le site</w:t>
      </w:r>
      <w:r w:rsidR="00432F5D" w:rsidRPr="00A75276">
        <w:rPr>
          <w:lang w:val="fr-FR"/>
        </w:rPr>
        <w:t> </w:t>
      </w:r>
      <w:r w:rsidRPr="00A75276">
        <w:rPr>
          <w:lang w:val="fr-FR"/>
        </w:rPr>
        <w:t>Web</w:t>
      </w:r>
      <w:r w:rsidR="002E5DCA" w:rsidRPr="00A75276">
        <w:rPr>
          <w:lang w:val="fr-FR"/>
        </w:rPr>
        <w:t xml:space="preserve"> du JPO</w:t>
      </w:r>
      <w:r w:rsidR="004838AB" w:rsidRPr="00A75276">
        <w:rPr>
          <w:rStyle w:val="FootnoteReference"/>
          <w:lang w:val="fr-FR"/>
        </w:rPr>
        <w:footnoteReference w:id="4"/>
      </w:r>
      <w:r w:rsidR="004838AB" w:rsidRPr="00A75276">
        <w:rPr>
          <w:lang w:val="fr-FR"/>
        </w:rPr>
        <w:t xml:space="preserve">.  </w:t>
      </w:r>
      <w:r w:rsidRPr="00A75276">
        <w:rPr>
          <w:lang w:val="fr-FR"/>
        </w:rPr>
        <w:t>Cet exposé a également mis en exergue deux</w:t>
      </w:r>
      <w:r w:rsidR="00432F5D" w:rsidRPr="00A75276">
        <w:rPr>
          <w:lang w:val="fr-FR"/>
        </w:rPr>
        <w:t> </w:t>
      </w:r>
      <w:r w:rsidRPr="00A75276">
        <w:rPr>
          <w:lang w:val="fr-FR"/>
        </w:rPr>
        <w:t>des mesures évoquées dans l</w:t>
      </w:r>
      <w:r w:rsidR="009C53EC" w:rsidRPr="00A75276">
        <w:rPr>
          <w:lang w:val="fr-FR"/>
        </w:rPr>
        <w:t>’</w:t>
      </w:r>
      <w:r w:rsidRPr="00A75276">
        <w:rPr>
          <w:lang w:val="fr-FR"/>
        </w:rPr>
        <w:t xml:space="preserve">annexe du document </w:t>
      </w:r>
      <w:r w:rsidR="004838AB" w:rsidRPr="00A75276">
        <w:rPr>
          <w:lang w:val="fr-FR"/>
        </w:rPr>
        <w:t xml:space="preserve">PCT/MIA/23/8, </w:t>
      </w:r>
      <w:r w:rsidR="009C53EC" w:rsidRPr="00A75276">
        <w:rPr>
          <w:lang w:val="fr-FR"/>
        </w:rPr>
        <w:t>à savoir</w:t>
      </w:r>
      <w:r w:rsidRPr="00A75276">
        <w:rPr>
          <w:lang w:val="fr-FR"/>
        </w:rPr>
        <w:t xml:space="preserve"> </w:t>
      </w:r>
      <w:r w:rsidR="004838AB" w:rsidRPr="00A75276">
        <w:rPr>
          <w:lang w:val="fr-FR"/>
        </w:rPr>
        <w:t>a</w:t>
      </w:r>
      <w:r w:rsidR="00A16C85" w:rsidRPr="00A75276">
        <w:rPr>
          <w:lang w:val="fr-FR"/>
        </w:rPr>
        <w:noBreakHyphen/>
      </w:r>
      <w:r w:rsidR="004838AB" w:rsidRPr="00A75276">
        <w:rPr>
          <w:lang w:val="fr-FR"/>
        </w:rPr>
        <w:t xml:space="preserve">2) </w:t>
      </w:r>
      <w:r w:rsidR="00E874A5" w:rsidRPr="00A75276">
        <w:rPr>
          <w:lang w:val="fr-FR"/>
        </w:rPr>
        <w:t>“</w:t>
      </w:r>
      <w:r w:rsidRPr="00A75276">
        <w:rPr>
          <w:lang w:val="fr-FR"/>
        </w:rPr>
        <w:t xml:space="preserve">lors de la citation de </w:t>
      </w:r>
      <w:r w:rsidR="004838AB" w:rsidRPr="00A75276">
        <w:rPr>
          <w:lang w:val="fr-FR"/>
        </w:rPr>
        <w:t xml:space="preserve">documents </w:t>
      </w:r>
      <w:r w:rsidRPr="00A75276">
        <w:rPr>
          <w:lang w:val="fr-FR"/>
        </w:rPr>
        <w:t>de brevet rédigés dans d</w:t>
      </w:r>
      <w:r w:rsidR="009C53EC" w:rsidRPr="00A75276">
        <w:rPr>
          <w:lang w:val="fr-FR"/>
        </w:rPr>
        <w:t>’</w:t>
      </w:r>
      <w:r w:rsidRPr="00A75276">
        <w:rPr>
          <w:lang w:val="fr-FR"/>
        </w:rPr>
        <w:t>autres langues que l</w:t>
      </w:r>
      <w:r w:rsidR="009C53EC" w:rsidRPr="00A75276">
        <w:rPr>
          <w:lang w:val="fr-FR"/>
        </w:rPr>
        <w:t>’</w:t>
      </w:r>
      <w:r w:rsidRPr="00A75276">
        <w:rPr>
          <w:lang w:val="fr-FR"/>
        </w:rPr>
        <w:t xml:space="preserve">anglais, indiquer la </w:t>
      </w:r>
      <w:r w:rsidR="004838AB" w:rsidRPr="00A75276">
        <w:rPr>
          <w:lang w:val="fr-FR"/>
        </w:rPr>
        <w:t>part</w:t>
      </w:r>
      <w:r w:rsidRPr="00A75276">
        <w:rPr>
          <w:lang w:val="fr-FR"/>
        </w:rPr>
        <w:t>ie correspondante des documents de la famille de brevets rédigés en anglais, s</w:t>
      </w:r>
      <w:r w:rsidR="009C53EC" w:rsidRPr="00A75276">
        <w:rPr>
          <w:lang w:val="fr-FR"/>
        </w:rPr>
        <w:t>’</w:t>
      </w:r>
      <w:r w:rsidRPr="00A75276">
        <w:rPr>
          <w:lang w:val="fr-FR"/>
        </w:rPr>
        <w:t>il en existe</w:t>
      </w:r>
      <w:r w:rsidR="00E874A5" w:rsidRPr="00A75276">
        <w:rPr>
          <w:lang w:val="fr-FR"/>
        </w:rPr>
        <w:t>”</w:t>
      </w:r>
      <w:r w:rsidR="004838AB" w:rsidRPr="00A75276">
        <w:rPr>
          <w:lang w:val="fr-FR"/>
        </w:rPr>
        <w:t xml:space="preserve">, </w:t>
      </w:r>
      <w:r w:rsidRPr="00A75276">
        <w:rPr>
          <w:lang w:val="fr-FR"/>
        </w:rPr>
        <w:t xml:space="preserve">et </w:t>
      </w:r>
      <w:r w:rsidR="004838AB" w:rsidRPr="00A75276">
        <w:rPr>
          <w:lang w:val="fr-FR"/>
        </w:rPr>
        <w:t>b</w:t>
      </w:r>
      <w:r w:rsidR="00A16C85" w:rsidRPr="00A75276">
        <w:rPr>
          <w:lang w:val="fr-FR"/>
        </w:rPr>
        <w:noBreakHyphen/>
      </w:r>
      <w:r w:rsidR="004838AB" w:rsidRPr="00A75276">
        <w:rPr>
          <w:lang w:val="fr-FR"/>
        </w:rPr>
        <w:t xml:space="preserve">4) </w:t>
      </w:r>
      <w:r w:rsidR="00E874A5" w:rsidRPr="00A75276">
        <w:rPr>
          <w:lang w:val="fr-FR"/>
        </w:rPr>
        <w:t>“</w:t>
      </w:r>
      <w:r w:rsidRPr="00A75276">
        <w:rPr>
          <w:lang w:val="fr-FR"/>
        </w:rPr>
        <w:t>conduire également des recherches sur les objets non considérés comme brevetables en vertu de sa propre législation nationale en matière de brevets</w:t>
      </w:r>
      <w:r w:rsidR="00E874A5" w:rsidRPr="00A75276">
        <w:rPr>
          <w:lang w:val="fr-FR"/>
        </w:rPr>
        <w:t>”</w:t>
      </w:r>
      <w:r w:rsidR="004838AB" w:rsidRPr="00A75276">
        <w:rPr>
          <w:lang w:val="fr-FR"/>
        </w:rPr>
        <w:t xml:space="preserve">.  </w:t>
      </w:r>
      <w:r w:rsidR="006B6654" w:rsidRPr="00A75276">
        <w:rPr>
          <w:lang w:val="fr-FR"/>
        </w:rPr>
        <w:t>S</w:t>
      </w:r>
      <w:r w:rsidR="009C53EC" w:rsidRPr="00A75276">
        <w:rPr>
          <w:lang w:val="fr-FR"/>
        </w:rPr>
        <w:t>’</w:t>
      </w:r>
      <w:r w:rsidR="006B6654" w:rsidRPr="00A75276">
        <w:rPr>
          <w:lang w:val="fr-FR"/>
        </w:rPr>
        <w:t>agissant de</w:t>
      </w:r>
      <w:r w:rsidRPr="00A75276">
        <w:rPr>
          <w:lang w:val="fr-FR"/>
        </w:rPr>
        <w:t xml:space="preserve"> la première me</w:t>
      </w:r>
      <w:r w:rsidR="004838AB" w:rsidRPr="00A75276">
        <w:rPr>
          <w:lang w:val="fr-FR"/>
        </w:rPr>
        <w:t>sure,</w:t>
      </w:r>
      <w:r w:rsidR="002E5DCA" w:rsidRPr="00A75276">
        <w:rPr>
          <w:lang w:val="fr-FR"/>
        </w:rPr>
        <w:t xml:space="preserve"> le JPO</w:t>
      </w:r>
      <w:r w:rsidR="004838AB" w:rsidRPr="00A75276">
        <w:rPr>
          <w:lang w:val="fr-FR"/>
        </w:rPr>
        <w:t xml:space="preserve"> </w:t>
      </w:r>
      <w:r w:rsidRPr="00A75276">
        <w:rPr>
          <w:lang w:val="fr-FR"/>
        </w:rPr>
        <w:t>souhaitait la voir incorporée dans</w:t>
      </w:r>
      <w:r w:rsidR="00A16C85" w:rsidRPr="00A75276">
        <w:rPr>
          <w:lang w:val="fr-FR"/>
        </w:rPr>
        <w:t xml:space="preserve"> les meilleurs délais dans les d</w:t>
      </w:r>
      <w:r w:rsidRPr="00A75276">
        <w:rPr>
          <w:lang w:val="fr-FR"/>
        </w:rPr>
        <w:t>irectives concernant la recherche internationale et l</w:t>
      </w:r>
      <w:r w:rsidR="009C53EC" w:rsidRPr="00A75276">
        <w:rPr>
          <w:lang w:val="fr-FR"/>
        </w:rPr>
        <w:t>’</w:t>
      </w:r>
      <w:r w:rsidRPr="00A75276">
        <w:rPr>
          <w:lang w:val="fr-FR"/>
        </w:rPr>
        <w:t xml:space="preserve">examen préliminaire international, comme cela avait été </w:t>
      </w:r>
      <w:r w:rsidR="006B6654" w:rsidRPr="00A75276">
        <w:rPr>
          <w:lang w:val="fr-FR"/>
        </w:rPr>
        <w:t>indiqué à la vingt</w:t>
      </w:r>
      <w:r w:rsidR="00A16C85" w:rsidRPr="00A75276">
        <w:rPr>
          <w:lang w:val="fr-FR"/>
        </w:rPr>
        <w:noBreakHyphen/>
      </w:r>
      <w:r w:rsidR="006B6654" w:rsidRPr="00A75276">
        <w:rPr>
          <w:lang w:val="fr-FR"/>
        </w:rPr>
        <w:t>deuxième Réunion des administrations internationales en</w:t>
      </w:r>
      <w:r w:rsidR="00432F5D" w:rsidRPr="00A75276">
        <w:rPr>
          <w:lang w:val="fr-FR"/>
        </w:rPr>
        <w:t> </w:t>
      </w:r>
      <w:r w:rsidR="004838AB" w:rsidRPr="00A75276">
        <w:rPr>
          <w:lang w:val="fr-FR"/>
        </w:rPr>
        <w:t>2015.</w:t>
      </w:r>
    </w:p>
    <w:p w:rsidR="00715135" w:rsidRPr="00A75276" w:rsidRDefault="00910CD0" w:rsidP="00910CD0">
      <w:pPr>
        <w:pStyle w:val="ONUMFS"/>
        <w:rPr>
          <w:lang w:val="fr-FR"/>
        </w:rPr>
      </w:pPr>
      <w:r w:rsidRPr="00A75276">
        <w:rPr>
          <w:lang w:val="fr-FR"/>
        </w:rPr>
        <w:t>Les administrations qui se sont exprimées sur cette question se sont félicitées de l</w:t>
      </w:r>
      <w:r w:rsidR="009C53EC" w:rsidRPr="00A75276">
        <w:rPr>
          <w:lang w:val="fr-FR"/>
        </w:rPr>
        <w:t>’</w:t>
      </w:r>
      <w:r w:rsidRPr="00A75276">
        <w:rPr>
          <w:lang w:val="fr-FR"/>
        </w:rPr>
        <w:t>initiative prise par l</w:t>
      </w:r>
      <w:r w:rsidR="009C53EC" w:rsidRPr="00A75276">
        <w:rPr>
          <w:lang w:val="fr-FR"/>
        </w:rPr>
        <w:t>’</w:t>
      </w:r>
      <w:r w:rsidRPr="00A75276">
        <w:rPr>
          <w:lang w:val="fr-FR"/>
        </w:rPr>
        <w:t>Office des brevets du Japon de recueillir les observations et commentaires d</w:t>
      </w:r>
      <w:r w:rsidR="009C53EC" w:rsidRPr="00A75276">
        <w:rPr>
          <w:lang w:val="fr-FR"/>
        </w:rPr>
        <w:t>’</w:t>
      </w:r>
      <w:r w:rsidRPr="00A75276">
        <w:rPr>
          <w:lang w:val="fr-FR"/>
        </w:rPr>
        <w:t>autres administrations concernant les mesures susceptibles de resserrer le lien entre les phases internationale et nationale de la procédure</w:t>
      </w:r>
      <w:r w:rsidR="002E5DCA" w:rsidRPr="00A75276">
        <w:rPr>
          <w:lang w:val="fr-FR"/>
        </w:rPr>
        <w:t xml:space="preserve"> du </w:t>
      </w:r>
      <w:r w:rsidR="00A16C85" w:rsidRPr="00A75276">
        <w:rPr>
          <w:lang w:val="fr-FR"/>
        </w:rPr>
        <w:t>PCT.  Pl</w:t>
      </w:r>
      <w:r w:rsidR="006B6654" w:rsidRPr="00A75276">
        <w:rPr>
          <w:lang w:val="fr-FR"/>
        </w:rPr>
        <w:t xml:space="preserve">usieurs administrations ont toutefois souligné les </w:t>
      </w:r>
      <w:r w:rsidR="004838AB" w:rsidRPr="00A75276">
        <w:rPr>
          <w:lang w:val="fr-FR"/>
        </w:rPr>
        <w:t xml:space="preserve">limitations </w:t>
      </w:r>
      <w:r w:rsidR="006B6654" w:rsidRPr="00A75276">
        <w:rPr>
          <w:lang w:val="fr-FR"/>
        </w:rPr>
        <w:t>actuelles découlant des législations nationales qui empêchaient la mise en œuvre de certaines des mesures proposé</w:t>
      </w:r>
      <w:r w:rsidR="00A16C85" w:rsidRPr="00A75276">
        <w:rPr>
          <w:lang w:val="fr-FR"/>
        </w:rPr>
        <w:t>es.  Un</w:t>
      </w:r>
      <w:r w:rsidR="006B6654" w:rsidRPr="00A75276">
        <w:rPr>
          <w:lang w:val="fr-FR"/>
        </w:rPr>
        <w:t xml:space="preserve">e administration a exprimé des préoccupations concernant la charge de travail supplémentaire excessive qui pourrait peser sur les examinateurs dans la phase </w:t>
      </w:r>
      <w:r w:rsidR="004838AB" w:rsidRPr="00A75276">
        <w:rPr>
          <w:lang w:val="fr-FR"/>
        </w:rPr>
        <w:t>international</w:t>
      </w:r>
      <w:r w:rsidR="006B6654" w:rsidRPr="00A75276">
        <w:rPr>
          <w:lang w:val="fr-FR"/>
        </w:rPr>
        <w:t>e</w:t>
      </w:r>
      <w:r w:rsidR="004838AB" w:rsidRPr="00A75276">
        <w:rPr>
          <w:lang w:val="fr-FR"/>
        </w:rPr>
        <w:t>.</w:t>
      </w:r>
    </w:p>
    <w:p w:rsidR="00715135" w:rsidRPr="00A75276" w:rsidRDefault="00FE37A6" w:rsidP="00360B03">
      <w:pPr>
        <w:pStyle w:val="ONUMFS"/>
        <w:rPr>
          <w:lang w:val="fr-FR"/>
        </w:rPr>
      </w:pPr>
      <w:r w:rsidRPr="00A75276">
        <w:rPr>
          <w:lang w:val="fr-FR"/>
        </w:rPr>
        <w:t>L</w:t>
      </w:r>
      <w:r w:rsidR="009C53EC" w:rsidRPr="00A75276">
        <w:rPr>
          <w:lang w:val="fr-FR"/>
        </w:rPr>
        <w:t>’</w:t>
      </w:r>
      <w:r w:rsidR="004838AB" w:rsidRPr="00A75276">
        <w:rPr>
          <w:lang w:val="fr-FR"/>
        </w:rPr>
        <w:t xml:space="preserve">Office </w:t>
      </w:r>
      <w:r w:rsidRPr="00A75276">
        <w:rPr>
          <w:lang w:val="fr-FR"/>
        </w:rPr>
        <w:t>européen des brevets a informé la réunion qu</w:t>
      </w:r>
      <w:r w:rsidR="009C53EC" w:rsidRPr="00A75276">
        <w:rPr>
          <w:lang w:val="fr-FR"/>
        </w:rPr>
        <w:t>’</w:t>
      </w:r>
      <w:r w:rsidRPr="00A75276">
        <w:rPr>
          <w:lang w:val="fr-FR"/>
        </w:rPr>
        <w:t>il avait publié des directives sur</w:t>
      </w:r>
      <w:r w:rsidR="002E5DCA" w:rsidRPr="00A75276">
        <w:rPr>
          <w:lang w:val="fr-FR"/>
        </w:rPr>
        <w:t xml:space="preserve"> le PCT</w:t>
      </w:r>
      <w:r w:rsidR="004838AB" w:rsidRPr="00A75276">
        <w:rPr>
          <w:lang w:val="fr-FR"/>
        </w:rPr>
        <w:t xml:space="preserve"> </w:t>
      </w:r>
      <w:r w:rsidRPr="00A75276">
        <w:rPr>
          <w:lang w:val="fr-FR"/>
        </w:rPr>
        <w:t>à l</w:t>
      </w:r>
      <w:r w:rsidR="009C53EC" w:rsidRPr="00A75276">
        <w:rPr>
          <w:lang w:val="fr-FR"/>
        </w:rPr>
        <w:t>’</w:t>
      </w:r>
      <w:r w:rsidRPr="00A75276">
        <w:rPr>
          <w:lang w:val="fr-FR"/>
        </w:rPr>
        <w:t>intention des examinateurs</w:t>
      </w:r>
      <w:r w:rsidR="004838AB" w:rsidRPr="00A75276">
        <w:rPr>
          <w:lang w:val="fr-FR"/>
        </w:rPr>
        <w:t xml:space="preserve">, </w:t>
      </w:r>
      <w:r w:rsidRPr="00A75276">
        <w:rPr>
          <w:lang w:val="fr-FR"/>
        </w:rPr>
        <w:t>qui expliquaient comment les Directives concernant la recherche internationale et l</w:t>
      </w:r>
      <w:r w:rsidR="009C53EC" w:rsidRPr="00A75276">
        <w:rPr>
          <w:lang w:val="fr-FR"/>
        </w:rPr>
        <w:t>’</w:t>
      </w:r>
      <w:r w:rsidRPr="00A75276">
        <w:rPr>
          <w:lang w:val="fr-FR"/>
        </w:rPr>
        <w:t>examen préliminaire international étaient mises en œuvre à l</w:t>
      </w:r>
      <w:r w:rsidR="009C53EC" w:rsidRPr="00A75276">
        <w:rPr>
          <w:lang w:val="fr-FR"/>
        </w:rPr>
        <w:t>’</w:t>
      </w:r>
      <w:r w:rsidR="004838AB" w:rsidRPr="00A75276">
        <w:rPr>
          <w:lang w:val="fr-FR"/>
        </w:rPr>
        <w:t>Office</w:t>
      </w:r>
      <w:r w:rsidRPr="00A75276">
        <w:rPr>
          <w:lang w:val="fr-FR"/>
        </w:rPr>
        <w:t xml:space="preserve"> européen des breve</w:t>
      </w:r>
      <w:r w:rsidR="00A16C85" w:rsidRPr="00A75276">
        <w:rPr>
          <w:lang w:val="fr-FR"/>
        </w:rPr>
        <w:t>ts.  Le</w:t>
      </w:r>
      <w:r w:rsidRPr="00A75276">
        <w:rPr>
          <w:lang w:val="fr-FR"/>
        </w:rPr>
        <w:t>s demandes selon</w:t>
      </w:r>
      <w:r w:rsidR="002E5DCA" w:rsidRPr="00A75276">
        <w:rPr>
          <w:lang w:val="fr-FR"/>
        </w:rPr>
        <w:t xml:space="preserve"> le PCT</w:t>
      </w:r>
      <w:r w:rsidR="004838AB" w:rsidRPr="00A75276">
        <w:rPr>
          <w:lang w:val="fr-FR"/>
        </w:rPr>
        <w:t xml:space="preserve"> </w:t>
      </w:r>
      <w:r w:rsidRPr="00A75276">
        <w:rPr>
          <w:lang w:val="fr-FR"/>
        </w:rPr>
        <w:t xml:space="preserve">étaient traitées de manière intégrée avec </w:t>
      </w:r>
      <w:r w:rsidRPr="00A75276">
        <w:rPr>
          <w:lang w:val="fr-FR"/>
        </w:rPr>
        <w:lastRenderedPageBreak/>
        <w:t>les demandes selon la Convention sur le brevet européen</w:t>
      </w:r>
      <w:r w:rsidR="004838AB" w:rsidRPr="00A75276">
        <w:rPr>
          <w:lang w:val="fr-FR"/>
        </w:rPr>
        <w:t xml:space="preserve">, </w:t>
      </w:r>
      <w:r w:rsidRPr="00A75276">
        <w:rPr>
          <w:lang w:val="fr-FR"/>
        </w:rPr>
        <w:t>l</w:t>
      </w:r>
      <w:r w:rsidR="009C53EC" w:rsidRPr="00A75276">
        <w:rPr>
          <w:lang w:val="fr-FR"/>
        </w:rPr>
        <w:t>’</w:t>
      </w:r>
      <w:r w:rsidR="004838AB" w:rsidRPr="00A75276">
        <w:rPr>
          <w:lang w:val="fr-FR"/>
        </w:rPr>
        <w:t xml:space="preserve">opinion </w:t>
      </w:r>
      <w:r w:rsidRPr="00A75276">
        <w:rPr>
          <w:lang w:val="fr-FR"/>
        </w:rPr>
        <w:t>de l</w:t>
      </w:r>
      <w:r w:rsidR="009C53EC" w:rsidRPr="00A75276">
        <w:rPr>
          <w:lang w:val="fr-FR"/>
        </w:rPr>
        <w:t>’</w:t>
      </w:r>
      <w:r w:rsidR="004838AB" w:rsidRPr="00A75276">
        <w:rPr>
          <w:lang w:val="fr-FR"/>
        </w:rPr>
        <w:t xml:space="preserve">Office </w:t>
      </w:r>
      <w:r w:rsidRPr="00A75276">
        <w:rPr>
          <w:lang w:val="fr-FR"/>
        </w:rPr>
        <w:t>européen des brevets étant prise en considération et les deux</w:t>
      </w:r>
      <w:r w:rsidR="00432F5D" w:rsidRPr="00A75276">
        <w:rPr>
          <w:lang w:val="fr-FR"/>
        </w:rPr>
        <w:t> </w:t>
      </w:r>
      <w:r w:rsidRPr="00A75276">
        <w:rPr>
          <w:lang w:val="fr-FR"/>
        </w:rPr>
        <w:t>procédures étant instruites par le même examinateur</w:t>
      </w:r>
      <w:r w:rsidR="004838AB" w:rsidRPr="00A75276">
        <w:rPr>
          <w:lang w:val="fr-FR"/>
        </w:rPr>
        <w:t>.</w:t>
      </w:r>
    </w:p>
    <w:p w:rsidR="002E5DCA" w:rsidRPr="00A75276" w:rsidRDefault="004838AB" w:rsidP="00360B03">
      <w:pPr>
        <w:pStyle w:val="ONUMFS"/>
        <w:rPr>
          <w:lang w:val="fr-FR"/>
        </w:rPr>
      </w:pPr>
      <w:r w:rsidRPr="00A75276">
        <w:rPr>
          <w:lang w:val="fr-FR"/>
        </w:rPr>
        <w:t xml:space="preserve">IP </w:t>
      </w:r>
      <w:proofErr w:type="spellStart"/>
      <w:r w:rsidRPr="00A75276">
        <w:rPr>
          <w:lang w:val="fr-FR"/>
        </w:rPr>
        <w:t>Australia</w:t>
      </w:r>
      <w:proofErr w:type="spellEnd"/>
      <w:r w:rsidRPr="00A75276">
        <w:rPr>
          <w:lang w:val="fr-FR"/>
        </w:rPr>
        <w:t xml:space="preserve"> </w:t>
      </w:r>
      <w:r w:rsidR="003A29CF" w:rsidRPr="00A75276">
        <w:rPr>
          <w:lang w:val="fr-FR"/>
        </w:rPr>
        <w:t>a informé la réunion qu</w:t>
      </w:r>
      <w:r w:rsidR="009C53EC" w:rsidRPr="00A75276">
        <w:rPr>
          <w:lang w:val="fr-FR"/>
        </w:rPr>
        <w:t>’</w:t>
      </w:r>
      <w:r w:rsidR="003A29CF" w:rsidRPr="00A75276">
        <w:rPr>
          <w:lang w:val="fr-FR"/>
        </w:rPr>
        <w:t xml:space="preserve">il avait lancé le même mois un essai dans le cadre duquel le déposant entrant dans la </w:t>
      </w:r>
      <w:r w:rsidR="0083370E" w:rsidRPr="00A75276">
        <w:rPr>
          <w:lang w:val="fr-FR"/>
        </w:rPr>
        <w:t xml:space="preserve">phase </w:t>
      </w:r>
      <w:r w:rsidRPr="00A75276">
        <w:rPr>
          <w:lang w:val="fr-FR"/>
        </w:rPr>
        <w:t xml:space="preserve">nationale </w:t>
      </w:r>
      <w:r w:rsidR="0083370E" w:rsidRPr="00A75276">
        <w:rPr>
          <w:lang w:val="fr-FR"/>
        </w:rPr>
        <w:t>était invité à prendre en considération l</w:t>
      </w:r>
      <w:r w:rsidR="009C53EC" w:rsidRPr="00A75276">
        <w:rPr>
          <w:lang w:val="fr-FR"/>
        </w:rPr>
        <w:t>’</w:t>
      </w:r>
      <w:r w:rsidRPr="00A75276">
        <w:rPr>
          <w:lang w:val="fr-FR"/>
        </w:rPr>
        <w:t xml:space="preserve">opinion </w:t>
      </w:r>
      <w:r w:rsidR="0083370E" w:rsidRPr="00A75276">
        <w:rPr>
          <w:lang w:val="fr-FR"/>
        </w:rPr>
        <w:t xml:space="preserve">écrite ou le rapport de recherche </w:t>
      </w:r>
      <w:r w:rsidRPr="00A75276">
        <w:rPr>
          <w:lang w:val="fr-FR"/>
        </w:rPr>
        <w:t>international</w:t>
      </w:r>
      <w:r w:rsidR="0083370E" w:rsidRPr="00A75276">
        <w:rPr>
          <w:lang w:val="fr-FR"/>
        </w:rPr>
        <w:t>e et le rapport d</w:t>
      </w:r>
      <w:r w:rsidR="009C53EC" w:rsidRPr="00A75276">
        <w:rPr>
          <w:lang w:val="fr-FR"/>
        </w:rPr>
        <w:t>’</w:t>
      </w:r>
      <w:r w:rsidR="0083370E" w:rsidRPr="00A75276">
        <w:rPr>
          <w:lang w:val="fr-FR"/>
        </w:rPr>
        <w:t>examen préliminaire international avant l</w:t>
      </w:r>
      <w:r w:rsidR="009C53EC" w:rsidRPr="00A75276">
        <w:rPr>
          <w:lang w:val="fr-FR"/>
        </w:rPr>
        <w:t>’</w:t>
      </w:r>
      <w:r w:rsidR="0083370E" w:rsidRPr="00A75276">
        <w:rPr>
          <w:lang w:val="fr-FR"/>
        </w:rPr>
        <w:t xml:space="preserve">ouverture de </w:t>
      </w:r>
      <w:r w:rsidR="001A483D" w:rsidRPr="00A75276">
        <w:rPr>
          <w:lang w:val="fr-FR"/>
        </w:rPr>
        <w:t>la phase</w:t>
      </w:r>
      <w:r w:rsidR="0083370E" w:rsidRPr="00A75276">
        <w:rPr>
          <w:lang w:val="fr-FR"/>
        </w:rPr>
        <w:t xml:space="preserve"> national</w:t>
      </w:r>
      <w:r w:rsidR="001A483D" w:rsidRPr="00A75276">
        <w:rPr>
          <w:lang w:val="fr-FR"/>
        </w:rPr>
        <w:t>e</w:t>
      </w:r>
      <w:r w:rsidR="0083370E" w:rsidRPr="00A75276">
        <w:rPr>
          <w:lang w:val="fr-FR"/>
        </w:rPr>
        <w:t xml:space="preserve"> en apportant des modifications ou en formulant des observations sur l</w:t>
      </w:r>
      <w:r w:rsidR="009C53EC" w:rsidRPr="00A75276">
        <w:rPr>
          <w:lang w:val="fr-FR"/>
        </w:rPr>
        <w:t>’</w:t>
      </w:r>
      <w:r w:rsidR="0083370E" w:rsidRPr="00A75276">
        <w:rPr>
          <w:lang w:val="fr-FR"/>
        </w:rPr>
        <w:t>opinion ou le rappo</w:t>
      </w:r>
      <w:r w:rsidR="00A16C85" w:rsidRPr="00A75276">
        <w:rPr>
          <w:lang w:val="fr-FR"/>
        </w:rPr>
        <w:t>rt.  Ce</w:t>
      </w:r>
      <w:r w:rsidR="0083370E" w:rsidRPr="00A75276">
        <w:rPr>
          <w:lang w:val="fr-FR"/>
        </w:rPr>
        <w:t>t essai se déroulerait au moins jusqu</w:t>
      </w:r>
      <w:r w:rsidR="009C53EC" w:rsidRPr="00A75276">
        <w:rPr>
          <w:lang w:val="fr-FR"/>
        </w:rPr>
        <w:t>’</w:t>
      </w:r>
      <w:r w:rsidR="0083370E" w:rsidRPr="00A75276">
        <w:rPr>
          <w:lang w:val="fr-FR"/>
        </w:rPr>
        <w:t>à la fin de</w:t>
      </w:r>
      <w:r w:rsidR="00432F5D" w:rsidRPr="00A75276">
        <w:rPr>
          <w:lang w:val="fr-FR"/>
        </w:rPr>
        <w:t> </w:t>
      </w:r>
      <w:r w:rsidRPr="00A75276">
        <w:rPr>
          <w:lang w:val="fr-FR"/>
        </w:rPr>
        <w:t>2016.</w:t>
      </w:r>
    </w:p>
    <w:p w:rsidR="00715135" w:rsidRPr="00A75276" w:rsidRDefault="0083370E" w:rsidP="00A9298C">
      <w:pPr>
        <w:pStyle w:val="ONUMFS"/>
        <w:ind w:left="567"/>
        <w:rPr>
          <w:lang w:val="fr-FR"/>
        </w:rPr>
      </w:pPr>
      <w:r w:rsidRPr="00A75276">
        <w:rPr>
          <w:lang w:val="fr-FR"/>
        </w:rPr>
        <w:t>La réunion est convenue que l</w:t>
      </w:r>
      <w:r w:rsidR="009C53EC" w:rsidRPr="00A75276">
        <w:rPr>
          <w:lang w:val="fr-FR"/>
        </w:rPr>
        <w:t>’</w:t>
      </w:r>
      <w:r w:rsidR="004838AB" w:rsidRPr="00A75276">
        <w:rPr>
          <w:lang w:val="fr-FR"/>
        </w:rPr>
        <w:t xml:space="preserve">Office </w:t>
      </w:r>
      <w:r w:rsidRPr="00A75276">
        <w:rPr>
          <w:lang w:val="fr-FR"/>
        </w:rPr>
        <w:t xml:space="preserve">des brevets du Japon devrait collaborer avec le </w:t>
      </w:r>
      <w:r w:rsidR="004838AB" w:rsidRPr="00A75276">
        <w:rPr>
          <w:lang w:val="fr-FR"/>
        </w:rPr>
        <w:t xml:space="preserve">Bureau </w:t>
      </w:r>
      <w:r w:rsidRPr="00A75276">
        <w:rPr>
          <w:lang w:val="fr-FR"/>
        </w:rPr>
        <w:t xml:space="preserve">international pour examiner les </w:t>
      </w:r>
      <w:r w:rsidR="004D25E1" w:rsidRPr="00A75276">
        <w:rPr>
          <w:lang w:val="fr-FR"/>
        </w:rPr>
        <w:t>commentaires</w:t>
      </w:r>
      <w:r w:rsidRPr="00A75276">
        <w:rPr>
          <w:lang w:val="fr-FR"/>
        </w:rPr>
        <w:t xml:space="preserve"> reçus sur les mesures exposées dans l</w:t>
      </w:r>
      <w:r w:rsidR="009C53EC" w:rsidRPr="00A75276">
        <w:rPr>
          <w:lang w:val="fr-FR"/>
        </w:rPr>
        <w:t>’</w:t>
      </w:r>
      <w:r w:rsidRPr="00A75276">
        <w:rPr>
          <w:lang w:val="fr-FR"/>
        </w:rPr>
        <w:t xml:space="preserve">annexe du </w:t>
      </w:r>
      <w:r w:rsidR="004838AB" w:rsidRPr="00A75276">
        <w:rPr>
          <w:lang w:val="fr-FR"/>
        </w:rPr>
        <w:t xml:space="preserve">document PCT/MIA/23/8, </w:t>
      </w:r>
      <w:r w:rsidRPr="00A75276">
        <w:rPr>
          <w:lang w:val="fr-FR"/>
        </w:rPr>
        <w:t xml:space="preserve">en vue de regrouper les mesures et de promouvoir une </w:t>
      </w:r>
      <w:r w:rsidR="004D25E1" w:rsidRPr="00A75276">
        <w:rPr>
          <w:lang w:val="fr-FR"/>
        </w:rPr>
        <w:t>sélection</w:t>
      </w:r>
      <w:r w:rsidR="004838AB" w:rsidRPr="00A75276">
        <w:rPr>
          <w:lang w:val="fr-FR"/>
        </w:rPr>
        <w:t xml:space="preserve"> </w:t>
      </w:r>
      <w:r w:rsidRPr="00A75276">
        <w:rPr>
          <w:lang w:val="fr-FR"/>
        </w:rPr>
        <w:t>qui avait recueilli une large adhésion de la part des administrations</w:t>
      </w:r>
      <w:r w:rsidR="004838AB" w:rsidRPr="00A75276">
        <w:rPr>
          <w:lang w:val="fr-FR"/>
        </w:rPr>
        <w:t>.</w:t>
      </w:r>
    </w:p>
    <w:p w:rsidR="00715135" w:rsidRPr="00A75276" w:rsidRDefault="00141119" w:rsidP="00910CD0">
      <w:pPr>
        <w:pStyle w:val="Heading1"/>
        <w:rPr>
          <w:lang w:val="fr-FR"/>
        </w:rPr>
      </w:pPr>
      <w:r w:rsidRPr="00A75276">
        <w:rPr>
          <w:lang w:val="fr-FR"/>
        </w:rPr>
        <w:t>Point </w:t>
      </w:r>
      <w:r w:rsidR="00910CD0" w:rsidRPr="00A75276">
        <w:rPr>
          <w:lang w:val="fr-FR"/>
        </w:rPr>
        <w:t>10 de l</w:t>
      </w:r>
      <w:r w:rsidR="009C53EC" w:rsidRPr="00A75276">
        <w:rPr>
          <w:lang w:val="fr-FR"/>
        </w:rPr>
        <w:t>’</w:t>
      </w:r>
      <w:r w:rsidR="00910CD0" w:rsidRPr="00A75276">
        <w:rPr>
          <w:lang w:val="fr-FR"/>
        </w:rPr>
        <w:t>ordre du jour</w:t>
      </w:r>
      <w:r w:rsidR="00432F5D" w:rsidRPr="00A75276">
        <w:rPr>
          <w:lang w:val="fr-FR"/>
        </w:rPr>
        <w:t> </w:t>
      </w:r>
      <w:r w:rsidR="00910CD0" w:rsidRPr="00A75276">
        <w:rPr>
          <w:lang w:val="fr-FR"/>
        </w:rPr>
        <w:t>: transmission par l</w:t>
      </w:r>
      <w:r w:rsidR="009C53EC" w:rsidRPr="00A75276">
        <w:rPr>
          <w:lang w:val="fr-FR"/>
        </w:rPr>
        <w:t>’</w:t>
      </w:r>
      <w:r w:rsidR="00910CD0" w:rsidRPr="00A75276">
        <w:rPr>
          <w:lang w:val="fr-FR"/>
        </w:rPr>
        <w:t>office récepteur des résultats de recherche ou de classement antérieurs à l</w:t>
      </w:r>
      <w:r w:rsidR="009C53EC" w:rsidRPr="00A75276">
        <w:rPr>
          <w:lang w:val="fr-FR"/>
        </w:rPr>
        <w:t>’</w:t>
      </w:r>
      <w:r w:rsidR="00910CD0" w:rsidRPr="00A75276">
        <w:rPr>
          <w:lang w:val="fr-FR"/>
        </w:rPr>
        <w:t>administration chargée de la recherche internationale</w:t>
      </w:r>
    </w:p>
    <w:p w:rsidR="00715135" w:rsidRPr="00A75276" w:rsidRDefault="00910CD0" w:rsidP="00910CD0">
      <w:pPr>
        <w:pStyle w:val="ONUMFS"/>
        <w:rPr>
          <w:lang w:val="fr-FR"/>
        </w:rPr>
      </w:pPr>
      <w:r w:rsidRPr="00A75276">
        <w:rPr>
          <w:lang w:val="fr-FR"/>
        </w:rPr>
        <w:t>Les délibérations ont eu lieu sur la base du document PCT/MIA/23/3.</w:t>
      </w:r>
    </w:p>
    <w:p w:rsidR="00715135" w:rsidRPr="00A75276" w:rsidRDefault="0060377E" w:rsidP="00360B03">
      <w:pPr>
        <w:pStyle w:val="ONUMFS"/>
        <w:rPr>
          <w:lang w:val="fr-FR"/>
        </w:rPr>
      </w:pPr>
      <w:r w:rsidRPr="00A75276">
        <w:rPr>
          <w:lang w:val="fr-FR"/>
        </w:rPr>
        <w:t>Les administrations ont appuyé les modifications du règlement d</w:t>
      </w:r>
      <w:r w:rsidR="009C53EC" w:rsidRPr="00A75276">
        <w:rPr>
          <w:lang w:val="fr-FR"/>
        </w:rPr>
        <w:t>’</w:t>
      </w:r>
      <w:r w:rsidRPr="00A75276">
        <w:rPr>
          <w:lang w:val="fr-FR"/>
        </w:rPr>
        <w:t>exécution</w:t>
      </w:r>
      <w:r w:rsidR="002E5DCA" w:rsidRPr="00A75276">
        <w:rPr>
          <w:lang w:val="fr-FR"/>
        </w:rPr>
        <w:t xml:space="preserve"> du PCT</w:t>
      </w:r>
      <w:r w:rsidR="004838AB" w:rsidRPr="00A75276">
        <w:rPr>
          <w:lang w:val="fr-FR"/>
        </w:rPr>
        <w:t xml:space="preserve"> </w:t>
      </w:r>
      <w:r w:rsidRPr="00A75276">
        <w:rPr>
          <w:lang w:val="fr-FR"/>
        </w:rPr>
        <w:t xml:space="preserve">proposées dans le </w:t>
      </w:r>
      <w:r w:rsidR="004838AB" w:rsidRPr="00A75276">
        <w:rPr>
          <w:lang w:val="fr-FR"/>
        </w:rPr>
        <w:t xml:space="preserve">document, </w:t>
      </w:r>
      <w:r w:rsidRPr="00A75276">
        <w:rPr>
          <w:lang w:val="fr-FR"/>
        </w:rPr>
        <w:t>soulignant qu</w:t>
      </w:r>
      <w:r w:rsidR="009C53EC" w:rsidRPr="00A75276">
        <w:rPr>
          <w:lang w:val="fr-FR"/>
        </w:rPr>
        <w:t>’</w:t>
      </w:r>
      <w:r w:rsidRPr="00A75276">
        <w:rPr>
          <w:lang w:val="fr-FR"/>
        </w:rPr>
        <w:t>elles répondraient de manière appropriée au conflit apparent entre, d</w:t>
      </w:r>
      <w:r w:rsidR="009C53EC" w:rsidRPr="00A75276">
        <w:rPr>
          <w:lang w:val="fr-FR"/>
        </w:rPr>
        <w:t>’</w:t>
      </w:r>
      <w:r w:rsidRPr="00A75276">
        <w:rPr>
          <w:lang w:val="fr-FR"/>
        </w:rPr>
        <w:t>une part, la règle </w:t>
      </w:r>
      <w:r w:rsidR="004838AB" w:rsidRPr="00A75276">
        <w:rPr>
          <w:lang w:val="fr-FR"/>
        </w:rPr>
        <w:t>23</w:t>
      </w:r>
      <w:r w:rsidR="004838AB" w:rsidRPr="00A75276">
        <w:rPr>
          <w:i/>
          <w:lang w:val="fr-FR"/>
        </w:rPr>
        <w:t>bis</w:t>
      </w:r>
      <w:r w:rsidRPr="00A75276">
        <w:rPr>
          <w:lang w:val="fr-FR"/>
        </w:rPr>
        <w:t>.2.</w:t>
      </w:r>
      <w:r w:rsidR="004838AB" w:rsidRPr="00A75276">
        <w:rPr>
          <w:lang w:val="fr-FR"/>
        </w:rPr>
        <w:t xml:space="preserve">a) </w:t>
      </w:r>
      <w:r w:rsidRPr="00A75276">
        <w:rPr>
          <w:lang w:val="fr-FR"/>
        </w:rPr>
        <w:t>et</w:t>
      </w:r>
      <w:r w:rsidR="004838AB" w:rsidRPr="00A75276">
        <w:rPr>
          <w:lang w:val="fr-FR"/>
        </w:rPr>
        <w:t xml:space="preserve">, </w:t>
      </w:r>
      <w:r w:rsidRPr="00A75276">
        <w:rPr>
          <w:lang w:val="fr-FR"/>
        </w:rPr>
        <w:t>d</w:t>
      </w:r>
      <w:r w:rsidR="009C53EC" w:rsidRPr="00A75276">
        <w:rPr>
          <w:lang w:val="fr-FR"/>
        </w:rPr>
        <w:t>’</w:t>
      </w:r>
      <w:r w:rsidRPr="00A75276">
        <w:rPr>
          <w:lang w:val="fr-FR"/>
        </w:rPr>
        <w:t>autre part, l</w:t>
      </w:r>
      <w:r w:rsidR="009C53EC" w:rsidRPr="00A75276">
        <w:rPr>
          <w:lang w:val="fr-FR"/>
        </w:rPr>
        <w:t>’</w:t>
      </w:r>
      <w:r w:rsidRPr="00A75276">
        <w:rPr>
          <w:lang w:val="fr-FR"/>
        </w:rPr>
        <w:t>article 30.2)</w:t>
      </w:r>
      <w:r w:rsidR="004838AB" w:rsidRPr="00A75276">
        <w:rPr>
          <w:lang w:val="fr-FR"/>
        </w:rPr>
        <w:t xml:space="preserve">a) applicable </w:t>
      </w:r>
      <w:r w:rsidRPr="00A75276">
        <w:rPr>
          <w:lang w:val="fr-FR"/>
        </w:rPr>
        <w:t>en vertu de l</w:t>
      </w:r>
      <w:r w:rsidR="009C53EC" w:rsidRPr="00A75276">
        <w:rPr>
          <w:lang w:val="fr-FR"/>
        </w:rPr>
        <w:t>’</w:t>
      </w:r>
      <w:r w:rsidRPr="00A75276">
        <w:rPr>
          <w:lang w:val="fr-FR"/>
        </w:rPr>
        <w:t>article 30.</w:t>
      </w:r>
      <w:r w:rsidR="004838AB" w:rsidRPr="00A75276">
        <w:rPr>
          <w:lang w:val="fr-FR"/>
        </w:rPr>
        <w:t xml:space="preserve">3) </w:t>
      </w:r>
      <w:r w:rsidRPr="00A75276">
        <w:rPr>
          <w:lang w:val="fr-FR"/>
        </w:rPr>
        <w:t>et la règ</w:t>
      </w:r>
      <w:r w:rsidR="004838AB" w:rsidRPr="00A75276">
        <w:rPr>
          <w:lang w:val="fr-FR"/>
        </w:rPr>
        <w:t>le 94.1</w:t>
      </w:r>
      <w:r w:rsidR="004838AB" w:rsidRPr="00A75276">
        <w:rPr>
          <w:i/>
          <w:lang w:val="fr-FR"/>
        </w:rPr>
        <w:t>bis</w:t>
      </w:r>
      <w:r w:rsidR="004838AB" w:rsidRPr="00A75276">
        <w:rPr>
          <w:lang w:val="fr-FR"/>
        </w:rPr>
        <w:t xml:space="preserve">, </w:t>
      </w:r>
      <w:r w:rsidRPr="00A75276">
        <w:rPr>
          <w:lang w:val="fr-FR"/>
        </w:rPr>
        <w:t xml:space="preserve">et </w:t>
      </w:r>
      <w:r w:rsidR="00D02DFF" w:rsidRPr="00A75276">
        <w:rPr>
          <w:lang w:val="fr-FR"/>
        </w:rPr>
        <w:t>renforceraient ainsi la clarté pour les offices récepteu</w:t>
      </w:r>
      <w:r w:rsidR="00A16C85" w:rsidRPr="00A75276">
        <w:rPr>
          <w:lang w:val="fr-FR"/>
        </w:rPr>
        <w:t>rs.  Pl</w:t>
      </w:r>
      <w:r w:rsidR="00D02DFF" w:rsidRPr="00A75276">
        <w:rPr>
          <w:lang w:val="fr-FR"/>
        </w:rPr>
        <w:t>usieurs administrations ont fait état de la nécessité de préciser cette question dans les Directives à l</w:t>
      </w:r>
      <w:r w:rsidR="009C53EC" w:rsidRPr="00A75276">
        <w:rPr>
          <w:lang w:val="fr-FR"/>
        </w:rPr>
        <w:t>’</w:t>
      </w:r>
      <w:r w:rsidR="00D02DFF" w:rsidRPr="00A75276">
        <w:rPr>
          <w:lang w:val="fr-FR"/>
        </w:rPr>
        <w:t>usage des offices récepteurs</w:t>
      </w:r>
      <w:r w:rsidR="004838AB" w:rsidRPr="00A75276">
        <w:rPr>
          <w:lang w:val="fr-FR"/>
        </w:rPr>
        <w:t>.</w:t>
      </w:r>
    </w:p>
    <w:p w:rsidR="00715135" w:rsidRPr="00A75276" w:rsidRDefault="00D02DFF" w:rsidP="00360B03">
      <w:pPr>
        <w:pStyle w:val="ONUMFS"/>
        <w:rPr>
          <w:lang w:val="fr-FR"/>
        </w:rPr>
      </w:pPr>
      <w:r w:rsidRPr="00A75276">
        <w:rPr>
          <w:lang w:val="fr-FR"/>
        </w:rPr>
        <w:t>Plusieurs administrations ont exprimé l</w:t>
      </w:r>
      <w:r w:rsidR="009C53EC" w:rsidRPr="00A75276">
        <w:rPr>
          <w:lang w:val="fr-FR"/>
        </w:rPr>
        <w:t>’</w:t>
      </w:r>
      <w:r w:rsidRPr="00A75276">
        <w:rPr>
          <w:lang w:val="fr-FR"/>
        </w:rPr>
        <w:t xml:space="preserve">intention de notifier au </w:t>
      </w:r>
      <w:r w:rsidR="004838AB" w:rsidRPr="00A75276">
        <w:rPr>
          <w:lang w:val="fr-FR"/>
        </w:rPr>
        <w:t xml:space="preserve">Bureau </w:t>
      </w:r>
      <w:r w:rsidRPr="00A75276">
        <w:rPr>
          <w:lang w:val="fr-FR"/>
        </w:rPr>
        <w:t>international l</w:t>
      </w:r>
      <w:r w:rsidR="009C53EC" w:rsidRPr="00A75276">
        <w:rPr>
          <w:lang w:val="fr-FR"/>
        </w:rPr>
        <w:t>’</w:t>
      </w:r>
      <w:r w:rsidRPr="00A75276">
        <w:rPr>
          <w:lang w:val="fr-FR"/>
        </w:rPr>
        <w:t>incompatibilité de la règle </w:t>
      </w:r>
      <w:r w:rsidR="004838AB" w:rsidRPr="00A75276">
        <w:rPr>
          <w:lang w:val="fr-FR"/>
        </w:rPr>
        <w:t>23</w:t>
      </w:r>
      <w:r w:rsidR="004838AB" w:rsidRPr="00A75276">
        <w:rPr>
          <w:i/>
          <w:lang w:val="fr-FR"/>
        </w:rPr>
        <w:t xml:space="preserve">bis </w:t>
      </w:r>
      <w:r w:rsidRPr="00A75276">
        <w:rPr>
          <w:lang w:val="fr-FR"/>
        </w:rPr>
        <w:t xml:space="preserve">avec leur législation </w:t>
      </w:r>
      <w:r w:rsidR="004838AB" w:rsidRPr="00A75276">
        <w:rPr>
          <w:lang w:val="fr-FR"/>
        </w:rPr>
        <w:t>national</w:t>
      </w:r>
      <w:r w:rsidRPr="00A75276">
        <w:rPr>
          <w:lang w:val="fr-FR"/>
        </w:rPr>
        <w:t>e,</w:t>
      </w:r>
      <w:r w:rsidR="004838AB" w:rsidRPr="00A75276">
        <w:rPr>
          <w:lang w:val="fr-FR"/>
        </w:rPr>
        <w:t xml:space="preserve"> </w:t>
      </w:r>
      <w:r w:rsidR="00DA41F7" w:rsidRPr="00A75276">
        <w:rPr>
          <w:lang w:val="fr-FR"/>
        </w:rPr>
        <w:t>indépendamment de la modification supplémentaire de la règle </w:t>
      </w:r>
      <w:r w:rsidR="004838AB" w:rsidRPr="00A75276">
        <w:rPr>
          <w:lang w:val="fr-FR"/>
        </w:rPr>
        <w:t xml:space="preserve">23 </w:t>
      </w:r>
      <w:r w:rsidR="00DA41F7" w:rsidRPr="00A75276">
        <w:rPr>
          <w:lang w:val="fr-FR"/>
        </w:rPr>
        <w:t>proposée dans le</w:t>
      </w:r>
      <w:r w:rsidR="004838AB" w:rsidRPr="00A75276">
        <w:rPr>
          <w:lang w:val="fr-FR"/>
        </w:rPr>
        <w:t xml:space="preserve"> document.</w:t>
      </w:r>
    </w:p>
    <w:p w:rsidR="00715135" w:rsidRPr="00A75276" w:rsidRDefault="00DA41F7" w:rsidP="00360B03">
      <w:pPr>
        <w:pStyle w:val="ONUMFS"/>
        <w:rPr>
          <w:lang w:val="fr-FR"/>
        </w:rPr>
      </w:pPr>
      <w:r w:rsidRPr="00A75276">
        <w:rPr>
          <w:lang w:val="fr-FR"/>
        </w:rPr>
        <w:t>Suite aux questions de plusieurs administrations, le Bureau international</w:t>
      </w:r>
      <w:r w:rsidR="004838AB" w:rsidRPr="00A75276">
        <w:rPr>
          <w:lang w:val="fr-FR"/>
        </w:rPr>
        <w:t xml:space="preserve"> </w:t>
      </w:r>
      <w:r w:rsidRPr="00A75276">
        <w:rPr>
          <w:lang w:val="fr-FR"/>
        </w:rPr>
        <w:t>a déclaré qu</w:t>
      </w:r>
      <w:r w:rsidR="009C53EC" w:rsidRPr="00A75276">
        <w:rPr>
          <w:lang w:val="fr-FR"/>
        </w:rPr>
        <w:t>’</w:t>
      </w:r>
      <w:r w:rsidRPr="00A75276">
        <w:rPr>
          <w:lang w:val="fr-FR"/>
        </w:rPr>
        <w:t>il se ferait un plaisir d</w:t>
      </w:r>
      <w:r w:rsidR="009C53EC" w:rsidRPr="00A75276">
        <w:rPr>
          <w:lang w:val="fr-FR"/>
        </w:rPr>
        <w:t>’</w:t>
      </w:r>
      <w:r w:rsidRPr="00A75276">
        <w:rPr>
          <w:lang w:val="fr-FR"/>
        </w:rPr>
        <w:t xml:space="preserve">examiner de manière plus approfondie la </w:t>
      </w:r>
      <w:r w:rsidR="004838AB" w:rsidRPr="00A75276">
        <w:rPr>
          <w:lang w:val="fr-FR"/>
        </w:rPr>
        <w:t xml:space="preserve">suggestion </w:t>
      </w:r>
      <w:r w:rsidRPr="00A75276">
        <w:rPr>
          <w:lang w:val="fr-FR"/>
        </w:rPr>
        <w:t xml:space="preserve">tendant à </w:t>
      </w:r>
      <w:r w:rsidR="004838AB" w:rsidRPr="00A75276">
        <w:rPr>
          <w:lang w:val="fr-FR"/>
        </w:rPr>
        <w:t>modif</w:t>
      </w:r>
      <w:r w:rsidRPr="00A75276">
        <w:rPr>
          <w:lang w:val="fr-FR"/>
        </w:rPr>
        <w:t>ier le formulaire de requête en vue d</w:t>
      </w:r>
      <w:r w:rsidR="009C53EC" w:rsidRPr="00A75276">
        <w:rPr>
          <w:lang w:val="fr-FR"/>
        </w:rPr>
        <w:t>’</w:t>
      </w:r>
      <w:r w:rsidRPr="00A75276">
        <w:rPr>
          <w:lang w:val="fr-FR"/>
        </w:rPr>
        <w:t xml:space="preserve">ajouter éventuellement une </w:t>
      </w:r>
      <w:r w:rsidR="001A483D" w:rsidRPr="00A75276">
        <w:rPr>
          <w:lang w:val="fr-FR"/>
        </w:rPr>
        <w:t xml:space="preserve">case </w:t>
      </w:r>
      <w:r w:rsidRPr="00A75276">
        <w:rPr>
          <w:lang w:val="fr-FR"/>
        </w:rPr>
        <w:t>à cocher permettant au déposant d</w:t>
      </w:r>
      <w:r w:rsidR="009C53EC" w:rsidRPr="00A75276">
        <w:rPr>
          <w:lang w:val="fr-FR"/>
        </w:rPr>
        <w:t>’</w:t>
      </w:r>
      <w:r w:rsidRPr="00A75276">
        <w:rPr>
          <w:lang w:val="fr-FR"/>
        </w:rPr>
        <w:t>indiquer qu</w:t>
      </w:r>
      <w:r w:rsidR="009C53EC" w:rsidRPr="00A75276">
        <w:rPr>
          <w:lang w:val="fr-FR"/>
        </w:rPr>
        <w:t>’</w:t>
      </w:r>
      <w:r w:rsidRPr="00A75276">
        <w:rPr>
          <w:lang w:val="fr-FR"/>
        </w:rPr>
        <w:t>il autorise la transmission par l</w:t>
      </w:r>
      <w:r w:rsidR="009C53EC" w:rsidRPr="00A75276">
        <w:rPr>
          <w:lang w:val="fr-FR"/>
        </w:rPr>
        <w:t>’</w:t>
      </w:r>
      <w:r w:rsidRPr="00A75276">
        <w:rPr>
          <w:lang w:val="fr-FR"/>
        </w:rPr>
        <w:t xml:space="preserve">office récepteur </w:t>
      </w:r>
      <w:r w:rsidR="00B307F2" w:rsidRPr="00A75276">
        <w:rPr>
          <w:lang w:val="fr-FR"/>
        </w:rPr>
        <w:t>des résultats de recherches et de classements antérieurs à l</w:t>
      </w:r>
      <w:r w:rsidR="009C53EC" w:rsidRPr="00A75276">
        <w:rPr>
          <w:lang w:val="fr-FR"/>
        </w:rPr>
        <w:t>’</w:t>
      </w:r>
      <w:r w:rsidR="00B307F2" w:rsidRPr="00A75276">
        <w:rPr>
          <w:lang w:val="fr-FR"/>
        </w:rPr>
        <w:t>administration chargée de la recherche internationale</w:t>
      </w:r>
      <w:r w:rsidR="004838AB" w:rsidRPr="00A75276">
        <w:rPr>
          <w:lang w:val="fr-FR"/>
        </w:rPr>
        <w:t>.</w:t>
      </w:r>
    </w:p>
    <w:p w:rsidR="00715135" w:rsidRPr="00A75276" w:rsidRDefault="00B307F2" w:rsidP="00360B03">
      <w:pPr>
        <w:pStyle w:val="ONUMFS"/>
        <w:rPr>
          <w:lang w:val="fr-FR"/>
        </w:rPr>
      </w:pPr>
      <w:r w:rsidRPr="00A75276">
        <w:rPr>
          <w:lang w:val="fr-FR"/>
        </w:rPr>
        <w:t>En réponse à la question d</w:t>
      </w:r>
      <w:r w:rsidR="009C53EC" w:rsidRPr="00A75276">
        <w:rPr>
          <w:lang w:val="fr-FR"/>
        </w:rPr>
        <w:t>’</w:t>
      </w:r>
      <w:r w:rsidRPr="00A75276">
        <w:rPr>
          <w:lang w:val="fr-FR"/>
        </w:rPr>
        <w:t>une administration qui souhaitait savoir si la transmission des résultats de recherches et de classements antérieurs entre o</w:t>
      </w:r>
      <w:r w:rsidR="004838AB" w:rsidRPr="00A75276">
        <w:rPr>
          <w:lang w:val="fr-FR"/>
        </w:rPr>
        <w:t xml:space="preserve">ffices </w:t>
      </w:r>
      <w:r w:rsidRPr="00A75276">
        <w:rPr>
          <w:lang w:val="fr-FR"/>
        </w:rPr>
        <w:t>utilisant le système</w:t>
      </w:r>
      <w:r w:rsidR="004838AB" w:rsidRPr="00A75276">
        <w:rPr>
          <w:lang w:val="fr-FR"/>
        </w:rPr>
        <w:t xml:space="preserve"> </w:t>
      </w:r>
      <w:proofErr w:type="spellStart"/>
      <w:r w:rsidR="004838AB" w:rsidRPr="00A75276">
        <w:rPr>
          <w:lang w:val="fr-FR"/>
        </w:rPr>
        <w:t>eSearchCopy</w:t>
      </w:r>
      <w:proofErr w:type="spellEnd"/>
      <w:r w:rsidR="004838AB" w:rsidRPr="00A75276">
        <w:rPr>
          <w:lang w:val="fr-FR"/>
        </w:rPr>
        <w:t xml:space="preserve"> </w:t>
      </w:r>
      <w:r w:rsidRPr="00A75276">
        <w:rPr>
          <w:lang w:val="fr-FR"/>
        </w:rPr>
        <w:t>pouvait s</w:t>
      </w:r>
      <w:r w:rsidR="009C53EC" w:rsidRPr="00A75276">
        <w:rPr>
          <w:lang w:val="fr-FR"/>
        </w:rPr>
        <w:t>’</w:t>
      </w:r>
      <w:r w:rsidRPr="00A75276">
        <w:rPr>
          <w:lang w:val="fr-FR"/>
        </w:rPr>
        <w:t>effectuer indépendamment des copies de recherche</w:t>
      </w:r>
      <w:r w:rsidR="004838AB" w:rsidRPr="00A75276">
        <w:rPr>
          <w:lang w:val="fr-FR"/>
        </w:rPr>
        <w:t xml:space="preserve">, </w:t>
      </w:r>
      <w:r w:rsidR="00DA41F7" w:rsidRPr="00A75276">
        <w:rPr>
          <w:lang w:val="fr-FR"/>
        </w:rPr>
        <w:t>le Bureau international</w:t>
      </w:r>
      <w:r w:rsidR="004838AB" w:rsidRPr="00A75276">
        <w:rPr>
          <w:lang w:val="fr-FR"/>
        </w:rPr>
        <w:t xml:space="preserve"> </w:t>
      </w:r>
      <w:r w:rsidRPr="00A75276">
        <w:rPr>
          <w:lang w:val="fr-FR"/>
        </w:rPr>
        <w:t>a indiqué qu</w:t>
      </w:r>
      <w:r w:rsidR="009C53EC" w:rsidRPr="00A75276">
        <w:rPr>
          <w:lang w:val="fr-FR"/>
        </w:rPr>
        <w:t>’</w:t>
      </w:r>
      <w:r w:rsidRPr="00A75276">
        <w:rPr>
          <w:lang w:val="fr-FR"/>
        </w:rPr>
        <w:t>il fournirait des précisions sur la procédure à suivre par les offices récepteurs</w:t>
      </w:r>
      <w:r w:rsidR="004838AB" w:rsidRPr="00A75276">
        <w:rPr>
          <w:lang w:val="fr-FR"/>
        </w:rPr>
        <w:t>.</w:t>
      </w:r>
    </w:p>
    <w:p w:rsidR="00715135" w:rsidRPr="00A75276" w:rsidRDefault="00B307F2" w:rsidP="00A9298C">
      <w:pPr>
        <w:pStyle w:val="ONUMFS"/>
        <w:ind w:left="567"/>
        <w:rPr>
          <w:lang w:val="fr-FR"/>
        </w:rPr>
      </w:pPr>
      <w:r w:rsidRPr="00A75276">
        <w:rPr>
          <w:lang w:val="fr-FR"/>
        </w:rPr>
        <w:t xml:space="preserve">La réunion a pris note du contenu du </w:t>
      </w:r>
      <w:r w:rsidR="004838AB" w:rsidRPr="00A75276">
        <w:rPr>
          <w:lang w:val="fr-FR"/>
        </w:rPr>
        <w:t xml:space="preserve">document PCT/MIA/23/3 </w:t>
      </w:r>
      <w:r w:rsidRPr="00A75276">
        <w:rPr>
          <w:lang w:val="fr-FR"/>
        </w:rPr>
        <w:t>et accueilli avec satisfaction l</w:t>
      </w:r>
      <w:r w:rsidR="009C53EC" w:rsidRPr="00A75276">
        <w:rPr>
          <w:lang w:val="fr-FR"/>
        </w:rPr>
        <w:t>’</w:t>
      </w:r>
      <w:r w:rsidRPr="00A75276">
        <w:rPr>
          <w:lang w:val="fr-FR"/>
        </w:rPr>
        <w:t xml:space="preserve">intention du </w:t>
      </w:r>
      <w:r w:rsidR="00DA41F7" w:rsidRPr="00A75276">
        <w:rPr>
          <w:lang w:val="fr-FR"/>
        </w:rPr>
        <w:t>Bureau international</w:t>
      </w:r>
      <w:r w:rsidRPr="00A75276">
        <w:rPr>
          <w:lang w:val="fr-FR"/>
        </w:rPr>
        <w:t xml:space="preserve"> de soumettre à l</w:t>
      </w:r>
      <w:r w:rsidR="009C53EC" w:rsidRPr="00A75276">
        <w:rPr>
          <w:lang w:val="fr-FR"/>
        </w:rPr>
        <w:t>’</w:t>
      </w:r>
      <w:r w:rsidRPr="00A75276">
        <w:rPr>
          <w:lang w:val="fr-FR"/>
        </w:rPr>
        <w:t>examen du Groupe de travail</w:t>
      </w:r>
      <w:r w:rsidR="002E5DCA" w:rsidRPr="00A75276">
        <w:rPr>
          <w:lang w:val="fr-FR"/>
        </w:rPr>
        <w:t xml:space="preserve"> du PCT</w:t>
      </w:r>
      <w:r w:rsidRPr="00A75276">
        <w:rPr>
          <w:lang w:val="fr-FR"/>
        </w:rPr>
        <w:t xml:space="preserve"> les modifications qu</w:t>
      </w:r>
      <w:r w:rsidR="009C53EC" w:rsidRPr="00A75276">
        <w:rPr>
          <w:lang w:val="fr-FR"/>
        </w:rPr>
        <w:t>’</w:t>
      </w:r>
      <w:r w:rsidRPr="00A75276">
        <w:rPr>
          <w:lang w:val="fr-FR"/>
        </w:rPr>
        <w:t>il était proposé d</w:t>
      </w:r>
      <w:r w:rsidR="009C53EC" w:rsidRPr="00A75276">
        <w:rPr>
          <w:lang w:val="fr-FR"/>
        </w:rPr>
        <w:t>’</w:t>
      </w:r>
      <w:r w:rsidRPr="00A75276">
        <w:rPr>
          <w:lang w:val="fr-FR"/>
        </w:rPr>
        <w:t>apporter au règlement d</w:t>
      </w:r>
      <w:r w:rsidR="009C53EC" w:rsidRPr="00A75276">
        <w:rPr>
          <w:lang w:val="fr-FR"/>
        </w:rPr>
        <w:t>’</w:t>
      </w:r>
      <w:r w:rsidRPr="00A75276">
        <w:rPr>
          <w:lang w:val="fr-FR"/>
        </w:rPr>
        <w:t>exécution</w:t>
      </w:r>
      <w:r w:rsidR="002E5DCA" w:rsidRPr="00A75276">
        <w:rPr>
          <w:lang w:val="fr-FR"/>
        </w:rPr>
        <w:t xml:space="preserve"> du PCT</w:t>
      </w:r>
      <w:r w:rsidR="004838AB" w:rsidRPr="00A75276">
        <w:rPr>
          <w:lang w:val="fr-FR"/>
        </w:rPr>
        <w:t>.</w:t>
      </w:r>
    </w:p>
    <w:p w:rsidR="00715135" w:rsidRPr="00A75276" w:rsidRDefault="006B32A0" w:rsidP="00910CD0">
      <w:pPr>
        <w:pStyle w:val="Heading1"/>
        <w:rPr>
          <w:lang w:val="fr-FR"/>
        </w:rPr>
      </w:pPr>
      <w:r w:rsidRPr="00A75276">
        <w:rPr>
          <w:lang w:val="fr-FR"/>
        </w:rPr>
        <w:t>Point </w:t>
      </w:r>
      <w:r w:rsidR="00910CD0" w:rsidRPr="00A75276">
        <w:rPr>
          <w:lang w:val="fr-FR"/>
        </w:rPr>
        <w:t>11 de l</w:t>
      </w:r>
      <w:r w:rsidR="009C53EC" w:rsidRPr="00A75276">
        <w:rPr>
          <w:lang w:val="fr-FR"/>
        </w:rPr>
        <w:t>’</w:t>
      </w:r>
      <w:r w:rsidR="00910CD0" w:rsidRPr="00A75276">
        <w:rPr>
          <w:lang w:val="fr-FR"/>
        </w:rPr>
        <w:t>ordre du jour</w:t>
      </w:r>
      <w:r w:rsidR="00432F5D" w:rsidRPr="00A75276">
        <w:rPr>
          <w:lang w:val="fr-FR"/>
        </w:rPr>
        <w:t> </w:t>
      </w:r>
      <w:r w:rsidR="00910CD0" w:rsidRPr="00A75276">
        <w:rPr>
          <w:lang w:val="fr-FR"/>
        </w:rPr>
        <w:t>: PCT Direct – un nouveau service pour renforcer l</w:t>
      </w:r>
      <w:r w:rsidR="009C53EC" w:rsidRPr="00A75276">
        <w:rPr>
          <w:lang w:val="fr-FR"/>
        </w:rPr>
        <w:t>’</w:t>
      </w:r>
      <w:r w:rsidR="00910CD0" w:rsidRPr="00A75276">
        <w:rPr>
          <w:lang w:val="fr-FR"/>
        </w:rPr>
        <w:t>utilisation</w:t>
      </w:r>
      <w:r w:rsidR="002E5DCA" w:rsidRPr="00A75276">
        <w:rPr>
          <w:lang w:val="fr-FR"/>
        </w:rPr>
        <w:t xml:space="preserve"> du PCT</w:t>
      </w:r>
    </w:p>
    <w:p w:rsidR="00715135" w:rsidRPr="00A75276" w:rsidRDefault="00910CD0" w:rsidP="00910CD0">
      <w:pPr>
        <w:pStyle w:val="ONUMFS"/>
        <w:rPr>
          <w:lang w:val="fr-FR"/>
        </w:rPr>
      </w:pPr>
      <w:r w:rsidRPr="00A75276">
        <w:rPr>
          <w:lang w:val="fr-FR"/>
        </w:rPr>
        <w:t>Les délibérations ont eu lieu sur la base du document PCT/MIA/23/13.</w:t>
      </w:r>
    </w:p>
    <w:p w:rsidR="00715135" w:rsidRPr="00A75276" w:rsidRDefault="009673EC" w:rsidP="00360B03">
      <w:pPr>
        <w:pStyle w:val="ONUMFS"/>
        <w:rPr>
          <w:lang w:val="fr-FR"/>
        </w:rPr>
      </w:pPr>
      <w:r w:rsidRPr="00A75276">
        <w:rPr>
          <w:lang w:val="fr-FR"/>
        </w:rPr>
        <w:lastRenderedPageBreak/>
        <w:t>Plusieurs administrations ont exprimé leur intérêt pour le nouveau service offert par l</w:t>
      </w:r>
      <w:r w:rsidR="009C53EC" w:rsidRPr="00A75276">
        <w:rPr>
          <w:lang w:val="fr-FR"/>
        </w:rPr>
        <w:t>’</w:t>
      </w:r>
      <w:r w:rsidRPr="00A75276">
        <w:rPr>
          <w:lang w:val="fr-FR"/>
        </w:rPr>
        <w:t>O</w:t>
      </w:r>
      <w:r w:rsidR="004838AB" w:rsidRPr="00A75276">
        <w:rPr>
          <w:lang w:val="fr-FR"/>
        </w:rPr>
        <w:t>ffice</w:t>
      </w:r>
      <w:r w:rsidRPr="00A75276">
        <w:rPr>
          <w:lang w:val="fr-FR"/>
        </w:rPr>
        <w:t xml:space="preserve"> européen des brevets</w:t>
      </w:r>
      <w:r w:rsidR="004838AB" w:rsidRPr="00A75276">
        <w:rPr>
          <w:lang w:val="fr-FR"/>
        </w:rPr>
        <w:t xml:space="preserve">, </w:t>
      </w:r>
      <w:r w:rsidR="00910161" w:rsidRPr="00A75276">
        <w:rPr>
          <w:lang w:val="fr-FR"/>
        </w:rPr>
        <w:t>soulignant le rôle qu</w:t>
      </w:r>
      <w:r w:rsidR="009C53EC" w:rsidRPr="00A75276">
        <w:rPr>
          <w:lang w:val="fr-FR"/>
        </w:rPr>
        <w:t>’</w:t>
      </w:r>
      <w:r w:rsidR="00910161" w:rsidRPr="00A75276">
        <w:rPr>
          <w:lang w:val="fr-FR"/>
        </w:rPr>
        <w:t>il pouvait jouer s</w:t>
      </w:r>
      <w:r w:rsidR="009C53EC" w:rsidRPr="00A75276">
        <w:rPr>
          <w:lang w:val="fr-FR"/>
        </w:rPr>
        <w:t>’</w:t>
      </w:r>
      <w:r w:rsidR="00910161" w:rsidRPr="00A75276">
        <w:rPr>
          <w:lang w:val="fr-FR"/>
        </w:rPr>
        <w:t>agissant de renforcer le lien entre la recherche et l</w:t>
      </w:r>
      <w:r w:rsidR="009C53EC" w:rsidRPr="00A75276">
        <w:rPr>
          <w:lang w:val="fr-FR"/>
        </w:rPr>
        <w:t>’</w:t>
      </w:r>
      <w:r w:rsidR="00910161" w:rsidRPr="00A75276">
        <w:rPr>
          <w:lang w:val="fr-FR"/>
        </w:rPr>
        <w:t xml:space="preserve">examen menés sur une demande </w:t>
      </w:r>
      <w:r w:rsidR="004D25E1" w:rsidRPr="00A75276">
        <w:rPr>
          <w:lang w:val="fr-FR"/>
        </w:rPr>
        <w:t>antérieure</w:t>
      </w:r>
      <w:r w:rsidR="00910161" w:rsidRPr="00A75276">
        <w:rPr>
          <w:lang w:val="fr-FR"/>
        </w:rPr>
        <w:t xml:space="preserve"> dont la priorité est revendiquée dans la demande internationale et la phase </w:t>
      </w:r>
      <w:r w:rsidR="004838AB" w:rsidRPr="00A75276">
        <w:rPr>
          <w:lang w:val="fr-FR"/>
        </w:rPr>
        <w:t xml:space="preserve">internationale </w:t>
      </w:r>
      <w:r w:rsidR="00910161" w:rsidRPr="00A75276">
        <w:rPr>
          <w:lang w:val="fr-FR"/>
        </w:rPr>
        <w:t>de la procédure</w:t>
      </w:r>
      <w:r w:rsidR="004838AB" w:rsidRPr="00A75276">
        <w:rPr>
          <w:lang w:val="fr-FR"/>
        </w:rPr>
        <w:t xml:space="preserve"> PCT.</w:t>
      </w:r>
    </w:p>
    <w:p w:rsidR="00715135" w:rsidRPr="00A75276" w:rsidRDefault="00991A3A" w:rsidP="00A9298C">
      <w:pPr>
        <w:pStyle w:val="ONUMFS"/>
        <w:ind w:left="567"/>
        <w:rPr>
          <w:lang w:val="fr-FR"/>
        </w:rPr>
      </w:pPr>
      <w:r w:rsidRPr="00A75276">
        <w:rPr>
          <w:lang w:val="fr-FR"/>
        </w:rPr>
        <w:t xml:space="preserve">La réunion a pris note du contenu du </w:t>
      </w:r>
      <w:r w:rsidR="004838AB" w:rsidRPr="00A75276">
        <w:rPr>
          <w:lang w:val="fr-FR"/>
        </w:rPr>
        <w:t xml:space="preserve">document PCT/MIA/23/13 </w:t>
      </w:r>
      <w:r w:rsidRPr="00A75276">
        <w:rPr>
          <w:lang w:val="fr-FR"/>
        </w:rPr>
        <w:t>et invité l</w:t>
      </w:r>
      <w:r w:rsidR="009C53EC" w:rsidRPr="00A75276">
        <w:rPr>
          <w:lang w:val="fr-FR"/>
        </w:rPr>
        <w:t>’</w:t>
      </w:r>
      <w:r w:rsidRPr="00A75276">
        <w:rPr>
          <w:lang w:val="fr-FR"/>
        </w:rPr>
        <w:t xml:space="preserve">Office européen des brevets à tenir les administrations informées à leurs futures réunions de son expérience du nouveau </w:t>
      </w:r>
      <w:r w:rsidR="004838AB" w:rsidRPr="00A75276">
        <w:rPr>
          <w:lang w:val="fr-FR"/>
        </w:rPr>
        <w:t>service</w:t>
      </w:r>
    </w:p>
    <w:p w:rsidR="00715135" w:rsidRPr="00A75276" w:rsidRDefault="00910CD0" w:rsidP="00910CD0">
      <w:pPr>
        <w:pStyle w:val="Heading1"/>
        <w:keepLines/>
        <w:rPr>
          <w:lang w:val="fr-FR"/>
        </w:rPr>
      </w:pPr>
      <w:r w:rsidRPr="00A75276">
        <w:rPr>
          <w:lang w:val="fr-FR"/>
        </w:rPr>
        <w:t>Point</w:t>
      </w:r>
      <w:r w:rsidR="006B32A0" w:rsidRPr="00A75276">
        <w:rPr>
          <w:lang w:val="fr-FR"/>
        </w:rPr>
        <w:t> </w:t>
      </w:r>
      <w:r w:rsidRPr="00A75276">
        <w:rPr>
          <w:lang w:val="fr-FR"/>
        </w:rPr>
        <w:t>12 de l</w:t>
      </w:r>
      <w:r w:rsidR="009C53EC" w:rsidRPr="00A75276">
        <w:rPr>
          <w:lang w:val="fr-FR"/>
        </w:rPr>
        <w:t>’</w:t>
      </w:r>
      <w:r w:rsidRPr="00A75276">
        <w:rPr>
          <w:lang w:val="fr-FR"/>
        </w:rPr>
        <w:t>ordre du jour</w:t>
      </w:r>
      <w:r w:rsidR="00432F5D" w:rsidRPr="00A75276">
        <w:rPr>
          <w:lang w:val="fr-FR"/>
        </w:rPr>
        <w:t> </w:t>
      </w:r>
      <w:r w:rsidRPr="00A75276">
        <w:rPr>
          <w:lang w:val="fr-FR"/>
        </w:rPr>
        <w:t>: recherche et examen en collaboration – troisième projet pilote</w:t>
      </w:r>
    </w:p>
    <w:p w:rsidR="00715135" w:rsidRPr="00A75276" w:rsidRDefault="00910CD0" w:rsidP="00910CD0">
      <w:pPr>
        <w:pStyle w:val="ONUMFS"/>
        <w:rPr>
          <w:lang w:val="fr-FR"/>
        </w:rPr>
      </w:pPr>
      <w:r w:rsidRPr="00A75276">
        <w:rPr>
          <w:lang w:val="fr-FR"/>
        </w:rPr>
        <w:t>Les délibérations ont eu lieu sur la base du document PCT/MIA/23/12.</w:t>
      </w:r>
    </w:p>
    <w:p w:rsidR="00715135" w:rsidRPr="00A75276" w:rsidRDefault="00B2769D" w:rsidP="00360B03">
      <w:pPr>
        <w:pStyle w:val="ONUMFS"/>
        <w:rPr>
          <w:lang w:val="fr-FR"/>
        </w:rPr>
      </w:pPr>
      <w:r w:rsidRPr="00A75276">
        <w:rPr>
          <w:lang w:val="fr-FR"/>
        </w:rPr>
        <w:t>L</w:t>
      </w:r>
      <w:r w:rsidR="009C53EC" w:rsidRPr="00A75276">
        <w:rPr>
          <w:lang w:val="fr-FR"/>
        </w:rPr>
        <w:t>’</w:t>
      </w:r>
      <w:r w:rsidR="004838AB" w:rsidRPr="00A75276">
        <w:rPr>
          <w:lang w:val="fr-FR"/>
        </w:rPr>
        <w:t xml:space="preserve">Office </w:t>
      </w:r>
      <w:r w:rsidRPr="00A75276">
        <w:rPr>
          <w:lang w:val="fr-FR"/>
        </w:rPr>
        <w:t>des brevets et des marques des États</w:t>
      </w:r>
      <w:r w:rsidR="00A16C85" w:rsidRPr="00A75276">
        <w:rPr>
          <w:lang w:val="fr-FR"/>
        </w:rPr>
        <w:noBreakHyphen/>
      </w:r>
      <w:r w:rsidRPr="00A75276">
        <w:rPr>
          <w:lang w:val="fr-FR"/>
        </w:rPr>
        <w:t>Unis d</w:t>
      </w:r>
      <w:r w:rsidR="009C53EC" w:rsidRPr="00A75276">
        <w:rPr>
          <w:lang w:val="fr-FR"/>
        </w:rPr>
        <w:t>’</w:t>
      </w:r>
      <w:r w:rsidRPr="00A75276">
        <w:rPr>
          <w:lang w:val="fr-FR"/>
        </w:rPr>
        <w:t>Amérique et l</w:t>
      </w:r>
      <w:r w:rsidR="009C53EC" w:rsidRPr="00A75276">
        <w:rPr>
          <w:lang w:val="fr-FR"/>
        </w:rPr>
        <w:t>’</w:t>
      </w:r>
      <w:r w:rsidRPr="00A75276">
        <w:rPr>
          <w:lang w:val="fr-FR"/>
        </w:rPr>
        <w:t>Office coréen de la propriété intellectuelle, administrations qui avaient toutes deux</w:t>
      </w:r>
      <w:r w:rsidR="00432F5D" w:rsidRPr="00A75276">
        <w:rPr>
          <w:lang w:val="fr-FR"/>
        </w:rPr>
        <w:t> </w:t>
      </w:r>
      <w:r w:rsidRPr="00A75276">
        <w:rPr>
          <w:lang w:val="fr-FR"/>
        </w:rPr>
        <w:t xml:space="preserve">participé </w:t>
      </w:r>
      <w:proofErr w:type="gramStart"/>
      <w:r w:rsidRPr="00A75276">
        <w:rPr>
          <w:lang w:val="fr-FR"/>
        </w:rPr>
        <w:t xml:space="preserve">aux </w:t>
      </w:r>
      <w:r w:rsidR="004838AB" w:rsidRPr="00A75276">
        <w:rPr>
          <w:lang w:val="fr-FR"/>
        </w:rPr>
        <w:t>phases</w:t>
      </w:r>
      <w:proofErr w:type="gramEnd"/>
      <w:r w:rsidR="004838AB" w:rsidRPr="00A75276">
        <w:rPr>
          <w:lang w:val="fr-FR"/>
        </w:rPr>
        <w:t xml:space="preserve"> 1 </w:t>
      </w:r>
      <w:r w:rsidRPr="00A75276">
        <w:rPr>
          <w:lang w:val="fr-FR"/>
        </w:rPr>
        <w:t>et</w:t>
      </w:r>
      <w:r w:rsidR="004838AB" w:rsidRPr="00A75276">
        <w:rPr>
          <w:lang w:val="fr-FR"/>
        </w:rPr>
        <w:t xml:space="preserve"> 2 </w:t>
      </w:r>
      <w:r w:rsidRPr="00A75276">
        <w:rPr>
          <w:lang w:val="fr-FR"/>
        </w:rPr>
        <w:t>du projet pilote sur la recherche et l</w:t>
      </w:r>
      <w:r w:rsidR="009C53EC" w:rsidRPr="00A75276">
        <w:rPr>
          <w:lang w:val="fr-FR"/>
        </w:rPr>
        <w:t>’</w:t>
      </w:r>
      <w:r w:rsidRPr="00A75276">
        <w:rPr>
          <w:lang w:val="fr-FR"/>
        </w:rPr>
        <w:t>examen en collaboration, ont déclaré qu</w:t>
      </w:r>
      <w:r w:rsidR="009C53EC" w:rsidRPr="00A75276">
        <w:rPr>
          <w:lang w:val="fr-FR"/>
        </w:rPr>
        <w:t>’</w:t>
      </w:r>
      <w:r w:rsidRPr="00A75276">
        <w:rPr>
          <w:lang w:val="fr-FR"/>
        </w:rPr>
        <w:t xml:space="preserve">ils envisageaient de participer également à la troisième </w:t>
      </w:r>
      <w:r w:rsidR="004838AB" w:rsidRPr="00A75276">
        <w:rPr>
          <w:lang w:val="fr-FR"/>
        </w:rPr>
        <w:t xml:space="preserve">phase, </w:t>
      </w:r>
      <w:r w:rsidRPr="00A75276">
        <w:rPr>
          <w:lang w:val="fr-FR"/>
        </w:rPr>
        <w:t>étant donné que</w:t>
      </w:r>
      <w:r w:rsidR="004D25E1" w:rsidRPr="00A75276">
        <w:rPr>
          <w:lang w:val="fr-FR"/>
        </w:rPr>
        <w:t xml:space="preserve"> </w:t>
      </w:r>
      <w:r w:rsidRPr="00A75276">
        <w:rPr>
          <w:lang w:val="fr-FR"/>
        </w:rPr>
        <w:t>les deux</w:t>
      </w:r>
      <w:r w:rsidR="00432F5D" w:rsidRPr="00A75276">
        <w:rPr>
          <w:lang w:val="fr-FR"/>
        </w:rPr>
        <w:t> </w:t>
      </w:r>
      <w:r w:rsidRPr="00A75276">
        <w:rPr>
          <w:lang w:val="fr-FR"/>
        </w:rPr>
        <w:t>premiers projets pilotes avaient produit des premiers résultats prometteu</w:t>
      </w:r>
      <w:r w:rsidR="00A16C85" w:rsidRPr="00A75276">
        <w:rPr>
          <w:lang w:val="fr-FR"/>
        </w:rPr>
        <w:t>rs.  Da</w:t>
      </w:r>
      <w:r w:rsidRPr="00A75276">
        <w:rPr>
          <w:lang w:val="fr-FR"/>
        </w:rPr>
        <w:t xml:space="preserve">ns ce </w:t>
      </w:r>
      <w:r w:rsidR="004838AB" w:rsidRPr="00A75276">
        <w:rPr>
          <w:lang w:val="fr-FR"/>
        </w:rPr>
        <w:t>context</w:t>
      </w:r>
      <w:r w:rsidRPr="00A75276">
        <w:rPr>
          <w:lang w:val="fr-FR"/>
        </w:rPr>
        <w:t>e</w:t>
      </w:r>
      <w:r w:rsidR="004838AB" w:rsidRPr="00A75276">
        <w:rPr>
          <w:lang w:val="fr-FR"/>
        </w:rPr>
        <w:t xml:space="preserve">, </w:t>
      </w:r>
      <w:r w:rsidRPr="00A75276">
        <w:rPr>
          <w:lang w:val="fr-FR"/>
        </w:rPr>
        <w:t>l</w:t>
      </w:r>
      <w:r w:rsidR="009C53EC" w:rsidRPr="00A75276">
        <w:rPr>
          <w:lang w:val="fr-FR"/>
        </w:rPr>
        <w:t>’</w:t>
      </w:r>
      <w:r w:rsidRPr="00A75276">
        <w:rPr>
          <w:lang w:val="fr-FR"/>
        </w:rPr>
        <w:t>Office des brevets et des marques des États</w:t>
      </w:r>
      <w:r w:rsidR="00A16C85" w:rsidRPr="00A75276">
        <w:rPr>
          <w:lang w:val="fr-FR"/>
        </w:rPr>
        <w:noBreakHyphen/>
      </w:r>
      <w:r w:rsidRPr="00A75276">
        <w:rPr>
          <w:lang w:val="fr-FR"/>
        </w:rPr>
        <w:t>Unis d</w:t>
      </w:r>
      <w:r w:rsidR="009C53EC" w:rsidRPr="00A75276">
        <w:rPr>
          <w:lang w:val="fr-FR"/>
        </w:rPr>
        <w:t>’</w:t>
      </w:r>
      <w:r w:rsidRPr="00A75276">
        <w:rPr>
          <w:lang w:val="fr-FR"/>
        </w:rPr>
        <w:t>Amérique</w:t>
      </w:r>
      <w:r w:rsidR="004838AB" w:rsidRPr="00A75276">
        <w:rPr>
          <w:lang w:val="fr-FR"/>
        </w:rPr>
        <w:t xml:space="preserve"> </w:t>
      </w:r>
      <w:r w:rsidR="0084318F" w:rsidRPr="00A75276">
        <w:rPr>
          <w:lang w:val="fr-FR"/>
        </w:rPr>
        <w:t>a également fait état des projets pilotes de recherche en collaboration qu</w:t>
      </w:r>
      <w:r w:rsidR="009C53EC" w:rsidRPr="00A75276">
        <w:rPr>
          <w:lang w:val="fr-FR"/>
        </w:rPr>
        <w:t>’</w:t>
      </w:r>
      <w:r w:rsidR="0084318F" w:rsidRPr="00A75276">
        <w:rPr>
          <w:lang w:val="fr-FR"/>
        </w:rPr>
        <w:t>il menait à la fois avec l</w:t>
      </w:r>
      <w:r w:rsidR="009C53EC" w:rsidRPr="00A75276">
        <w:rPr>
          <w:lang w:val="fr-FR"/>
        </w:rPr>
        <w:t>’</w:t>
      </w:r>
      <w:r w:rsidR="0084318F" w:rsidRPr="00A75276">
        <w:rPr>
          <w:lang w:val="fr-FR"/>
        </w:rPr>
        <w:t>Office des brevets du Japon et l</w:t>
      </w:r>
      <w:r w:rsidR="009C53EC" w:rsidRPr="00A75276">
        <w:rPr>
          <w:lang w:val="fr-FR"/>
        </w:rPr>
        <w:t>’</w:t>
      </w:r>
      <w:r w:rsidR="0084318F" w:rsidRPr="00A75276">
        <w:rPr>
          <w:lang w:val="fr-FR"/>
        </w:rPr>
        <w:t>Office coréen de la propriété intellectuelle</w:t>
      </w:r>
      <w:r w:rsidR="004838AB" w:rsidRPr="00A75276">
        <w:rPr>
          <w:lang w:val="fr-FR"/>
        </w:rPr>
        <w:t>.</w:t>
      </w:r>
    </w:p>
    <w:p w:rsidR="00715135" w:rsidRPr="00A75276" w:rsidRDefault="00CA1944" w:rsidP="00360B03">
      <w:pPr>
        <w:pStyle w:val="ONUMFS"/>
        <w:rPr>
          <w:lang w:val="fr-FR"/>
        </w:rPr>
      </w:pPr>
      <w:r w:rsidRPr="00A75276">
        <w:rPr>
          <w:lang w:val="fr-FR"/>
        </w:rPr>
        <w:t>Une administration a estimé que, avant de lancer la phase </w:t>
      </w:r>
      <w:r w:rsidR="004838AB" w:rsidRPr="00A75276">
        <w:rPr>
          <w:lang w:val="fr-FR"/>
        </w:rPr>
        <w:t xml:space="preserve">3, </w:t>
      </w:r>
      <w:r w:rsidRPr="00A75276">
        <w:rPr>
          <w:lang w:val="fr-FR"/>
        </w:rPr>
        <w:t>il convenait d</w:t>
      </w:r>
      <w:r w:rsidR="009C53EC" w:rsidRPr="00A75276">
        <w:rPr>
          <w:lang w:val="fr-FR"/>
        </w:rPr>
        <w:t>’</w:t>
      </w:r>
      <w:r w:rsidRPr="00A75276">
        <w:rPr>
          <w:lang w:val="fr-FR"/>
        </w:rPr>
        <w:t xml:space="preserve">analyser correctement les </w:t>
      </w:r>
      <w:r w:rsidR="004838AB" w:rsidRPr="00A75276">
        <w:rPr>
          <w:lang w:val="fr-FR"/>
        </w:rPr>
        <w:t xml:space="preserve">phases 1 </w:t>
      </w:r>
      <w:r w:rsidRPr="00A75276">
        <w:rPr>
          <w:lang w:val="fr-FR"/>
        </w:rPr>
        <w:t>et</w:t>
      </w:r>
      <w:r w:rsidR="004838AB" w:rsidRPr="00A75276">
        <w:rPr>
          <w:lang w:val="fr-FR"/>
        </w:rPr>
        <w:t xml:space="preserve"> 2 </w:t>
      </w:r>
      <w:r w:rsidRPr="00A75276">
        <w:rPr>
          <w:lang w:val="fr-FR"/>
        </w:rPr>
        <w:t>du projet</w:t>
      </w:r>
      <w:r w:rsidR="004838AB" w:rsidRPr="00A75276">
        <w:rPr>
          <w:lang w:val="fr-FR"/>
        </w:rPr>
        <w:t xml:space="preserve"> pilot</w:t>
      </w:r>
      <w:r w:rsidRPr="00A75276">
        <w:rPr>
          <w:lang w:val="fr-FR"/>
        </w:rPr>
        <w:t>e</w:t>
      </w:r>
      <w:r w:rsidR="004838AB" w:rsidRPr="00A75276">
        <w:rPr>
          <w:lang w:val="fr-FR"/>
        </w:rPr>
        <w:t xml:space="preserve"> </w:t>
      </w:r>
      <w:r w:rsidRPr="00A75276">
        <w:rPr>
          <w:lang w:val="fr-FR"/>
        </w:rPr>
        <w:t>et de régler un certain nombre de questions telles que celles relatives aux taxes, au nombre de demandes à traiter lors de la prochaine phase et à certains problèmes opérationnels</w:t>
      </w:r>
      <w:r w:rsidR="004838AB" w:rsidRPr="00A75276">
        <w:rPr>
          <w:lang w:val="fr-FR"/>
        </w:rPr>
        <w:t>.</w:t>
      </w:r>
    </w:p>
    <w:p w:rsidR="00715135" w:rsidRPr="00A75276" w:rsidRDefault="00CA1944" w:rsidP="00360B03">
      <w:pPr>
        <w:pStyle w:val="ONUMFS"/>
        <w:rPr>
          <w:lang w:val="fr-FR"/>
        </w:rPr>
      </w:pPr>
      <w:r w:rsidRPr="00A75276">
        <w:rPr>
          <w:lang w:val="fr-FR"/>
        </w:rPr>
        <w:t>En réponse à la demande d</w:t>
      </w:r>
      <w:r w:rsidR="009C53EC" w:rsidRPr="00A75276">
        <w:rPr>
          <w:lang w:val="fr-FR"/>
        </w:rPr>
        <w:t>’</w:t>
      </w:r>
      <w:r w:rsidRPr="00A75276">
        <w:rPr>
          <w:lang w:val="fr-FR"/>
        </w:rPr>
        <w:t>une administration</w:t>
      </w:r>
      <w:r w:rsidR="004838AB" w:rsidRPr="00A75276">
        <w:rPr>
          <w:lang w:val="fr-FR"/>
        </w:rPr>
        <w:t xml:space="preserve">, </w:t>
      </w:r>
      <w:r w:rsidRPr="00A75276">
        <w:rPr>
          <w:lang w:val="fr-FR"/>
        </w:rPr>
        <w:t>l</w:t>
      </w:r>
      <w:r w:rsidR="009C53EC" w:rsidRPr="00A75276">
        <w:rPr>
          <w:lang w:val="fr-FR"/>
        </w:rPr>
        <w:t>’</w:t>
      </w:r>
      <w:r w:rsidR="004838AB" w:rsidRPr="00A75276">
        <w:rPr>
          <w:lang w:val="fr-FR"/>
        </w:rPr>
        <w:t xml:space="preserve">Office </w:t>
      </w:r>
      <w:r w:rsidRPr="00A75276">
        <w:rPr>
          <w:lang w:val="fr-FR"/>
        </w:rPr>
        <w:t>européen des brevets a précisé que les déposants n</w:t>
      </w:r>
      <w:r w:rsidR="009C53EC" w:rsidRPr="00A75276">
        <w:rPr>
          <w:lang w:val="fr-FR"/>
        </w:rPr>
        <w:t>’</w:t>
      </w:r>
      <w:r w:rsidRPr="00A75276">
        <w:rPr>
          <w:lang w:val="fr-FR"/>
        </w:rPr>
        <w:t>auraient pas le choix des administrations internationales censées établir le rapport de recherche internationale en collaborati</w:t>
      </w:r>
      <w:r w:rsidR="00A16C85" w:rsidRPr="00A75276">
        <w:rPr>
          <w:lang w:val="fr-FR"/>
        </w:rPr>
        <w:t>on.  Il</w:t>
      </w:r>
      <w:r w:rsidR="00884E77" w:rsidRPr="00A75276">
        <w:rPr>
          <w:lang w:val="fr-FR"/>
        </w:rPr>
        <w:t xml:space="preserve"> a également précisé le lien entre ce projet pilo</w:t>
      </w:r>
      <w:r w:rsidR="004838AB" w:rsidRPr="00A75276">
        <w:rPr>
          <w:lang w:val="fr-FR"/>
        </w:rPr>
        <w:t>t</w:t>
      </w:r>
      <w:r w:rsidR="00884E77" w:rsidRPr="00A75276">
        <w:rPr>
          <w:lang w:val="fr-FR"/>
        </w:rPr>
        <w:t>e</w:t>
      </w:r>
      <w:r w:rsidR="004838AB" w:rsidRPr="00A75276">
        <w:rPr>
          <w:lang w:val="fr-FR"/>
        </w:rPr>
        <w:t xml:space="preserve"> </w:t>
      </w:r>
      <w:r w:rsidR="00884E77" w:rsidRPr="00A75276">
        <w:rPr>
          <w:lang w:val="fr-FR"/>
        </w:rPr>
        <w:t xml:space="preserve">et le système existant de recherche </w:t>
      </w:r>
      <w:r w:rsidR="004838AB" w:rsidRPr="00A75276">
        <w:rPr>
          <w:lang w:val="fr-FR"/>
        </w:rPr>
        <w:t>international</w:t>
      </w:r>
      <w:r w:rsidR="00884E77" w:rsidRPr="00A75276">
        <w:rPr>
          <w:lang w:val="fr-FR"/>
        </w:rPr>
        <w:t>e</w:t>
      </w:r>
      <w:r w:rsidR="004838AB" w:rsidRPr="00A75276">
        <w:rPr>
          <w:lang w:val="fr-FR"/>
        </w:rPr>
        <w:t xml:space="preserve"> s</w:t>
      </w:r>
      <w:r w:rsidR="00884E77" w:rsidRPr="00A75276">
        <w:rPr>
          <w:lang w:val="fr-FR"/>
        </w:rPr>
        <w:t>upplémentaire</w:t>
      </w:r>
      <w:r w:rsidR="004838AB" w:rsidRPr="00A75276">
        <w:rPr>
          <w:lang w:val="fr-FR"/>
        </w:rPr>
        <w:t xml:space="preserve">, </w:t>
      </w:r>
      <w:r w:rsidR="00884E77" w:rsidRPr="00A75276">
        <w:rPr>
          <w:lang w:val="fr-FR"/>
        </w:rPr>
        <w:t>indiquant que la recherche et l</w:t>
      </w:r>
      <w:r w:rsidR="009C53EC" w:rsidRPr="00A75276">
        <w:rPr>
          <w:lang w:val="fr-FR"/>
        </w:rPr>
        <w:t>’</w:t>
      </w:r>
      <w:r w:rsidR="00884E77" w:rsidRPr="00A75276">
        <w:rPr>
          <w:lang w:val="fr-FR"/>
        </w:rPr>
        <w:t>examen en collaboration étai</w:t>
      </w:r>
      <w:r w:rsidR="00C0120A" w:rsidRPr="00A75276">
        <w:rPr>
          <w:lang w:val="fr-FR"/>
        </w:rPr>
        <w:t>en</w:t>
      </w:r>
      <w:r w:rsidR="00884E77" w:rsidRPr="00A75276">
        <w:rPr>
          <w:lang w:val="fr-FR"/>
        </w:rPr>
        <w:t>t censé</w:t>
      </w:r>
      <w:r w:rsidR="00C0120A" w:rsidRPr="00A75276">
        <w:rPr>
          <w:lang w:val="fr-FR"/>
        </w:rPr>
        <w:t>s</w:t>
      </w:r>
      <w:r w:rsidR="00884E77" w:rsidRPr="00A75276">
        <w:rPr>
          <w:lang w:val="fr-FR"/>
        </w:rPr>
        <w:t xml:space="preserve"> compléter le système de recherche internationale supplémentaire plutôt que le remplacer</w:t>
      </w:r>
      <w:r w:rsidR="004838AB" w:rsidRPr="00A75276">
        <w:rPr>
          <w:lang w:val="fr-FR"/>
        </w:rPr>
        <w:t>.</w:t>
      </w:r>
    </w:p>
    <w:p w:rsidR="00715135" w:rsidRPr="00A75276" w:rsidRDefault="00910CD0" w:rsidP="00910CD0">
      <w:pPr>
        <w:pStyle w:val="ONUMFS"/>
        <w:ind w:left="567"/>
        <w:rPr>
          <w:lang w:val="fr-FR"/>
        </w:rPr>
      </w:pPr>
      <w:r w:rsidRPr="00A75276">
        <w:rPr>
          <w:lang w:val="fr-FR"/>
        </w:rPr>
        <w:t>La réunion a pris note du contenu du document PCT/MIA/23/12.</w:t>
      </w:r>
    </w:p>
    <w:p w:rsidR="00715135" w:rsidRPr="00A75276" w:rsidRDefault="00351B21" w:rsidP="004838AB">
      <w:pPr>
        <w:pStyle w:val="Heading1"/>
        <w:rPr>
          <w:lang w:val="fr-FR"/>
        </w:rPr>
      </w:pPr>
      <w:r w:rsidRPr="00A75276">
        <w:rPr>
          <w:lang w:val="fr-FR"/>
        </w:rPr>
        <w:t>Point 13 de l</w:t>
      </w:r>
      <w:r w:rsidR="009C53EC" w:rsidRPr="00A75276">
        <w:rPr>
          <w:lang w:val="fr-FR"/>
        </w:rPr>
        <w:t>’</w:t>
      </w:r>
      <w:r w:rsidRPr="00A75276">
        <w:rPr>
          <w:lang w:val="fr-FR"/>
        </w:rPr>
        <w:t xml:space="preserve">ordre du jour : </w:t>
      </w:r>
      <w:r w:rsidR="005E46EE" w:rsidRPr="00A75276">
        <w:rPr>
          <w:lang w:val="fr-FR"/>
        </w:rPr>
        <w:t>améliorations à apporter à la recherche</w:t>
      </w:r>
      <w:r w:rsidR="004838AB" w:rsidRPr="00A75276">
        <w:rPr>
          <w:lang w:val="fr-FR"/>
        </w:rPr>
        <w:t xml:space="preserve"> Internationale</w:t>
      </w:r>
      <w:r w:rsidR="005E46EE" w:rsidRPr="00A75276">
        <w:rPr>
          <w:lang w:val="fr-FR"/>
        </w:rPr>
        <w:t xml:space="preserve"> supplémentaire</w:t>
      </w:r>
    </w:p>
    <w:p w:rsidR="00715135" w:rsidRPr="00A75276" w:rsidRDefault="00910CD0" w:rsidP="00910CD0">
      <w:pPr>
        <w:pStyle w:val="ONUMFS"/>
        <w:rPr>
          <w:lang w:val="fr-FR"/>
        </w:rPr>
      </w:pPr>
      <w:r w:rsidRPr="00A75276">
        <w:rPr>
          <w:lang w:val="fr-FR"/>
        </w:rPr>
        <w:t>Les délibérations ont eu lieu sur la base du document PCT/MIA/23/4.</w:t>
      </w:r>
    </w:p>
    <w:p w:rsidR="002E5DCA" w:rsidRPr="00A75276" w:rsidRDefault="005E46EE" w:rsidP="00360B03">
      <w:pPr>
        <w:pStyle w:val="ONUMFS"/>
        <w:rPr>
          <w:lang w:val="fr-FR"/>
        </w:rPr>
      </w:pPr>
      <w:r w:rsidRPr="00A75276">
        <w:rPr>
          <w:lang w:val="fr-FR"/>
        </w:rPr>
        <w:t xml:space="preserve">Les administrations ont appuyé la modification du délai imparti pour demander une recherche </w:t>
      </w:r>
      <w:r w:rsidR="004838AB" w:rsidRPr="00A75276">
        <w:rPr>
          <w:lang w:val="fr-FR"/>
        </w:rPr>
        <w:t>international</w:t>
      </w:r>
      <w:r w:rsidR="001A483D" w:rsidRPr="00A75276">
        <w:rPr>
          <w:lang w:val="fr-FR"/>
        </w:rPr>
        <w:t>e supplémentaire consistant à le</w:t>
      </w:r>
      <w:r w:rsidRPr="00A75276">
        <w:rPr>
          <w:lang w:val="fr-FR"/>
        </w:rPr>
        <w:t xml:space="preserve"> porter de </w:t>
      </w:r>
      <w:r w:rsidR="004838AB" w:rsidRPr="00A75276">
        <w:rPr>
          <w:lang w:val="fr-FR"/>
        </w:rPr>
        <w:t xml:space="preserve">19 </w:t>
      </w:r>
      <w:r w:rsidRPr="00A75276">
        <w:rPr>
          <w:lang w:val="fr-FR"/>
        </w:rPr>
        <w:t>à</w:t>
      </w:r>
      <w:r w:rsidR="004838AB" w:rsidRPr="00A75276">
        <w:rPr>
          <w:lang w:val="fr-FR"/>
        </w:rPr>
        <w:t xml:space="preserve"> 22 mo</w:t>
      </w:r>
      <w:r w:rsidRPr="00A75276">
        <w:rPr>
          <w:lang w:val="fr-FR"/>
        </w:rPr>
        <w:t>i</w:t>
      </w:r>
      <w:r w:rsidR="004838AB" w:rsidRPr="00A75276">
        <w:rPr>
          <w:lang w:val="fr-FR"/>
        </w:rPr>
        <w:t xml:space="preserve">s </w:t>
      </w:r>
      <w:r w:rsidRPr="00A75276">
        <w:rPr>
          <w:lang w:val="fr-FR"/>
        </w:rPr>
        <w:t>à compter de la</w:t>
      </w:r>
      <w:r w:rsidR="004838AB" w:rsidRPr="00A75276">
        <w:rPr>
          <w:lang w:val="fr-FR"/>
        </w:rPr>
        <w:t xml:space="preserve"> date</w:t>
      </w:r>
      <w:r w:rsidRPr="00A75276">
        <w:rPr>
          <w:lang w:val="fr-FR"/>
        </w:rPr>
        <w:t xml:space="preserve"> de priorité</w:t>
      </w:r>
      <w:r w:rsidR="004838AB" w:rsidRPr="00A75276">
        <w:rPr>
          <w:lang w:val="fr-FR"/>
        </w:rPr>
        <w:t xml:space="preserve">, </w:t>
      </w:r>
      <w:r w:rsidRPr="00A75276">
        <w:rPr>
          <w:lang w:val="fr-FR"/>
        </w:rPr>
        <w:t xml:space="preserve">ce qui </w:t>
      </w:r>
      <w:r w:rsidR="004838AB" w:rsidRPr="00A75276">
        <w:rPr>
          <w:lang w:val="fr-FR"/>
        </w:rPr>
        <w:t>correspond</w:t>
      </w:r>
      <w:r w:rsidRPr="00A75276">
        <w:rPr>
          <w:lang w:val="fr-FR"/>
        </w:rPr>
        <w:t>rait au délai pour le dépôt d</w:t>
      </w:r>
      <w:r w:rsidR="009C53EC" w:rsidRPr="00A75276">
        <w:rPr>
          <w:lang w:val="fr-FR"/>
        </w:rPr>
        <w:t>’</w:t>
      </w:r>
      <w:r w:rsidRPr="00A75276">
        <w:rPr>
          <w:lang w:val="fr-FR"/>
        </w:rPr>
        <w:t xml:space="preserve">une </w:t>
      </w:r>
      <w:r w:rsidR="004838AB" w:rsidRPr="00A75276">
        <w:rPr>
          <w:lang w:val="fr-FR"/>
        </w:rPr>
        <w:t>demand</w:t>
      </w:r>
      <w:r w:rsidRPr="00A75276">
        <w:rPr>
          <w:lang w:val="fr-FR"/>
        </w:rPr>
        <w:t>e d</w:t>
      </w:r>
      <w:r w:rsidR="009C53EC" w:rsidRPr="00A75276">
        <w:rPr>
          <w:lang w:val="fr-FR"/>
        </w:rPr>
        <w:t>’</w:t>
      </w:r>
      <w:r w:rsidRPr="00A75276">
        <w:rPr>
          <w:lang w:val="fr-FR"/>
        </w:rPr>
        <w:t xml:space="preserve">examen préliminaire </w:t>
      </w:r>
      <w:r w:rsidR="004838AB" w:rsidRPr="00A75276">
        <w:rPr>
          <w:lang w:val="fr-FR"/>
        </w:rPr>
        <w:t>international.</w:t>
      </w:r>
    </w:p>
    <w:p w:rsidR="00715135" w:rsidRPr="00A75276" w:rsidRDefault="005E46EE" w:rsidP="00360B03">
      <w:pPr>
        <w:pStyle w:val="ONUMFS"/>
        <w:rPr>
          <w:lang w:val="fr-FR"/>
        </w:rPr>
      </w:pPr>
      <w:r w:rsidRPr="00A75276">
        <w:rPr>
          <w:lang w:val="fr-FR"/>
        </w:rPr>
        <w:t xml:space="preserve">Certaines administrations ont exprimé des préoccupations quant à la possibilité de demander une recherche </w:t>
      </w:r>
      <w:r w:rsidR="004838AB" w:rsidRPr="00A75276">
        <w:rPr>
          <w:lang w:val="fr-FR"/>
        </w:rPr>
        <w:t>international</w:t>
      </w:r>
      <w:r w:rsidRPr="00A75276">
        <w:rPr>
          <w:lang w:val="fr-FR"/>
        </w:rPr>
        <w:t>e supplémentaire sur des revendications modifié</w:t>
      </w:r>
      <w:r w:rsidR="00A16C85" w:rsidRPr="00A75276">
        <w:rPr>
          <w:lang w:val="fr-FR"/>
        </w:rPr>
        <w:t>es.  Ce</w:t>
      </w:r>
      <w:r w:rsidRPr="00A75276">
        <w:rPr>
          <w:lang w:val="fr-FR"/>
        </w:rPr>
        <w:t>s préoccupations avaient notamment trait au fait qu</w:t>
      </w:r>
      <w:r w:rsidR="009C53EC" w:rsidRPr="00A75276">
        <w:rPr>
          <w:lang w:val="fr-FR"/>
        </w:rPr>
        <w:t>’</w:t>
      </w:r>
      <w:r w:rsidRPr="00A75276">
        <w:rPr>
          <w:lang w:val="fr-FR"/>
        </w:rPr>
        <w:t>une telle recherche supplémentaire serait contraire à l</w:t>
      </w:r>
      <w:r w:rsidR="009C53EC" w:rsidRPr="00A75276">
        <w:rPr>
          <w:lang w:val="fr-FR"/>
        </w:rPr>
        <w:t>’</w:t>
      </w:r>
      <w:r w:rsidRPr="00A75276">
        <w:rPr>
          <w:lang w:val="fr-FR"/>
        </w:rPr>
        <w:t xml:space="preserve">intention initiale tendant à limiter la recherche supplémentaire aux collections nationales ou aux </w:t>
      </w:r>
      <w:r w:rsidR="004838AB" w:rsidRPr="00A75276">
        <w:rPr>
          <w:lang w:val="fr-FR"/>
        </w:rPr>
        <w:t xml:space="preserve">documents </w:t>
      </w:r>
      <w:r w:rsidRPr="00A75276">
        <w:rPr>
          <w:lang w:val="fr-FR"/>
        </w:rPr>
        <w:t>rédigés dans certaines langues</w:t>
      </w:r>
      <w:r w:rsidR="004838AB" w:rsidRPr="00A75276">
        <w:rPr>
          <w:lang w:val="fr-FR"/>
        </w:rPr>
        <w:t xml:space="preserve">, </w:t>
      </w:r>
      <w:r w:rsidRPr="00A75276">
        <w:rPr>
          <w:lang w:val="fr-FR"/>
        </w:rPr>
        <w:t>au fait que l</w:t>
      </w:r>
      <w:r w:rsidR="009C53EC" w:rsidRPr="00A75276">
        <w:rPr>
          <w:lang w:val="fr-FR"/>
        </w:rPr>
        <w:t>’</w:t>
      </w:r>
      <w:r w:rsidRPr="00A75276">
        <w:rPr>
          <w:lang w:val="fr-FR"/>
        </w:rPr>
        <w:t>objet éventuellement modifié</w:t>
      </w:r>
      <w:r w:rsidR="004838AB" w:rsidRPr="00A75276">
        <w:rPr>
          <w:lang w:val="fr-FR"/>
        </w:rPr>
        <w:t xml:space="preserve"> </w:t>
      </w:r>
      <w:r w:rsidRPr="00A75276">
        <w:rPr>
          <w:lang w:val="fr-FR"/>
        </w:rPr>
        <w:t>devrait déjà faire l</w:t>
      </w:r>
      <w:r w:rsidR="009C53EC" w:rsidRPr="00A75276">
        <w:rPr>
          <w:lang w:val="fr-FR"/>
        </w:rPr>
        <w:t>’</w:t>
      </w:r>
      <w:r w:rsidRPr="00A75276">
        <w:rPr>
          <w:lang w:val="fr-FR"/>
        </w:rPr>
        <w:t>objet d</w:t>
      </w:r>
      <w:r w:rsidR="009C53EC" w:rsidRPr="00A75276">
        <w:rPr>
          <w:lang w:val="fr-FR"/>
        </w:rPr>
        <w:t>’</w:t>
      </w:r>
      <w:r w:rsidRPr="00A75276">
        <w:rPr>
          <w:lang w:val="fr-FR"/>
        </w:rPr>
        <w:t xml:space="preserve">une recherche en vertu du </w:t>
      </w:r>
      <w:r w:rsidR="004838AB" w:rsidRPr="00A75276">
        <w:rPr>
          <w:lang w:val="fr-FR"/>
        </w:rPr>
        <w:t>paragraph</w:t>
      </w:r>
      <w:r w:rsidRPr="00A75276">
        <w:rPr>
          <w:lang w:val="fr-FR"/>
        </w:rPr>
        <w:t>e</w:t>
      </w:r>
      <w:r w:rsidR="00432F5D" w:rsidRPr="00A75276">
        <w:rPr>
          <w:lang w:val="fr-FR"/>
        </w:rPr>
        <w:t> </w:t>
      </w:r>
      <w:r w:rsidR="004838AB" w:rsidRPr="00A75276">
        <w:rPr>
          <w:lang w:val="fr-FR"/>
        </w:rPr>
        <w:t xml:space="preserve">15.25 </w:t>
      </w:r>
      <w:r w:rsidR="00C0120A" w:rsidRPr="00A75276">
        <w:rPr>
          <w:lang w:val="fr-FR"/>
        </w:rPr>
        <w:t>des d</w:t>
      </w:r>
      <w:r w:rsidRPr="00A75276">
        <w:rPr>
          <w:lang w:val="fr-FR"/>
        </w:rPr>
        <w:t>irectives concernant la recherche internationale et l</w:t>
      </w:r>
      <w:r w:rsidR="009C53EC" w:rsidRPr="00A75276">
        <w:rPr>
          <w:lang w:val="fr-FR"/>
        </w:rPr>
        <w:t>’</w:t>
      </w:r>
      <w:r w:rsidRPr="00A75276">
        <w:rPr>
          <w:lang w:val="fr-FR"/>
        </w:rPr>
        <w:t>examen préliminaire international et à la valeur additionnelle limitée que cette possibilité apporterait par rapport à l</w:t>
      </w:r>
      <w:r w:rsidR="009C53EC" w:rsidRPr="00A75276">
        <w:rPr>
          <w:lang w:val="fr-FR"/>
        </w:rPr>
        <w:t>’</w:t>
      </w:r>
      <w:r w:rsidRPr="00A75276">
        <w:rPr>
          <w:lang w:val="fr-FR"/>
        </w:rPr>
        <w:t>examen prévu au chapitre </w:t>
      </w:r>
      <w:r w:rsidR="004838AB" w:rsidRPr="00A75276">
        <w:rPr>
          <w:lang w:val="fr-FR"/>
        </w:rPr>
        <w:t>II.</w:t>
      </w:r>
    </w:p>
    <w:p w:rsidR="00715135" w:rsidRPr="00A75276" w:rsidRDefault="00335CC1" w:rsidP="00360B03">
      <w:pPr>
        <w:pStyle w:val="ONUMFS"/>
        <w:rPr>
          <w:lang w:val="fr-FR"/>
        </w:rPr>
      </w:pPr>
      <w:r w:rsidRPr="00A75276">
        <w:rPr>
          <w:lang w:val="fr-FR"/>
        </w:rPr>
        <w:lastRenderedPageBreak/>
        <w:t xml:space="preserve">Certaines administrations ont indiqué que, si une </w:t>
      </w:r>
      <w:r w:rsidR="004838AB" w:rsidRPr="00A75276">
        <w:rPr>
          <w:lang w:val="fr-FR"/>
        </w:rPr>
        <w:t xml:space="preserve">opinion </w:t>
      </w:r>
      <w:r w:rsidRPr="00A75276">
        <w:rPr>
          <w:lang w:val="fr-FR"/>
        </w:rPr>
        <w:t>écrite devait être établie dans le cadre de la recherche i</w:t>
      </w:r>
      <w:r w:rsidR="004838AB" w:rsidRPr="00A75276">
        <w:rPr>
          <w:lang w:val="fr-FR"/>
        </w:rPr>
        <w:t>nternational</w:t>
      </w:r>
      <w:r w:rsidRPr="00A75276">
        <w:rPr>
          <w:lang w:val="fr-FR"/>
        </w:rPr>
        <w:t>e supplémentaire</w:t>
      </w:r>
      <w:r w:rsidR="004838AB" w:rsidRPr="00A75276">
        <w:rPr>
          <w:lang w:val="fr-FR"/>
        </w:rPr>
        <w:t xml:space="preserve">, </w:t>
      </w:r>
      <w:r w:rsidRPr="00A75276">
        <w:rPr>
          <w:lang w:val="fr-FR"/>
        </w:rPr>
        <w:t>cette possibilité devrait être laissée à l</w:t>
      </w:r>
      <w:r w:rsidR="009C53EC" w:rsidRPr="00A75276">
        <w:rPr>
          <w:lang w:val="fr-FR"/>
        </w:rPr>
        <w:t>’</w:t>
      </w:r>
      <w:r w:rsidRPr="00A75276">
        <w:rPr>
          <w:lang w:val="fr-FR"/>
        </w:rPr>
        <w:t>appréciation de l</w:t>
      </w:r>
      <w:r w:rsidR="009C53EC" w:rsidRPr="00A75276">
        <w:rPr>
          <w:lang w:val="fr-FR"/>
        </w:rPr>
        <w:t>’</w:t>
      </w:r>
      <w:r w:rsidRPr="00A75276">
        <w:rPr>
          <w:lang w:val="fr-FR"/>
        </w:rPr>
        <w:t>administration effectuant la recherche supplémentai</w:t>
      </w:r>
      <w:r w:rsidR="00A16C85" w:rsidRPr="00A75276">
        <w:rPr>
          <w:lang w:val="fr-FR"/>
        </w:rPr>
        <w:t xml:space="preserve">re.  À </w:t>
      </w:r>
      <w:r w:rsidRPr="00A75276">
        <w:rPr>
          <w:lang w:val="fr-FR"/>
        </w:rPr>
        <w:t>cet égard</w:t>
      </w:r>
      <w:r w:rsidR="004838AB" w:rsidRPr="00A75276">
        <w:rPr>
          <w:lang w:val="fr-FR"/>
        </w:rPr>
        <w:t xml:space="preserve">, </w:t>
      </w:r>
      <w:r w:rsidRPr="00A75276">
        <w:rPr>
          <w:lang w:val="fr-FR"/>
        </w:rPr>
        <w:t>de</w:t>
      </w:r>
      <w:r w:rsidR="001A483D" w:rsidRPr="00A75276">
        <w:rPr>
          <w:lang w:val="fr-FR"/>
        </w:rPr>
        <w:t>s</w:t>
      </w:r>
      <w:r w:rsidRPr="00A75276">
        <w:rPr>
          <w:lang w:val="fr-FR"/>
        </w:rPr>
        <w:t xml:space="preserve"> préoccupations ont également été exprimées quant au risque qu</w:t>
      </w:r>
      <w:r w:rsidR="009C53EC" w:rsidRPr="00A75276">
        <w:rPr>
          <w:lang w:val="fr-FR"/>
        </w:rPr>
        <w:t>’</w:t>
      </w:r>
      <w:r w:rsidRPr="00A75276">
        <w:rPr>
          <w:lang w:val="fr-FR"/>
        </w:rPr>
        <w:t xml:space="preserve">une telle </w:t>
      </w:r>
      <w:r w:rsidR="004838AB" w:rsidRPr="00A75276">
        <w:rPr>
          <w:lang w:val="fr-FR"/>
        </w:rPr>
        <w:t xml:space="preserve">opinion </w:t>
      </w:r>
      <w:r w:rsidRPr="00A75276">
        <w:rPr>
          <w:lang w:val="fr-FR"/>
        </w:rPr>
        <w:t>écrite obligatoire dissuade d</w:t>
      </w:r>
      <w:r w:rsidR="009C53EC" w:rsidRPr="00A75276">
        <w:rPr>
          <w:lang w:val="fr-FR"/>
        </w:rPr>
        <w:t>’</w:t>
      </w:r>
      <w:r w:rsidRPr="00A75276">
        <w:rPr>
          <w:lang w:val="fr-FR"/>
        </w:rPr>
        <w:t>autres administrations de proposer la recherche</w:t>
      </w:r>
      <w:r w:rsidR="004838AB" w:rsidRPr="00A75276">
        <w:rPr>
          <w:lang w:val="fr-FR"/>
        </w:rPr>
        <w:t xml:space="preserve"> international</w:t>
      </w:r>
      <w:r w:rsidRPr="00A75276">
        <w:rPr>
          <w:lang w:val="fr-FR"/>
        </w:rPr>
        <w:t>e supplémentai</w:t>
      </w:r>
      <w:r w:rsidR="00A16C85" w:rsidRPr="00A75276">
        <w:rPr>
          <w:lang w:val="fr-FR"/>
        </w:rPr>
        <w:t>re.  Ce</w:t>
      </w:r>
      <w:r w:rsidRPr="00A75276">
        <w:rPr>
          <w:lang w:val="fr-FR"/>
        </w:rPr>
        <w:t xml:space="preserve">rtaines de ces administrations ont aussi fait observer que les administrations établissant une </w:t>
      </w:r>
      <w:r w:rsidR="004838AB" w:rsidRPr="00A75276">
        <w:rPr>
          <w:lang w:val="fr-FR"/>
        </w:rPr>
        <w:t xml:space="preserve">opinion </w:t>
      </w:r>
      <w:r w:rsidRPr="00A75276">
        <w:rPr>
          <w:lang w:val="fr-FR"/>
        </w:rPr>
        <w:t>écrite pourraient augmenter les taxes de recherche internationale supplémentaire afin de couvrir le surcroît de travail lié à l</w:t>
      </w:r>
      <w:r w:rsidR="009C53EC" w:rsidRPr="00A75276">
        <w:rPr>
          <w:lang w:val="fr-FR"/>
        </w:rPr>
        <w:t>’</w:t>
      </w:r>
      <w:r w:rsidRPr="00A75276">
        <w:rPr>
          <w:lang w:val="fr-FR"/>
        </w:rPr>
        <w:t xml:space="preserve">établissement de cette </w:t>
      </w:r>
      <w:r w:rsidR="004838AB" w:rsidRPr="00A75276">
        <w:rPr>
          <w:lang w:val="fr-FR"/>
        </w:rPr>
        <w:t>opini</w:t>
      </w:r>
      <w:r w:rsidR="00A16C85" w:rsidRPr="00A75276">
        <w:rPr>
          <w:lang w:val="fr-FR"/>
        </w:rPr>
        <w:t>on.  Un</w:t>
      </w:r>
      <w:r w:rsidR="0063505C" w:rsidRPr="00A75276">
        <w:rPr>
          <w:lang w:val="fr-FR"/>
        </w:rPr>
        <w:t>e administration a toutefois indiqué qu</w:t>
      </w:r>
      <w:r w:rsidR="009C53EC" w:rsidRPr="00A75276">
        <w:rPr>
          <w:lang w:val="fr-FR"/>
        </w:rPr>
        <w:t>’</w:t>
      </w:r>
      <w:r w:rsidR="0063505C" w:rsidRPr="00A75276">
        <w:rPr>
          <w:lang w:val="fr-FR"/>
        </w:rPr>
        <w:t xml:space="preserve">elle pourrait être </w:t>
      </w:r>
      <w:r w:rsidR="004838AB" w:rsidRPr="00A75276">
        <w:rPr>
          <w:lang w:val="fr-FR"/>
        </w:rPr>
        <w:t xml:space="preserve">favorable </w:t>
      </w:r>
      <w:r w:rsidR="0063505C" w:rsidRPr="00A75276">
        <w:rPr>
          <w:lang w:val="fr-FR"/>
        </w:rPr>
        <w:t>à une modification de la règle </w:t>
      </w:r>
      <w:r w:rsidR="004838AB" w:rsidRPr="00A75276">
        <w:rPr>
          <w:lang w:val="fr-FR"/>
        </w:rPr>
        <w:t>45</w:t>
      </w:r>
      <w:r w:rsidR="004838AB" w:rsidRPr="00A75276">
        <w:rPr>
          <w:i/>
          <w:lang w:val="fr-FR"/>
        </w:rPr>
        <w:t>bis</w:t>
      </w:r>
      <w:r w:rsidR="0063505C" w:rsidRPr="00A75276">
        <w:rPr>
          <w:lang w:val="fr-FR"/>
        </w:rPr>
        <w:t>.7.e)</w:t>
      </w:r>
      <w:r w:rsidR="004838AB" w:rsidRPr="00A75276">
        <w:rPr>
          <w:lang w:val="fr-FR"/>
        </w:rPr>
        <w:t xml:space="preserve">i) </w:t>
      </w:r>
      <w:r w:rsidR="0063505C" w:rsidRPr="00A75276">
        <w:rPr>
          <w:lang w:val="fr-FR"/>
        </w:rPr>
        <w:t>visant à rendre obliga</w:t>
      </w:r>
      <w:r w:rsidR="004838AB" w:rsidRPr="00A75276">
        <w:rPr>
          <w:lang w:val="fr-FR"/>
        </w:rPr>
        <w:t>to</w:t>
      </w:r>
      <w:r w:rsidR="0063505C" w:rsidRPr="00A75276">
        <w:rPr>
          <w:lang w:val="fr-FR"/>
        </w:rPr>
        <w:t>ire l</w:t>
      </w:r>
      <w:r w:rsidR="009C53EC" w:rsidRPr="00A75276">
        <w:rPr>
          <w:lang w:val="fr-FR"/>
        </w:rPr>
        <w:t>’</w:t>
      </w:r>
      <w:r w:rsidR="0063505C" w:rsidRPr="00A75276">
        <w:rPr>
          <w:lang w:val="fr-FR"/>
        </w:rPr>
        <w:t>inclusion d</w:t>
      </w:r>
      <w:r w:rsidR="009C53EC" w:rsidRPr="00A75276">
        <w:rPr>
          <w:lang w:val="fr-FR"/>
        </w:rPr>
        <w:t>’</w:t>
      </w:r>
      <w:r w:rsidR="0063505C" w:rsidRPr="00A75276">
        <w:rPr>
          <w:lang w:val="fr-FR"/>
        </w:rPr>
        <w:t xml:space="preserve">explications concernant les </w:t>
      </w:r>
      <w:r w:rsidR="004838AB" w:rsidRPr="00A75276">
        <w:rPr>
          <w:lang w:val="fr-FR"/>
        </w:rPr>
        <w:t xml:space="preserve">citations </w:t>
      </w:r>
      <w:r w:rsidR="0063505C" w:rsidRPr="00A75276">
        <w:rPr>
          <w:lang w:val="fr-FR"/>
        </w:rPr>
        <w:t xml:space="preserve">de </w:t>
      </w:r>
      <w:r w:rsidR="004838AB" w:rsidRPr="00A75276">
        <w:rPr>
          <w:lang w:val="fr-FR"/>
        </w:rPr>
        <w:t xml:space="preserve">documents </w:t>
      </w:r>
      <w:r w:rsidR="0063505C" w:rsidRPr="00A75276">
        <w:rPr>
          <w:lang w:val="fr-FR"/>
        </w:rPr>
        <w:t>jugés pertinen</w:t>
      </w:r>
      <w:r w:rsidR="00A16C85" w:rsidRPr="00A75276">
        <w:rPr>
          <w:lang w:val="fr-FR"/>
        </w:rPr>
        <w:t>ts.  Un</w:t>
      </w:r>
      <w:r w:rsidR="0063505C" w:rsidRPr="00A75276">
        <w:rPr>
          <w:lang w:val="fr-FR"/>
        </w:rPr>
        <w:t>e autre administration a regretté que l</w:t>
      </w:r>
      <w:r w:rsidR="009C53EC" w:rsidRPr="00A75276">
        <w:rPr>
          <w:lang w:val="fr-FR"/>
        </w:rPr>
        <w:t>’</w:t>
      </w:r>
      <w:r w:rsidR="004838AB" w:rsidRPr="00A75276">
        <w:rPr>
          <w:lang w:val="fr-FR"/>
        </w:rPr>
        <w:t xml:space="preserve">opinion </w:t>
      </w:r>
      <w:r w:rsidR="0063505C" w:rsidRPr="00A75276">
        <w:rPr>
          <w:lang w:val="fr-FR"/>
        </w:rPr>
        <w:t>qu</w:t>
      </w:r>
      <w:r w:rsidR="009C53EC" w:rsidRPr="00A75276">
        <w:rPr>
          <w:lang w:val="fr-FR"/>
        </w:rPr>
        <w:t>’</w:t>
      </w:r>
      <w:r w:rsidR="0063505C" w:rsidRPr="00A75276">
        <w:rPr>
          <w:lang w:val="fr-FR"/>
        </w:rPr>
        <w:t>elle offrait déjà avec le rapport de recherche internationale supplémentaire, qui était établi avec le même soin que l</w:t>
      </w:r>
      <w:r w:rsidR="009C53EC" w:rsidRPr="00A75276">
        <w:rPr>
          <w:lang w:val="fr-FR"/>
        </w:rPr>
        <w:t>’</w:t>
      </w:r>
      <w:r w:rsidR="004838AB" w:rsidRPr="00A75276">
        <w:rPr>
          <w:lang w:val="fr-FR"/>
        </w:rPr>
        <w:t xml:space="preserve">opinion </w:t>
      </w:r>
      <w:r w:rsidR="0063505C" w:rsidRPr="00A75276">
        <w:rPr>
          <w:lang w:val="fr-FR"/>
        </w:rPr>
        <w:t xml:space="preserve">écrite accompagnant la recherche internationale </w:t>
      </w:r>
      <w:r w:rsidR="00E874A5" w:rsidRPr="00A75276">
        <w:rPr>
          <w:lang w:val="fr-FR"/>
        </w:rPr>
        <w:t>“</w:t>
      </w:r>
      <w:r w:rsidR="0063505C" w:rsidRPr="00A75276">
        <w:rPr>
          <w:lang w:val="fr-FR"/>
        </w:rPr>
        <w:t>principale</w:t>
      </w:r>
      <w:r w:rsidR="00E874A5" w:rsidRPr="00A75276">
        <w:rPr>
          <w:lang w:val="fr-FR"/>
        </w:rPr>
        <w:t>”</w:t>
      </w:r>
      <w:r w:rsidR="004838AB" w:rsidRPr="00A75276">
        <w:rPr>
          <w:lang w:val="fr-FR"/>
        </w:rPr>
        <w:t xml:space="preserve">, </w:t>
      </w:r>
      <w:r w:rsidR="0063505C" w:rsidRPr="00A75276">
        <w:rPr>
          <w:lang w:val="fr-FR"/>
        </w:rPr>
        <w:t xml:space="preserve">ne puisse servir de base à une demande de traitement accéléré selon le </w:t>
      </w:r>
      <w:r w:rsidR="004838AB" w:rsidRPr="00A75276">
        <w:rPr>
          <w:lang w:val="fr-FR"/>
        </w:rPr>
        <w:t xml:space="preserve">Patent </w:t>
      </w:r>
      <w:proofErr w:type="spellStart"/>
      <w:r w:rsidR="004838AB" w:rsidRPr="00A75276">
        <w:rPr>
          <w:lang w:val="fr-FR"/>
        </w:rPr>
        <w:t>Prosecution</w:t>
      </w:r>
      <w:proofErr w:type="spellEnd"/>
      <w:r w:rsidR="004838AB" w:rsidRPr="00A75276">
        <w:rPr>
          <w:lang w:val="fr-FR"/>
        </w:rPr>
        <w:t xml:space="preserve"> </w:t>
      </w:r>
      <w:proofErr w:type="spellStart"/>
      <w:r w:rsidR="004838AB" w:rsidRPr="00A75276">
        <w:rPr>
          <w:lang w:val="fr-FR"/>
        </w:rPr>
        <w:t>Highway</w:t>
      </w:r>
      <w:proofErr w:type="spellEnd"/>
      <w:r w:rsidR="004838AB" w:rsidRPr="00A75276">
        <w:rPr>
          <w:lang w:val="fr-FR"/>
        </w:rPr>
        <w:t xml:space="preserve"> (PPH).  </w:t>
      </w:r>
      <w:r w:rsidR="000F40FE" w:rsidRPr="00A75276">
        <w:rPr>
          <w:lang w:val="fr-FR"/>
        </w:rPr>
        <w:t>Cette</w:t>
      </w:r>
      <w:r w:rsidR="004838AB" w:rsidRPr="00A75276">
        <w:rPr>
          <w:lang w:val="fr-FR"/>
        </w:rPr>
        <w:t xml:space="preserve"> </w:t>
      </w:r>
      <w:r w:rsidR="00420F26" w:rsidRPr="00A75276">
        <w:rPr>
          <w:lang w:val="fr-FR"/>
        </w:rPr>
        <w:t>administration a par conséquent suggéré que, à la discrétion de l</w:t>
      </w:r>
      <w:r w:rsidR="009C53EC" w:rsidRPr="00A75276">
        <w:rPr>
          <w:lang w:val="fr-FR"/>
        </w:rPr>
        <w:t>’</w:t>
      </w:r>
      <w:r w:rsidR="00420F26" w:rsidRPr="00A75276">
        <w:rPr>
          <w:lang w:val="fr-FR"/>
        </w:rPr>
        <w:t xml:space="preserve">administration proposant la recherche internationale supplémentaire, cette </w:t>
      </w:r>
      <w:r w:rsidR="004838AB" w:rsidRPr="00A75276">
        <w:rPr>
          <w:lang w:val="fr-FR"/>
        </w:rPr>
        <w:t xml:space="preserve">opinion </w:t>
      </w:r>
      <w:r w:rsidR="00420F26" w:rsidRPr="00A75276">
        <w:rPr>
          <w:lang w:val="fr-FR"/>
        </w:rPr>
        <w:t xml:space="preserve">soit considérée comme ayant la même valeur que toute autre </w:t>
      </w:r>
      <w:r w:rsidR="004838AB" w:rsidRPr="00A75276">
        <w:rPr>
          <w:lang w:val="fr-FR"/>
        </w:rPr>
        <w:t xml:space="preserve">opinion </w:t>
      </w:r>
      <w:r w:rsidR="00420F26" w:rsidRPr="00A75276">
        <w:rPr>
          <w:lang w:val="fr-FR"/>
        </w:rPr>
        <w:t>écrite établie en vertu du chapitre</w:t>
      </w:r>
      <w:r w:rsidR="00432F5D" w:rsidRPr="00A75276">
        <w:rPr>
          <w:lang w:val="fr-FR"/>
        </w:rPr>
        <w:t> </w:t>
      </w:r>
      <w:r w:rsidR="00420F26" w:rsidRPr="00A75276">
        <w:rPr>
          <w:lang w:val="fr-FR"/>
        </w:rPr>
        <w:t>I ou du chapitre</w:t>
      </w:r>
      <w:r w:rsidR="00432F5D" w:rsidRPr="00A75276">
        <w:rPr>
          <w:lang w:val="fr-FR"/>
        </w:rPr>
        <w:t> </w:t>
      </w:r>
      <w:r w:rsidR="004838AB" w:rsidRPr="00A75276">
        <w:rPr>
          <w:lang w:val="fr-FR"/>
        </w:rPr>
        <w:t>II.</w:t>
      </w:r>
    </w:p>
    <w:p w:rsidR="00715135" w:rsidRPr="00A75276" w:rsidRDefault="00F35502" w:rsidP="00360B03">
      <w:pPr>
        <w:pStyle w:val="ONUMFS"/>
        <w:rPr>
          <w:lang w:val="fr-FR"/>
        </w:rPr>
      </w:pPr>
      <w:r w:rsidRPr="00A75276">
        <w:rPr>
          <w:lang w:val="fr-FR"/>
        </w:rPr>
        <w:t>Une administration qui ne proposait pas la recherche internationale supplémentaire a déclaré qu</w:t>
      </w:r>
      <w:r w:rsidR="009C53EC" w:rsidRPr="00A75276">
        <w:rPr>
          <w:lang w:val="fr-FR"/>
        </w:rPr>
        <w:t>’</w:t>
      </w:r>
      <w:r w:rsidRPr="00A75276">
        <w:rPr>
          <w:lang w:val="fr-FR"/>
        </w:rPr>
        <w:t>elle suivait l</w:t>
      </w:r>
      <w:r w:rsidR="009C53EC" w:rsidRPr="00A75276">
        <w:rPr>
          <w:lang w:val="fr-FR"/>
        </w:rPr>
        <w:t>’</w:t>
      </w:r>
      <w:r w:rsidRPr="00A75276">
        <w:rPr>
          <w:lang w:val="fr-FR"/>
        </w:rPr>
        <w:t>évolution dans ce domaine et continuait de promouvoir ce service auprès des déposants</w:t>
      </w:r>
      <w:r w:rsidR="004838AB" w:rsidRPr="00A75276">
        <w:rPr>
          <w:lang w:val="fr-FR"/>
        </w:rPr>
        <w:t>.</w:t>
      </w:r>
    </w:p>
    <w:p w:rsidR="00715135" w:rsidRPr="00A75276" w:rsidRDefault="00A526B7" w:rsidP="00360B03">
      <w:pPr>
        <w:pStyle w:val="ONUMFS"/>
        <w:rPr>
          <w:lang w:val="fr-FR"/>
        </w:rPr>
      </w:pPr>
      <w:r w:rsidRPr="00A75276">
        <w:rPr>
          <w:lang w:val="fr-FR"/>
        </w:rPr>
        <w:t>S</w:t>
      </w:r>
      <w:r w:rsidR="009C53EC" w:rsidRPr="00A75276">
        <w:rPr>
          <w:lang w:val="fr-FR"/>
        </w:rPr>
        <w:t>’</w:t>
      </w:r>
      <w:r w:rsidRPr="00A75276">
        <w:rPr>
          <w:lang w:val="fr-FR"/>
        </w:rPr>
        <w:t>agissant des autres améliorations pouvant être apportées à la recherche internationale supplémentaire, une administration a indiqué qu</w:t>
      </w:r>
      <w:r w:rsidR="009C53EC" w:rsidRPr="00A75276">
        <w:rPr>
          <w:lang w:val="fr-FR"/>
        </w:rPr>
        <w:t>’</w:t>
      </w:r>
      <w:r w:rsidRPr="00A75276">
        <w:rPr>
          <w:lang w:val="fr-FR"/>
        </w:rPr>
        <w:t>elle offrait une réduction des taxes à l</w:t>
      </w:r>
      <w:r w:rsidR="009C53EC" w:rsidRPr="00A75276">
        <w:rPr>
          <w:lang w:val="fr-FR"/>
        </w:rPr>
        <w:t>’</w:t>
      </w:r>
      <w:r w:rsidRPr="00A75276">
        <w:rPr>
          <w:lang w:val="fr-FR"/>
        </w:rPr>
        <w:t xml:space="preserve">ouverture de la phase </w:t>
      </w:r>
      <w:r w:rsidR="0007133F" w:rsidRPr="00A75276">
        <w:rPr>
          <w:lang w:val="fr-FR"/>
        </w:rPr>
        <w:t>nationale</w:t>
      </w:r>
      <w:r w:rsidRPr="00A75276">
        <w:rPr>
          <w:lang w:val="fr-FR"/>
        </w:rPr>
        <w:t xml:space="preserve"> pour les demandes sur lesquelles elle avait effectué une recherche </w:t>
      </w:r>
      <w:r w:rsidR="004838AB" w:rsidRPr="00A75276">
        <w:rPr>
          <w:lang w:val="fr-FR"/>
        </w:rPr>
        <w:t>international</w:t>
      </w:r>
      <w:r w:rsidRPr="00A75276">
        <w:rPr>
          <w:lang w:val="fr-FR"/>
        </w:rPr>
        <w:t>e</w:t>
      </w:r>
      <w:r w:rsidR="004838AB" w:rsidRPr="00A75276">
        <w:rPr>
          <w:lang w:val="fr-FR"/>
        </w:rPr>
        <w:t xml:space="preserve"> </w:t>
      </w:r>
      <w:r w:rsidRPr="00A75276">
        <w:rPr>
          <w:lang w:val="fr-FR"/>
        </w:rPr>
        <w:t>supplémentaire et a suggéré que d</w:t>
      </w:r>
      <w:r w:rsidR="009C53EC" w:rsidRPr="00A75276">
        <w:rPr>
          <w:lang w:val="fr-FR"/>
        </w:rPr>
        <w:t>’</w:t>
      </w:r>
      <w:r w:rsidRPr="00A75276">
        <w:rPr>
          <w:lang w:val="fr-FR"/>
        </w:rPr>
        <w:t>autres offices pourraient faire de mê</w:t>
      </w:r>
      <w:r w:rsidR="00A16C85" w:rsidRPr="00A75276">
        <w:rPr>
          <w:lang w:val="fr-FR"/>
        </w:rPr>
        <w:t>me.  Un</w:t>
      </w:r>
      <w:r w:rsidRPr="00A75276">
        <w:rPr>
          <w:lang w:val="fr-FR"/>
        </w:rPr>
        <w:t>e autre administration a estimé que l</w:t>
      </w:r>
      <w:r w:rsidR="009C53EC" w:rsidRPr="00A75276">
        <w:rPr>
          <w:lang w:val="fr-FR"/>
        </w:rPr>
        <w:t>’</w:t>
      </w:r>
      <w:r w:rsidRPr="00A75276">
        <w:rPr>
          <w:lang w:val="fr-FR"/>
        </w:rPr>
        <w:t>utilisation de la recherche internationale supplémentaire pourrait augmenter si ce service était proposé par l</w:t>
      </w:r>
      <w:r w:rsidR="009C53EC" w:rsidRPr="00A75276">
        <w:rPr>
          <w:lang w:val="fr-FR"/>
        </w:rPr>
        <w:t>’</w:t>
      </w:r>
      <w:r w:rsidRPr="00A75276">
        <w:rPr>
          <w:lang w:val="fr-FR"/>
        </w:rPr>
        <w:t>une des principales administrations internationales d</w:t>
      </w:r>
      <w:r w:rsidR="009C53EC" w:rsidRPr="00A75276">
        <w:rPr>
          <w:lang w:val="fr-FR"/>
        </w:rPr>
        <w:t>’</w:t>
      </w:r>
      <w:r w:rsidRPr="00A75276">
        <w:rPr>
          <w:lang w:val="fr-FR"/>
        </w:rPr>
        <w:t>Asie</w:t>
      </w:r>
      <w:r w:rsidR="004838AB" w:rsidRPr="00A75276">
        <w:rPr>
          <w:lang w:val="fr-FR"/>
        </w:rPr>
        <w:t>.</w:t>
      </w:r>
    </w:p>
    <w:p w:rsidR="00715135" w:rsidRPr="00A75276" w:rsidRDefault="00910CD0" w:rsidP="00910CD0">
      <w:pPr>
        <w:pStyle w:val="ONUMFS"/>
        <w:ind w:left="567"/>
        <w:rPr>
          <w:lang w:val="fr-FR"/>
        </w:rPr>
      </w:pPr>
      <w:r w:rsidRPr="00A75276">
        <w:rPr>
          <w:lang w:val="fr-FR"/>
        </w:rPr>
        <w:t>La réunion a pris note du contenu du document PCT/MIA/23/4.</w:t>
      </w:r>
    </w:p>
    <w:p w:rsidR="00715135" w:rsidRPr="00A75276" w:rsidRDefault="006B32A0" w:rsidP="00910CD0">
      <w:pPr>
        <w:pStyle w:val="Heading1"/>
        <w:rPr>
          <w:lang w:val="fr-FR"/>
        </w:rPr>
      </w:pPr>
      <w:r w:rsidRPr="00A75276">
        <w:rPr>
          <w:lang w:val="fr-FR"/>
        </w:rPr>
        <w:t>Point </w:t>
      </w:r>
      <w:r w:rsidR="00910CD0" w:rsidRPr="00A75276">
        <w:rPr>
          <w:lang w:val="fr-FR"/>
        </w:rPr>
        <w:t>14 de l</w:t>
      </w:r>
      <w:r w:rsidR="009C53EC" w:rsidRPr="00A75276">
        <w:rPr>
          <w:lang w:val="fr-FR"/>
        </w:rPr>
        <w:t>’</w:t>
      </w:r>
      <w:r w:rsidR="00910CD0" w:rsidRPr="00A75276">
        <w:rPr>
          <w:lang w:val="fr-FR"/>
        </w:rPr>
        <w:t>ordre du jour</w:t>
      </w:r>
      <w:r w:rsidR="00432F5D" w:rsidRPr="00A75276">
        <w:rPr>
          <w:lang w:val="fr-FR"/>
        </w:rPr>
        <w:t> </w:t>
      </w:r>
      <w:r w:rsidR="00910CD0" w:rsidRPr="00A75276">
        <w:rPr>
          <w:lang w:val="fr-FR"/>
        </w:rPr>
        <w:t>: documentation minimale</w:t>
      </w:r>
      <w:r w:rsidR="002E5DCA" w:rsidRPr="00A75276">
        <w:rPr>
          <w:lang w:val="fr-FR"/>
        </w:rPr>
        <w:t xml:space="preserve"> du PCT</w:t>
      </w:r>
    </w:p>
    <w:p w:rsidR="00715135" w:rsidRPr="00A75276" w:rsidRDefault="00910CD0" w:rsidP="00910CD0">
      <w:pPr>
        <w:pStyle w:val="Heading2"/>
        <w:rPr>
          <w:lang w:val="fr-FR"/>
        </w:rPr>
      </w:pPr>
      <w:r w:rsidRPr="00A75276">
        <w:rPr>
          <w:lang w:val="fr-FR"/>
        </w:rPr>
        <w:t>A)</w:t>
      </w:r>
      <w:r w:rsidRPr="00A75276">
        <w:rPr>
          <w:lang w:val="fr-FR"/>
        </w:rPr>
        <w:tab/>
        <w:t>Définition et étendue de la documentation de brevets</w:t>
      </w:r>
    </w:p>
    <w:p w:rsidR="00715135" w:rsidRPr="00A75276" w:rsidRDefault="00910CD0" w:rsidP="00910CD0">
      <w:pPr>
        <w:pStyle w:val="ONUMFS"/>
        <w:rPr>
          <w:lang w:val="fr-FR"/>
        </w:rPr>
      </w:pPr>
      <w:r w:rsidRPr="00A75276">
        <w:rPr>
          <w:lang w:val="fr-FR"/>
        </w:rPr>
        <w:t>Les délibérations ont eu lieu sur la base du document PCT/MIA/23/5.</w:t>
      </w:r>
    </w:p>
    <w:p w:rsidR="002E5DCA" w:rsidRPr="00A75276" w:rsidRDefault="001A58E3" w:rsidP="00360B03">
      <w:pPr>
        <w:pStyle w:val="ONUMFS"/>
        <w:rPr>
          <w:lang w:val="fr-FR"/>
        </w:rPr>
      </w:pPr>
      <w:r w:rsidRPr="00A75276">
        <w:rPr>
          <w:lang w:val="fr-FR"/>
        </w:rPr>
        <w:t>Toutes les administrations qui ont pris la parole sur ce point se sont félicitées de la réactivation de l</w:t>
      </w:r>
      <w:r w:rsidR="009C53EC" w:rsidRPr="00A75276">
        <w:rPr>
          <w:lang w:val="fr-FR"/>
        </w:rPr>
        <w:t>’</w:t>
      </w:r>
      <w:r w:rsidRPr="00A75276">
        <w:rPr>
          <w:lang w:val="fr-FR"/>
        </w:rPr>
        <w:t>équipe d</w:t>
      </w:r>
      <w:r w:rsidR="009C53EC" w:rsidRPr="00A75276">
        <w:rPr>
          <w:lang w:val="fr-FR"/>
        </w:rPr>
        <w:t>’</w:t>
      </w:r>
      <w:r w:rsidRPr="00A75276">
        <w:rPr>
          <w:lang w:val="fr-FR"/>
        </w:rPr>
        <w:t>experts chargée de la documentation minimale</w:t>
      </w:r>
      <w:r w:rsidR="002E5DCA" w:rsidRPr="00A75276">
        <w:rPr>
          <w:lang w:val="fr-FR"/>
        </w:rPr>
        <w:t xml:space="preserve"> du PCT</w:t>
      </w:r>
      <w:r w:rsidR="004838AB" w:rsidRPr="00A75276">
        <w:rPr>
          <w:lang w:val="fr-FR"/>
        </w:rPr>
        <w:t xml:space="preserve"> </w:t>
      </w:r>
      <w:r w:rsidRPr="00A75276">
        <w:rPr>
          <w:lang w:val="fr-FR"/>
        </w:rPr>
        <w:t>et souligné la nécessité de tenir compte de l</w:t>
      </w:r>
      <w:r w:rsidR="009C53EC" w:rsidRPr="00A75276">
        <w:rPr>
          <w:lang w:val="fr-FR"/>
        </w:rPr>
        <w:t>’</w:t>
      </w:r>
      <w:r w:rsidRPr="00A75276">
        <w:rPr>
          <w:lang w:val="fr-FR"/>
        </w:rPr>
        <w:t>état des technologies numériques dans la recherche électronique</w:t>
      </w:r>
      <w:r w:rsidR="004838AB" w:rsidRPr="00A75276">
        <w:rPr>
          <w:lang w:val="fr-FR"/>
        </w:rPr>
        <w:t>.</w:t>
      </w:r>
    </w:p>
    <w:p w:rsidR="00715135" w:rsidRPr="00A75276" w:rsidRDefault="001A58E3" w:rsidP="00360B03">
      <w:pPr>
        <w:pStyle w:val="ONUMFS"/>
        <w:rPr>
          <w:lang w:val="fr-FR"/>
        </w:rPr>
      </w:pPr>
      <w:r w:rsidRPr="00A75276">
        <w:rPr>
          <w:lang w:val="fr-FR"/>
        </w:rPr>
        <w:t>Certaines administrations ont rendu compte des progrès accomplis dans l</w:t>
      </w:r>
      <w:r w:rsidR="009C53EC" w:rsidRPr="00A75276">
        <w:rPr>
          <w:lang w:val="fr-FR"/>
        </w:rPr>
        <w:t>’</w:t>
      </w:r>
      <w:r w:rsidRPr="00A75276">
        <w:rPr>
          <w:lang w:val="fr-FR"/>
        </w:rPr>
        <w:t xml:space="preserve">établissement de leur propre </w:t>
      </w:r>
      <w:r w:rsidR="00E874A5" w:rsidRPr="00A75276">
        <w:rPr>
          <w:lang w:val="fr-FR"/>
        </w:rPr>
        <w:t>“</w:t>
      </w:r>
      <w:r w:rsidRPr="00A75276">
        <w:rPr>
          <w:lang w:val="fr-FR"/>
        </w:rPr>
        <w:t>fichier d</w:t>
      </w:r>
      <w:r w:rsidR="009C53EC" w:rsidRPr="00A75276">
        <w:rPr>
          <w:lang w:val="fr-FR"/>
        </w:rPr>
        <w:t>’</w:t>
      </w:r>
      <w:r w:rsidRPr="00A75276">
        <w:rPr>
          <w:lang w:val="fr-FR"/>
        </w:rPr>
        <w:t>autorité</w:t>
      </w:r>
      <w:r w:rsidR="00E874A5" w:rsidRPr="00A75276">
        <w:rPr>
          <w:lang w:val="fr-FR"/>
        </w:rPr>
        <w:t>”</w:t>
      </w:r>
      <w:r w:rsidR="004838AB" w:rsidRPr="00A75276">
        <w:rPr>
          <w:lang w:val="fr-FR"/>
        </w:rPr>
        <w:t xml:space="preserve">, </w:t>
      </w:r>
      <w:r w:rsidRPr="00A75276">
        <w:rPr>
          <w:lang w:val="fr-FR"/>
        </w:rPr>
        <w:t>semblable à celui élaboré pour les offices de l</w:t>
      </w:r>
      <w:r w:rsidR="009C53EC" w:rsidRPr="00A75276">
        <w:rPr>
          <w:lang w:val="fr-FR"/>
        </w:rPr>
        <w:t>’</w:t>
      </w:r>
      <w:r w:rsidR="004838AB" w:rsidRPr="00A75276">
        <w:rPr>
          <w:lang w:val="fr-FR"/>
        </w:rPr>
        <w:t>IP5.</w:t>
      </w:r>
    </w:p>
    <w:p w:rsidR="00715135" w:rsidRPr="00A75276" w:rsidRDefault="00DE79A8" w:rsidP="00360B03">
      <w:pPr>
        <w:pStyle w:val="ONUMFS"/>
        <w:rPr>
          <w:lang w:val="fr-FR"/>
        </w:rPr>
      </w:pPr>
      <w:bookmarkStart w:id="5" w:name="_Ref441168216"/>
      <w:r w:rsidRPr="00A75276">
        <w:rPr>
          <w:lang w:val="fr-FR"/>
        </w:rPr>
        <w:t>L</w:t>
      </w:r>
      <w:r w:rsidR="009C53EC" w:rsidRPr="00A75276">
        <w:rPr>
          <w:lang w:val="fr-FR"/>
        </w:rPr>
        <w:t>’</w:t>
      </w:r>
      <w:r w:rsidR="004838AB" w:rsidRPr="00A75276">
        <w:rPr>
          <w:lang w:val="fr-FR"/>
        </w:rPr>
        <w:t xml:space="preserve">Office </w:t>
      </w:r>
      <w:r w:rsidRPr="00A75276">
        <w:rPr>
          <w:lang w:val="fr-FR"/>
        </w:rPr>
        <w:t>de la propriété intellectuelle du Canada a proposé que toutes les administrations internationales fournissent une liste de l</w:t>
      </w:r>
      <w:r w:rsidR="009C53EC" w:rsidRPr="00A75276">
        <w:rPr>
          <w:lang w:val="fr-FR"/>
        </w:rPr>
        <w:t>’</w:t>
      </w:r>
      <w:r w:rsidRPr="00A75276">
        <w:rPr>
          <w:lang w:val="fr-FR"/>
        </w:rPr>
        <w:t>ensemble des bases de données auxquelles elles avaient accès aux fins de la recherche sur les demandes de brevet</w:t>
      </w:r>
      <w:r w:rsidR="004838AB" w:rsidRPr="00A75276">
        <w:rPr>
          <w:lang w:val="fr-FR"/>
        </w:rPr>
        <w:t>.</w:t>
      </w:r>
      <w:bookmarkEnd w:id="5"/>
    </w:p>
    <w:p w:rsidR="002E5DCA" w:rsidRPr="00A75276" w:rsidRDefault="00DE79A8" w:rsidP="00A9298C">
      <w:pPr>
        <w:pStyle w:val="ONUMFS"/>
        <w:ind w:left="567"/>
        <w:rPr>
          <w:lang w:val="fr-FR"/>
        </w:rPr>
      </w:pPr>
      <w:r w:rsidRPr="00A75276">
        <w:rPr>
          <w:lang w:val="fr-FR"/>
        </w:rPr>
        <w:t>La réunion a décidé que l</w:t>
      </w:r>
      <w:r w:rsidR="009C53EC" w:rsidRPr="00A75276">
        <w:rPr>
          <w:lang w:val="fr-FR"/>
        </w:rPr>
        <w:t>’</w:t>
      </w:r>
      <w:r w:rsidRPr="00A75276">
        <w:rPr>
          <w:lang w:val="fr-FR"/>
        </w:rPr>
        <w:t>équipe d</w:t>
      </w:r>
      <w:r w:rsidR="009C53EC" w:rsidRPr="00A75276">
        <w:rPr>
          <w:lang w:val="fr-FR"/>
        </w:rPr>
        <w:t>’</w:t>
      </w:r>
      <w:r w:rsidRPr="00A75276">
        <w:rPr>
          <w:lang w:val="fr-FR"/>
        </w:rPr>
        <w:t xml:space="preserve">experts chargée de la </w:t>
      </w:r>
      <w:r w:rsidR="004D25E1" w:rsidRPr="00A75276">
        <w:rPr>
          <w:lang w:val="fr-FR"/>
        </w:rPr>
        <w:t>documentation</w:t>
      </w:r>
      <w:r w:rsidRPr="00A75276">
        <w:rPr>
          <w:lang w:val="fr-FR"/>
        </w:rPr>
        <w:t xml:space="preserve"> minimale</w:t>
      </w:r>
      <w:r w:rsidR="002E5DCA" w:rsidRPr="00A75276">
        <w:rPr>
          <w:lang w:val="fr-FR"/>
        </w:rPr>
        <w:t xml:space="preserve"> du PCT</w:t>
      </w:r>
      <w:r w:rsidR="004838AB" w:rsidRPr="00A75276">
        <w:rPr>
          <w:lang w:val="fr-FR"/>
        </w:rPr>
        <w:t xml:space="preserve"> </w:t>
      </w:r>
      <w:r w:rsidRPr="00A75276">
        <w:rPr>
          <w:lang w:val="fr-FR"/>
        </w:rPr>
        <w:t>devrait</w:t>
      </w:r>
    </w:p>
    <w:p w:rsidR="002E5DCA" w:rsidRPr="00A75276" w:rsidRDefault="00DE79A8" w:rsidP="00A9298C">
      <w:pPr>
        <w:pStyle w:val="ONUMFS"/>
        <w:numPr>
          <w:ilvl w:val="1"/>
          <w:numId w:val="6"/>
        </w:numPr>
        <w:ind w:left="1134"/>
        <w:rPr>
          <w:lang w:val="fr-FR"/>
        </w:rPr>
      </w:pPr>
      <w:r w:rsidRPr="00A75276">
        <w:rPr>
          <w:lang w:val="fr-FR"/>
        </w:rPr>
        <w:t xml:space="preserve">approfondir les </w:t>
      </w:r>
      <w:r w:rsidR="004838AB" w:rsidRPr="00A75276">
        <w:rPr>
          <w:lang w:val="fr-FR"/>
        </w:rPr>
        <w:t xml:space="preserve">discussions </w:t>
      </w:r>
      <w:r w:rsidRPr="00A75276">
        <w:rPr>
          <w:lang w:val="fr-FR"/>
        </w:rPr>
        <w:t>sur les questions dont elle avait déjà été saisie, et</w:t>
      </w:r>
    </w:p>
    <w:p w:rsidR="00715135" w:rsidRPr="00A75276" w:rsidRDefault="00DE79A8" w:rsidP="00A9298C">
      <w:pPr>
        <w:pStyle w:val="ONUMFS"/>
        <w:numPr>
          <w:ilvl w:val="1"/>
          <w:numId w:val="6"/>
        </w:numPr>
        <w:ind w:left="1134"/>
        <w:rPr>
          <w:lang w:val="fr-FR"/>
        </w:rPr>
      </w:pPr>
      <w:r w:rsidRPr="00A75276">
        <w:rPr>
          <w:lang w:val="fr-FR"/>
        </w:rPr>
        <w:lastRenderedPageBreak/>
        <w:t>poursuivre l</w:t>
      </w:r>
      <w:r w:rsidR="009C53EC" w:rsidRPr="00A75276">
        <w:rPr>
          <w:lang w:val="fr-FR"/>
        </w:rPr>
        <w:t>’</w:t>
      </w:r>
      <w:r w:rsidRPr="00A75276">
        <w:rPr>
          <w:lang w:val="fr-FR"/>
        </w:rPr>
        <w:t>examen de la proposition de l</w:t>
      </w:r>
      <w:r w:rsidR="009C53EC" w:rsidRPr="00A75276">
        <w:rPr>
          <w:lang w:val="fr-FR"/>
        </w:rPr>
        <w:t>’</w:t>
      </w:r>
      <w:r w:rsidRPr="00A75276">
        <w:rPr>
          <w:lang w:val="fr-FR"/>
        </w:rPr>
        <w:t>Office de la propriété intellectuelle du Canada dont il est question au paragraphe 62 ci</w:t>
      </w:r>
      <w:r w:rsidR="00A16C85" w:rsidRPr="00A75276">
        <w:rPr>
          <w:lang w:val="fr-FR"/>
        </w:rPr>
        <w:noBreakHyphen/>
      </w:r>
      <w:r w:rsidRPr="00A75276">
        <w:rPr>
          <w:lang w:val="fr-FR"/>
        </w:rPr>
        <w:t>dessus</w:t>
      </w:r>
      <w:r w:rsidR="004838AB" w:rsidRPr="00A75276">
        <w:rPr>
          <w:lang w:val="fr-FR"/>
        </w:rPr>
        <w:t>.</w:t>
      </w:r>
    </w:p>
    <w:p w:rsidR="00715135" w:rsidRPr="00A75276" w:rsidRDefault="00910CD0" w:rsidP="00910CD0">
      <w:pPr>
        <w:pStyle w:val="Heading2"/>
        <w:rPr>
          <w:lang w:val="fr-FR"/>
        </w:rPr>
      </w:pPr>
      <w:r w:rsidRPr="00A75276">
        <w:rPr>
          <w:lang w:val="fr-FR"/>
        </w:rPr>
        <w:t>B)</w:t>
      </w:r>
      <w:r w:rsidRPr="00A75276">
        <w:rPr>
          <w:lang w:val="fr-FR"/>
        </w:rPr>
        <w:tab/>
        <w:t>Ajout de la bibliothèque numérique des savoirs traditionnels</w:t>
      </w:r>
      <w:r w:rsidR="007B783B" w:rsidRPr="00A75276">
        <w:rPr>
          <w:lang w:val="fr-FR"/>
        </w:rPr>
        <w:t xml:space="preserve"> de l</w:t>
      </w:r>
      <w:r w:rsidR="009C53EC" w:rsidRPr="00A75276">
        <w:rPr>
          <w:lang w:val="fr-FR"/>
        </w:rPr>
        <w:t>’</w:t>
      </w:r>
      <w:r w:rsidRPr="00A75276">
        <w:rPr>
          <w:lang w:val="fr-FR"/>
        </w:rPr>
        <w:t>Inde</w:t>
      </w:r>
    </w:p>
    <w:p w:rsidR="00715135" w:rsidRPr="00A75276" w:rsidRDefault="00DE79A8" w:rsidP="00360B03">
      <w:pPr>
        <w:pStyle w:val="ONUMFS"/>
        <w:rPr>
          <w:lang w:val="fr-FR"/>
        </w:rPr>
      </w:pPr>
      <w:r w:rsidRPr="00A75276">
        <w:rPr>
          <w:lang w:val="fr-FR"/>
        </w:rPr>
        <w:t>Les délibérations ont eu lieu sur la base du</w:t>
      </w:r>
      <w:r w:rsidR="004838AB" w:rsidRPr="00A75276">
        <w:rPr>
          <w:lang w:val="fr-FR"/>
        </w:rPr>
        <w:t xml:space="preserve"> document PCT/MIA/23/10 </w:t>
      </w:r>
      <w:r w:rsidRPr="00A75276">
        <w:rPr>
          <w:lang w:val="fr-FR"/>
        </w:rPr>
        <w:t>et un exposé a été présenté par l</w:t>
      </w:r>
      <w:r w:rsidR="009C53EC" w:rsidRPr="00A75276">
        <w:rPr>
          <w:lang w:val="fr-FR"/>
        </w:rPr>
        <w:t>’</w:t>
      </w:r>
      <w:r w:rsidRPr="00A75276">
        <w:rPr>
          <w:lang w:val="fr-FR"/>
        </w:rPr>
        <w:t xml:space="preserve">Office indien des brevets comme indiqué aux </w:t>
      </w:r>
      <w:r w:rsidR="004838AB" w:rsidRPr="00A75276">
        <w:rPr>
          <w:lang w:val="fr-FR"/>
        </w:rPr>
        <w:t>paragraph</w:t>
      </w:r>
      <w:r w:rsidRPr="00A75276">
        <w:rPr>
          <w:lang w:val="fr-FR"/>
        </w:rPr>
        <w:t>e</w:t>
      </w:r>
      <w:r w:rsidR="004838AB" w:rsidRPr="00A75276">
        <w:rPr>
          <w:lang w:val="fr-FR"/>
        </w:rPr>
        <w:t>s</w:t>
      </w:r>
      <w:r w:rsidR="00432F5D" w:rsidRPr="00A75276">
        <w:rPr>
          <w:lang w:val="fr-FR"/>
        </w:rPr>
        <w:t> </w:t>
      </w:r>
      <w:r w:rsidR="004838AB" w:rsidRPr="00A75276">
        <w:rPr>
          <w:lang w:val="fr-FR"/>
        </w:rPr>
        <w:t xml:space="preserve">65 </w:t>
      </w:r>
      <w:r w:rsidRPr="00A75276">
        <w:rPr>
          <w:lang w:val="fr-FR"/>
        </w:rPr>
        <w:t xml:space="preserve">à </w:t>
      </w:r>
      <w:r w:rsidR="004838AB" w:rsidRPr="00A75276">
        <w:rPr>
          <w:lang w:val="fr-FR"/>
        </w:rPr>
        <w:t>71.</w:t>
      </w:r>
    </w:p>
    <w:p w:rsidR="00715135" w:rsidRPr="00A75276" w:rsidRDefault="00CA2C91" w:rsidP="00CA2C91">
      <w:pPr>
        <w:pStyle w:val="ONUMFS"/>
        <w:rPr>
          <w:lang w:val="fr-FR"/>
        </w:rPr>
      </w:pPr>
      <w:r w:rsidRPr="00A75276">
        <w:rPr>
          <w:lang w:val="fr-FR"/>
        </w:rPr>
        <w:t>L</w:t>
      </w:r>
      <w:r w:rsidR="009C53EC" w:rsidRPr="00A75276">
        <w:rPr>
          <w:lang w:val="fr-FR"/>
        </w:rPr>
        <w:t>’</w:t>
      </w:r>
      <w:r w:rsidR="004838AB" w:rsidRPr="00A75276">
        <w:rPr>
          <w:lang w:val="fr-FR"/>
        </w:rPr>
        <w:t xml:space="preserve">Office </w:t>
      </w:r>
      <w:r w:rsidRPr="00A75276">
        <w:rPr>
          <w:lang w:val="fr-FR"/>
        </w:rPr>
        <w:t xml:space="preserve">indien des brevets a rappelé les </w:t>
      </w:r>
      <w:r w:rsidR="004838AB" w:rsidRPr="00A75276">
        <w:rPr>
          <w:lang w:val="fr-FR"/>
        </w:rPr>
        <w:t xml:space="preserve">discussions </w:t>
      </w:r>
      <w:r w:rsidRPr="00A75276">
        <w:rPr>
          <w:lang w:val="fr-FR"/>
        </w:rPr>
        <w:t>tenues à la réunion de</w:t>
      </w:r>
      <w:r w:rsidR="00432F5D" w:rsidRPr="00A75276">
        <w:rPr>
          <w:lang w:val="fr-FR"/>
        </w:rPr>
        <w:t> </w:t>
      </w:r>
      <w:r w:rsidR="004838AB" w:rsidRPr="00A75276">
        <w:rPr>
          <w:lang w:val="fr-FR"/>
        </w:rPr>
        <w:t xml:space="preserve">2015, </w:t>
      </w:r>
      <w:r w:rsidRPr="00A75276">
        <w:rPr>
          <w:lang w:val="fr-FR"/>
        </w:rPr>
        <w:t xml:space="preserve">durant laquelle des préoccupations avaient été soulevées concernant </w:t>
      </w:r>
      <w:r w:rsidR="004838AB" w:rsidRPr="00A75276">
        <w:rPr>
          <w:lang w:val="fr-FR"/>
        </w:rPr>
        <w:t>certain</w:t>
      </w:r>
      <w:r w:rsidRPr="00A75276">
        <w:rPr>
          <w:lang w:val="fr-FR"/>
        </w:rPr>
        <w:t>es</w:t>
      </w:r>
      <w:r w:rsidR="004838AB" w:rsidRPr="00A75276">
        <w:rPr>
          <w:lang w:val="fr-FR"/>
        </w:rPr>
        <w:t xml:space="preserve"> </w:t>
      </w:r>
      <w:r w:rsidRPr="00A75276">
        <w:rPr>
          <w:lang w:val="fr-FR"/>
        </w:rPr>
        <w:t>dispositions du projet d</w:t>
      </w:r>
      <w:r w:rsidR="009C53EC" w:rsidRPr="00A75276">
        <w:rPr>
          <w:lang w:val="fr-FR"/>
        </w:rPr>
        <w:t>’</w:t>
      </w:r>
      <w:r w:rsidRPr="00A75276">
        <w:rPr>
          <w:lang w:val="fr-FR"/>
        </w:rPr>
        <w:t>accord d</w:t>
      </w:r>
      <w:r w:rsidR="009C53EC" w:rsidRPr="00A75276">
        <w:rPr>
          <w:lang w:val="fr-FR"/>
        </w:rPr>
        <w:t>’</w:t>
      </w:r>
      <w:r w:rsidRPr="00A75276">
        <w:rPr>
          <w:lang w:val="fr-FR"/>
        </w:rPr>
        <w:t>accès, en particulier celles concernant les exigences de confidentialité et de non</w:t>
      </w:r>
      <w:r w:rsidR="00A16C85" w:rsidRPr="00A75276">
        <w:rPr>
          <w:lang w:val="fr-FR"/>
        </w:rPr>
        <w:noBreakHyphen/>
      </w:r>
      <w:r w:rsidRPr="00A75276">
        <w:rPr>
          <w:lang w:val="fr-FR"/>
        </w:rPr>
        <w:t>divulgation, la nécessité d</w:t>
      </w:r>
      <w:r w:rsidR="009C53EC" w:rsidRPr="00A75276">
        <w:rPr>
          <w:lang w:val="fr-FR"/>
        </w:rPr>
        <w:t>’</w:t>
      </w:r>
      <w:r w:rsidRPr="00A75276">
        <w:rPr>
          <w:lang w:val="fr-FR"/>
        </w:rPr>
        <w:t>exercer un suivi et de produire des rapports statistiques sur l</w:t>
      </w:r>
      <w:r w:rsidR="009C53EC" w:rsidRPr="00A75276">
        <w:rPr>
          <w:lang w:val="fr-FR"/>
        </w:rPr>
        <w:t>’</w:t>
      </w:r>
      <w:r w:rsidRPr="00A75276">
        <w:rPr>
          <w:lang w:val="fr-FR"/>
        </w:rPr>
        <w:t>utilisation des citations émanant de bibliothèque des savoirs traditionnels, les dispositions proposées en matière de résiliation et les répercussions qu</w:t>
      </w:r>
      <w:r w:rsidR="009C53EC" w:rsidRPr="00A75276">
        <w:rPr>
          <w:lang w:val="fr-FR"/>
        </w:rPr>
        <w:t>’</w:t>
      </w:r>
      <w:r w:rsidRPr="00A75276">
        <w:rPr>
          <w:lang w:val="fr-FR"/>
        </w:rPr>
        <w:t>aurait pour une administration chargée de la recherche internationale la perte de l</w:t>
      </w:r>
      <w:r w:rsidR="009C53EC" w:rsidRPr="00A75276">
        <w:rPr>
          <w:lang w:val="fr-FR"/>
        </w:rPr>
        <w:t>’</w:t>
      </w:r>
      <w:r w:rsidRPr="00A75276">
        <w:rPr>
          <w:lang w:val="fr-FR"/>
        </w:rPr>
        <w:t>accès à l</w:t>
      </w:r>
      <w:r w:rsidR="009C53EC" w:rsidRPr="00A75276">
        <w:rPr>
          <w:lang w:val="fr-FR"/>
        </w:rPr>
        <w:t>’</w:t>
      </w:r>
      <w:r w:rsidRPr="00A75276">
        <w:rPr>
          <w:lang w:val="fr-FR"/>
        </w:rPr>
        <w:t>ensemble de la documentation minimale du PCT en cas de résiliation de l</w:t>
      </w:r>
      <w:r w:rsidR="009C53EC" w:rsidRPr="00A75276">
        <w:rPr>
          <w:lang w:val="fr-FR"/>
        </w:rPr>
        <w:t>’</w:t>
      </w:r>
      <w:r w:rsidRPr="00A75276">
        <w:rPr>
          <w:lang w:val="fr-FR"/>
        </w:rPr>
        <w:t>accord d</w:t>
      </w:r>
      <w:r w:rsidR="009C53EC" w:rsidRPr="00A75276">
        <w:rPr>
          <w:lang w:val="fr-FR"/>
        </w:rPr>
        <w:t>’</w:t>
      </w:r>
      <w:r w:rsidRPr="00A75276">
        <w:rPr>
          <w:lang w:val="fr-FR"/>
        </w:rPr>
        <w:t>accès en application des dispositions pertinentes du projet d</w:t>
      </w:r>
      <w:r w:rsidR="009C53EC" w:rsidRPr="00A75276">
        <w:rPr>
          <w:lang w:val="fr-FR"/>
        </w:rPr>
        <w:t>’</w:t>
      </w:r>
      <w:r w:rsidRPr="00A75276">
        <w:rPr>
          <w:lang w:val="fr-FR"/>
        </w:rPr>
        <w:t>accord</w:t>
      </w:r>
      <w:r w:rsidR="004838AB" w:rsidRPr="00A75276">
        <w:rPr>
          <w:lang w:val="fr-FR"/>
        </w:rPr>
        <w:t>.</w:t>
      </w:r>
    </w:p>
    <w:p w:rsidR="00715135" w:rsidRPr="00A75276" w:rsidRDefault="00CA2C91" w:rsidP="00360B03">
      <w:pPr>
        <w:pStyle w:val="ONUMFS"/>
        <w:rPr>
          <w:lang w:val="fr-FR"/>
        </w:rPr>
      </w:pPr>
      <w:r w:rsidRPr="00A75276">
        <w:rPr>
          <w:lang w:val="fr-FR"/>
        </w:rPr>
        <w:t>S</w:t>
      </w:r>
      <w:r w:rsidR="009C53EC" w:rsidRPr="00A75276">
        <w:rPr>
          <w:lang w:val="fr-FR"/>
        </w:rPr>
        <w:t>’</w:t>
      </w:r>
      <w:r w:rsidRPr="00A75276">
        <w:rPr>
          <w:lang w:val="fr-FR"/>
        </w:rPr>
        <w:t>agissant de la nécessité d</w:t>
      </w:r>
      <w:r w:rsidR="009C53EC" w:rsidRPr="00A75276">
        <w:rPr>
          <w:lang w:val="fr-FR"/>
        </w:rPr>
        <w:t>’</w:t>
      </w:r>
      <w:r w:rsidRPr="00A75276">
        <w:rPr>
          <w:lang w:val="fr-FR"/>
        </w:rPr>
        <w:t>exercer un suivi et de produire des rapports statistiques, à la réflexion</w:t>
      </w:r>
      <w:r w:rsidR="00A66E28" w:rsidRPr="00A75276">
        <w:rPr>
          <w:lang w:val="fr-FR"/>
        </w:rPr>
        <w:t>,</w:t>
      </w:r>
      <w:r w:rsidRPr="00A75276">
        <w:rPr>
          <w:lang w:val="fr-FR"/>
        </w:rPr>
        <w:t xml:space="preserve"> l</w:t>
      </w:r>
      <w:r w:rsidR="009C53EC" w:rsidRPr="00A75276">
        <w:rPr>
          <w:lang w:val="fr-FR"/>
        </w:rPr>
        <w:t>’</w:t>
      </w:r>
      <w:r w:rsidRPr="00A75276">
        <w:rPr>
          <w:lang w:val="fr-FR"/>
        </w:rPr>
        <w:t>Office indien des brevets ne souhaitait plus maintenir ces exigences et modifierait le projet d</w:t>
      </w:r>
      <w:r w:rsidR="009C53EC" w:rsidRPr="00A75276">
        <w:rPr>
          <w:lang w:val="fr-FR"/>
        </w:rPr>
        <w:t>’</w:t>
      </w:r>
      <w:r w:rsidRPr="00A75276">
        <w:rPr>
          <w:lang w:val="fr-FR"/>
        </w:rPr>
        <w:t>accord d</w:t>
      </w:r>
      <w:r w:rsidR="009C53EC" w:rsidRPr="00A75276">
        <w:rPr>
          <w:lang w:val="fr-FR"/>
        </w:rPr>
        <w:t>’</w:t>
      </w:r>
      <w:r w:rsidRPr="00A75276">
        <w:rPr>
          <w:lang w:val="fr-FR"/>
        </w:rPr>
        <w:t>accès en conséquence</w:t>
      </w:r>
      <w:r w:rsidR="004838AB" w:rsidRPr="00A75276">
        <w:rPr>
          <w:lang w:val="fr-FR"/>
        </w:rPr>
        <w:t>.</w:t>
      </w:r>
    </w:p>
    <w:p w:rsidR="002E5DCA" w:rsidRPr="00A75276" w:rsidRDefault="00CA2C91" w:rsidP="00360B03">
      <w:pPr>
        <w:pStyle w:val="ONUMFS"/>
        <w:rPr>
          <w:lang w:val="fr-FR"/>
        </w:rPr>
      </w:pPr>
      <w:r w:rsidRPr="00A75276">
        <w:rPr>
          <w:lang w:val="fr-FR"/>
        </w:rPr>
        <w:t>Concernant les dispositions proposées en matière de résiliation et les répercussions qu</w:t>
      </w:r>
      <w:r w:rsidR="009C53EC" w:rsidRPr="00A75276">
        <w:rPr>
          <w:lang w:val="fr-FR"/>
        </w:rPr>
        <w:t>’</w:t>
      </w:r>
      <w:r w:rsidRPr="00A75276">
        <w:rPr>
          <w:lang w:val="fr-FR"/>
        </w:rPr>
        <w:t>aurait pour une administration chargée de la recherche internationale la perte de l</w:t>
      </w:r>
      <w:r w:rsidR="009C53EC" w:rsidRPr="00A75276">
        <w:rPr>
          <w:lang w:val="fr-FR"/>
        </w:rPr>
        <w:t>’</w:t>
      </w:r>
      <w:r w:rsidRPr="00A75276">
        <w:rPr>
          <w:lang w:val="fr-FR"/>
        </w:rPr>
        <w:t>accès à l</w:t>
      </w:r>
      <w:r w:rsidR="009C53EC" w:rsidRPr="00A75276">
        <w:rPr>
          <w:lang w:val="fr-FR"/>
        </w:rPr>
        <w:t>’</w:t>
      </w:r>
      <w:r w:rsidRPr="00A75276">
        <w:rPr>
          <w:lang w:val="fr-FR"/>
        </w:rPr>
        <w:t>ensemble de la documentation minimale du PCT en cas de résiliation de l</w:t>
      </w:r>
      <w:r w:rsidR="009C53EC" w:rsidRPr="00A75276">
        <w:rPr>
          <w:lang w:val="fr-FR"/>
        </w:rPr>
        <w:t>’</w:t>
      </w:r>
      <w:r w:rsidRPr="00A75276">
        <w:rPr>
          <w:lang w:val="fr-FR"/>
        </w:rPr>
        <w:t>accord d</w:t>
      </w:r>
      <w:r w:rsidR="009C53EC" w:rsidRPr="00A75276">
        <w:rPr>
          <w:lang w:val="fr-FR"/>
        </w:rPr>
        <w:t>’</w:t>
      </w:r>
      <w:r w:rsidRPr="00A75276">
        <w:rPr>
          <w:lang w:val="fr-FR"/>
        </w:rPr>
        <w:t>accès en application des dispositions pertinentes du projet d</w:t>
      </w:r>
      <w:r w:rsidR="009C53EC" w:rsidRPr="00A75276">
        <w:rPr>
          <w:lang w:val="fr-FR"/>
        </w:rPr>
        <w:t>’</w:t>
      </w:r>
      <w:r w:rsidRPr="00A75276">
        <w:rPr>
          <w:lang w:val="fr-FR"/>
        </w:rPr>
        <w:t>accord</w:t>
      </w:r>
      <w:r w:rsidR="004838AB" w:rsidRPr="00A75276">
        <w:rPr>
          <w:lang w:val="fr-FR"/>
        </w:rPr>
        <w:t xml:space="preserve">, </w:t>
      </w:r>
      <w:r w:rsidRPr="00A75276">
        <w:rPr>
          <w:lang w:val="fr-FR"/>
        </w:rPr>
        <w:t>l</w:t>
      </w:r>
      <w:r w:rsidR="009C53EC" w:rsidRPr="00A75276">
        <w:rPr>
          <w:lang w:val="fr-FR"/>
        </w:rPr>
        <w:t>’</w:t>
      </w:r>
      <w:r w:rsidRPr="00A75276">
        <w:rPr>
          <w:lang w:val="fr-FR"/>
        </w:rPr>
        <w:t>Office indien des brevets a estimé que ces dispositions et répercussions étaient semblables, si ce n</w:t>
      </w:r>
      <w:r w:rsidR="009C53EC" w:rsidRPr="00A75276">
        <w:rPr>
          <w:lang w:val="fr-FR"/>
        </w:rPr>
        <w:t>’</w:t>
      </w:r>
      <w:r w:rsidRPr="00A75276">
        <w:rPr>
          <w:lang w:val="fr-FR"/>
        </w:rPr>
        <w:t xml:space="preserve">est identiques, à celles appliquées </w:t>
      </w:r>
      <w:r w:rsidR="009C53EC" w:rsidRPr="00A75276">
        <w:rPr>
          <w:lang w:val="fr-FR"/>
        </w:rPr>
        <w:t>à l’égard</w:t>
      </w:r>
      <w:r w:rsidRPr="00A75276">
        <w:rPr>
          <w:lang w:val="fr-FR"/>
        </w:rPr>
        <w:t xml:space="preserve"> de la littérature non</w:t>
      </w:r>
      <w:r w:rsidR="00A16C85" w:rsidRPr="00A75276">
        <w:rPr>
          <w:lang w:val="fr-FR"/>
        </w:rPr>
        <w:noBreakHyphen/>
      </w:r>
      <w:r w:rsidRPr="00A75276">
        <w:rPr>
          <w:lang w:val="fr-FR"/>
        </w:rPr>
        <w:t>brevet lorsqu</w:t>
      </w:r>
      <w:r w:rsidR="009C53EC" w:rsidRPr="00A75276">
        <w:rPr>
          <w:lang w:val="fr-FR"/>
        </w:rPr>
        <w:t>’</w:t>
      </w:r>
      <w:r w:rsidRPr="00A75276">
        <w:rPr>
          <w:lang w:val="fr-FR"/>
        </w:rPr>
        <w:t>une administration perdait l</w:t>
      </w:r>
      <w:r w:rsidR="009C53EC" w:rsidRPr="00A75276">
        <w:rPr>
          <w:lang w:val="fr-FR"/>
        </w:rPr>
        <w:t>’</w:t>
      </w:r>
      <w:r w:rsidRPr="00A75276">
        <w:rPr>
          <w:lang w:val="fr-FR"/>
        </w:rPr>
        <w:t>accès à cette littérature, par exemple en cas de non</w:t>
      </w:r>
      <w:r w:rsidR="00A16C85" w:rsidRPr="00A75276">
        <w:rPr>
          <w:lang w:val="fr-FR"/>
        </w:rPr>
        <w:noBreakHyphen/>
      </w:r>
      <w:r w:rsidRPr="00A75276">
        <w:rPr>
          <w:lang w:val="fr-FR"/>
        </w:rPr>
        <w:t>paiement des frais d</w:t>
      </w:r>
      <w:r w:rsidR="009C53EC" w:rsidRPr="00A75276">
        <w:rPr>
          <w:lang w:val="fr-FR"/>
        </w:rPr>
        <w:t>’</w:t>
      </w:r>
      <w:r w:rsidRPr="00A75276">
        <w:rPr>
          <w:lang w:val="fr-FR"/>
        </w:rPr>
        <w:t>abonneme</w:t>
      </w:r>
      <w:r w:rsidR="00A16C85" w:rsidRPr="00A75276">
        <w:rPr>
          <w:lang w:val="fr-FR"/>
        </w:rPr>
        <w:t>nt.  De</w:t>
      </w:r>
      <w:r w:rsidR="00250318" w:rsidRPr="00A75276">
        <w:rPr>
          <w:lang w:val="fr-FR"/>
        </w:rPr>
        <w:t xml:space="preserve"> l</w:t>
      </w:r>
      <w:r w:rsidR="009C53EC" w:rsidRPr="00A75276">
        <w:rPr>
          <w:lang w:val="fr-FR"/>
        </w:rPr>
        <w:t>’</w:t>
      </w:r>
      <w:r w:rsidR="00250318" w:rsidRPr="00A75276">
        <w:rPr>
          <w:lang w:val="fr-FR"/>
        </w:rPr>
        <w:t>avis de l</w:t>
      </w:r>
      <w:r w:rsidR="009C53EC" w:rsidRPr="00A75276">
        <w:rPr>
          <w:lang w:val="fr-FR"/>
        </w:rPr>
        <w:t>’</w:t>
      </w:r>
      <w:r w:rsidR="00250318" w:rsidRPr="00A75276">
        <w:rPr>
          <w:lang w:val="fr-FR"/>
        </w:rPr>
        <w:t>office</w:t>
      </w:r>
      <w:r w:rsidR="004838AB" w:rsidRPr="00A75276">
        <w:rPr>
          <w:lang w:val="fr-FR"/>
        </w:rPr>
        <w:t xml:space="preserve">, </w:t>
      </w:r>
      <w:r w:rsidR="00250318" w:rsidRPr="00A75276">
        <w:rPr>
          <w:lang w:val="fr-FR"/>
        </w:rPr>
        <w:t xml:space="preserve">les accords avec les éditeurs prévoyaient des clauses de résiliation en vertu desquelles chacune des parties pouvait </w:t>
      </w:r>
      <w:r w:rsidR="00AB0D34" w:rsidRPr="00A75276">
        <w:rPr>
          <w:lang w:val="fr-FR"/>
        </w:rPr>
        <w:t>notifier à l</w:t>
      </w:r>
      <w:r w:rsidR="009C53EC" w:rsidRPr="00A75276">
        <w:rPr>
          <w:lang w:val="fr-FR"/>
        </w:rPr>
        <w:t>’</w:t>
      </w:r>
      <w:r w:rsidR="00AB0D34" w:rsidRPr="00A75276">
        <w:rPr>
          <w:lang w:val="fr-FR"/>
        </w:rPr>
        <w:t>autre, sous réserve de préavis, son intention de résilier l</w:t>
      </w:r>
      <w:r w:rsidR="009C53EC" w:rsidRPr="00A75276">
        <w:rPr>
          <w:lang w:val="fr-FR"/>
        </w:rPr>
        <w:t>’</w:t>
      </w:r>
      <w:r w:rsidR="00AB0D34" w:rsidRPr="00A75276">
        <w:rPr>
          <w:lang w:val="fr-FR"/>
        </w:rPr>
        <w:t>accès</w:t>
      </w:r>
      <w:r w:rsidR="004838AB" w:rsidRPr="00A75276">
        <w:rPr>
          <w:lang w:val="fr-FR"/>
        </w:rPr>
        <w:t>.</w:t>
      </w:r>
    </w:p>
    <w:p w:rsidR="002E5DCA" w:rsidRPr="00A75276" w:rsidRDefault="00AB0D34" w:rsidP="00360B03">
      <w:pPr>
        <w:pStyle w:val="ONUMFS"/>
        <w:rPr>
          <w:lang w:val="fr-FR"/>
        </w:rPr>
      </w:pPr>
      <w:r w:rsidRPr="00A75276">
        <w:rPr>
          <w:lang w:val="fr-FR"/>
        </w:rPr>
        <w:t>En ce qui concerne les exigence</w:t>
      </w:r>
      <w:r w:rsidR="00A66E28" w:rsidRPr="00A75276">
        <w:rPr>
          <w:lang w:val="fr-FR"/>
        </w:rPr>
        <w:t>s en matière de confidentialité</w:t>
      </w:r>
      <w:r w:rsidRPr="00A75276">
        <w:rPr>
          <w:lang w:val="fr-FR"/>
        </w:rPr>
        <w:t xml:space="preserve"> et de non</w:t>
      </w:r>
      <w:r w:rsidR="00A16C85" w:rsidRPr="00A75276">
        <w:rPr>
          <w:lang w:val="fr-FR"/>
        </w:rPr>
        <w:noBreakHyphen/>
      </w:r>
      <w:r w:rsidRPr="00A75276">
        <w:rPr>
          <w:lang w:val="fr-FR"/>
        </w:rPr>
        <w:t>divulgation proposées dans le projet d</w:t>
      </w:r>
      <w:r w:rsidR="009C53EC" w:rsidRPr="00A75276">
        <w:rPr>
          <w:lang w:val="fr-FR"/>
        </w:rPr>
        <w:t>’</w:t>
      </w:r>
      <w:r w:rsidRPr="00A75276">
        <w:rPr>
          <w:lang w:val="fr-FR"/>
        </w:rPr>
        <w:t>accord d</w:t>
      </w:r>
      <w:r w:rsidR="009C53EC" w:rsidRPr="00A75276">
        <w:rPr>
          <w:lang w:val="fr-FR"/>
        </w:rPr>
        <w:t>’</w:t>
      </w:r>
      <w:r w:rsidRPr="00A75276">
        <w:rPr>
          <w:lang w:val="fr-FR"/>
        </w:rPr>
        <w:t>accès</w:t>
      </w:r>
      <w:r w:rsidR="004838AB" w:rsidRPr="00A75276">
        <w:rPr>
          <w:lang w:val="fr-FR"/>
        </w:rPr>
        <w:t xml:space="preserve">, </w:t>
      </w:r>
      <w:r w:rsidRPr="00A75276">
        <w:rPr>
          <w:lang w:val="fr-FR"/>
        </w:rPr>
        <w:t>l</w:t>
      </w:r>
      <w:r w:rsidR="009C53EC" w:rsidRPr="00A75276">
        <w:rPr>
          <w:lang w:val="fr-FR"/>
        </w:rPr>
        <w:t>’</w:t>
      </w:r>
      <w:r w:rsidRPr="00A75276">
        <w:rPr>
          <w:lang w:val="fr-FR"/>
        </w:rPr>
        <w:t>Office indien des brevets</w:t>
      </w:r>
      <w:r w:rsidR="004838AB" w:rsidRPr="00A75276">
        <w:rPr>
          <w:lang w:val="fr-FR"/>
        </w:rPr>
        <w:t xml:space="preserve"> </w:t>
      </w:r>
      <w:r w:rsidRPr="00A75276">
        <w:rPr>
          <w:lang w:val="fr-FR"/>
        </w:rPr>
        <w:t>a rappelé que, à leur dixième réunion, les administrations avaient décidé, sur demande du</w:t>
      </w:r>
      <w:r w:rsidR="004838AB" w:rsidRPr="00A75276">
        <w:rPr>
          <w:lang w:val="fr-FR"/>
        </w:rPr>
        <w:t xml:space="preserve"> </w:t>
      </w:r>
      <w:r w:rsidRPr="00A75276">
        <w:rPr>
          <w:lang w:val="fr-FR"/>
        </w:rPr>
        <w:t>Comité de coopération technique</w:t>
      </w:r>
      <w:r w:rsidR="002E5DCA" w:rsidRPr="00A75276">
        <w:rPr>
          <w:lang w:val="fr-FR"/>
        </w:rPr>
        <w:t xml:space="preserve"> du PCT</w:t>
      </w:r>
      <w:r w:rsidR="004838AB" w:rsidRPr="00A75276">
        <w:rPr>
          <w:lang w:val="fr-FR"/>
        </w:rPr>
        <w:t xml:space="preserve">, </w:t>
      </w:r>
      <w:r w:rsidRPr="00A75276">
        <w:rPr>
          <w:lang w:val="fr-FR"/>
        </w:rPr>
        <w:t>d</w:t>
      </w:r>
      <w:r w:rsidR="009C53EC" w:rsidRPr="00A75276">
        <w:rPr>
          <w:lang w:val="fr-FR"/>
        </w:rPr>
        <w:t>’</w:t>
      </w:r>
      <w:r w:rsidRPr="00A75276">
        <w:rPr>
          <w:lang w:val="fr-FR"/>
        </w:rPr>
        <w:t>envisager, notamment, l</w:t>
      </w:r>
      <w:r w:rsidR="009C53EC" w:rsidRPr="00A75276">
        <w:rPr>
          <w:lang w:val="fr-FR"/>
        </w:rPr>
        <w:t>’</w:t>
      </w:r>
      <w:r w:rsidR="004838AB" w:rsidRPr="00A75276">
        <w:rPr>
          <w:lang w:val="fr-FR"/>
        </w:rPr>
        <w:t xml:space="preserve">inclusion </w:t>
      </w:r>
      <w:r w:rsidRPr="00A75276">
        <w:rPr>
          <w:lang w:val="fr-FR"/>
        </w:rPr>
        <w:t>dans</w:t>
      </w:r>
      <w:r w:rsidR="004838AB" w:rsidRPr="00A75276">
        <w:rPr>
          <w:lang w:val="fr-FR"/>
        </w:rPr>
        <w:t xml:space="preserve"> </w:t>
      </w:r>
      <w:r w:rsidRPr="00A75276">
        <w:rPr>
          <w:lang w:val="fr-FR"/>
        </w:rPr>
        <w:t>la documentation minimale</w:t>
      </w:r>
      <w:r w:rsidR="002E5DCA" w:rsidRPr="00A75276">
        <w:rPr>
          <w:lang w:val="fr-FR"/>
        </w:rPr>
        <w:t xml:space="preserve"> du PCT</w:t>
      </w:r>
      <w:r w:rsidR="004838AB" w:rsidRPr="00A75276">
        <w:rPr>
          <w:lang w:val="fr-FR"/>
        </w:rPr>
        <w:t xml:space="preserve"> </w:t>
      </w:r>
      <w:r w:rsidRPr="00A75276">
        <w:rPr>
          <w:lang w:val="fr-FR"/>
        </w:rPr>
        <w:t>des revues et bases de données relatives aux savoirs traditionnels</w:t>
      </w:r>
      <w:r w:rsidR="004838AB" w:rsidRPr="00A75276">
        <w:rPr>
          <w:lang w:val="fr-FR"/>
        </w:rPr>
        <w:t xml:space="preserve"> (document PCT/MIA/10/4).  </w:t>
      </w:r>
      <w:r w:rsidR="005D323A" w:rsidRPr="00A75276">
        <w:rPr>
          <w:lang w:val="fr-FR"/>
        </w:rPr>
        <w:t>En particulier, l</w:t>
      </w:r>
      <w:r w:rsidR="009C53EC" w:rsidRPr="00A75276">
        <w:rPr>
          <w:lang w:val="fr-FR"/>
        </w:rPr>
        <w:t>’</w:t>
      </w:r>
      <w:r w:rsidR="005D323A" w:rsidRPr="00A75276">
        <w:rPr>
          <w:lang w:val="fr-FR"/>
        </w:rPr>
        <w:t>annexe </w:t>
      </w:r>
      <w:r w:rsidR="004838AB" w:rsidRPr="00A75276">
        <w:rPr>
          <w:lang w:val="fr-FR"/>
        </w:rPr>
        <w:t xml:space="preserve">I </w:t>
      </w:r>
      <w:r w:rsidR="005D323A" w:rsidRPr="00A75276">
        <w:rPr>
          <w:lang w:val="fr-FR"/>
        </w:rPr>
        <w:t>de ce</w:t>
      </w:r>
      <w:r w:rsidR="004838AB" w:rsidRPr="00A75276">
        <w:rPr>
          <w:lang w:val="fr-FR"/>
        </w:rPr>
        <w:t xml:space="preserve"> document </w:t>
      </w:r>
      <w:r w:rsidR="005D323A" w:rsidRPr="00A75276">
        <w:rPr>
          <w:lang w:val="fr-FR"/>
        </w:rPr>
        <w:t>énumérait pour l</w:t>
      </w:r>
      <w:r w:rsidR="009C53EC" w:rsidRPr="00A75276">
        <w:rPr>
          <w:lang w:val="fr-FR"/>
        </w:rPr>
        <w:t>’</w:t>
      </w:r>
      <w:r w:rsidR="005D323A" w:rsidRPr="00A75276">
        <w:rPr>
          <w:lang w:val="fr-FR"/>
        </w:rPr>
        <w:t xml:space="preserve">inclusion de ces revues dans </w:t>
      </w:r>
      <w:r w:rsidRPr="00A75276">
        <w:rPr>
          <w:lang w:val="fr-FR"/>
        </w:rPr>
        <w:t>la documentation minimale</w:t>
      </w:r>
      <w:r w:rsidR="002E5DCA" w:rsidRPr="00A75276">
        <w:rPr>
          <w:lang w:val="fr-FR"/>
        </w:rPr>
        <w:t xml:space="preserve"> du PCT</w:t>
      </w:r>
      <w:r w:rsidR="004838AB" w:rsidRPr="00A75276">
        <w:rPr>
          <w:lang w:val="fr-FR"/>
        </w:rPr>
        <w:t xml:space="preserve"> </w:t>
      </w:r>
      <w:r w:rsidR="005D323A" w:rsidRPr="00A75276">
        <w:rPr>
          <w:lang w:val="fr-FR"/>
        </w:rPr>
        <w:t>des critères spécifiques</w:t>
      </w:r>
      <w:r w:rsidR="004838AB" w:rsidRPr="00A75276">
        <w:rPr>
          <w:lang w:val="fr-FR"/>
        </w:rPr>
        <w:t xml:space="preserve">, </w:t>
      </w:r>
      <w:r w:rsidR="005D323A" w:rsidRPr="00A75276">
        <w:rPr>
          <w:lang w:val="fr-FR"/>
        </w:rPr>
        <w:t>qui avaient ensuite servi de base à l</w:t>
      </w:r>
      <w:r w:rsidR="009C53EC" w:rsidRPr="00A75276">
        <w:rPr>
          <w:lang w:val="fr-FR"/>
        </w:rPr>
        <w:t>’</w:t>
      </w:r>
      <w:r w:rsidR="005D323A" w:rsidRPr="00A75276">
        <w:rPr>
          <w:lang w:val="fr-FR"/>
        </w:rPr>
        <w:t xml:space="preserve">adjonction de </w:t>
      </w:r>
      <w:r w:rsidR="004838AB" w:rsidRPr="00A75276">
        <w:rPr>
          <w:lang w:val="fr-FR"/>
        </w:rPr>
        <w:t xml:space="preserve">13 </w:t>
      </w:r>
      <w:r w:rsidR="005D323A" w:rsidRPr="00A75276">
        <w:rPr>
          <w:lang w:val="fr-FR"/>
        </w:rPr>
        <w:t xml:space="preserve">de ces revues à la </w:t>
      </w:r>
      <w:r w:rsidRPr="00A75276">
        <w:rPr>
          <w:lang w:val="fr-FR"/>
        </w:rPr>
        <w:t>documentation minimale</w:t>
      </w:r>
      <w:r w:rsidR="002E5DCA" w:rsidRPr="00A75276">
        <w:rPr>
          <w:lang w:val="fr-FR"/>
        </w:rPr>
        <w:t xml:space="preserve"> du PCT</w:t>
      </w:r>
      <w:r w:rsidR="005D323A" w:rsidRPr="00A75276">
        <w:rPr>
          <w:lang w:val="fr-FR"/>
        </w:rPr>
        <w:t>.  L</w:t>
      </w:r>
      <w:r w:rsidR="009C53EC" w:rsidRPr="00A75276">
        <w:rPr>
          <w:lang w:val="fr-FR"/>
        </w:rPr>
        <w:t>’</w:t>
      </w:r>
      <w:r w:rsidR="005D323A" w:rsidRPr="00A75276">
        <w:rPr>
          <w:lang w:val="fr-FR"/>
        </w:rPr>
        <w:t>a</w:t>
      </w:r>
      <w:r w:rsidR="004838AB" w:rsidRPr="00A75276">
        <w:rPr>
          <w:lang w:val="fr-FR"/>
        </w:rPr>
        <w:t>nnex</w:t>
      </w:r>
      <w:r w:rsidR="005D323A" w:rsidRPr="00A75276">
        <w:rPr>
          <w:lang w:val="fr-FR"/>
        </w:rPr>
        <w:t>e</w:t>
      </w:r>
      <w:r w:rsidR="00432F5D" w:rsidRPr="00A75276">
        <w:rPr>
          <w:lang w:val="fr-FR"/>
        </w:rPr>
        <w:t> </w:t>
      </w:r>
      <w:r w:rsidR="004838AB" w:rsidRPr="00A75276">
        <w:rPr>
          <w:lang w:val="fr-FR"/>
        </w:rPr>
        <w:t xml:space="preserve">II </w:t>
      </w:r>
      <w:r w:rsidR="005D323A" w:rsidRPr="00A75276">
        <w:rPr>
          <w:lang w:val="fr-FR"/>
        </w:rPr>
        <w:t>du</w:t>
      </w:r>
      <w:r w:rsidR="004838AB" w:rsidRPr="00A75276">
        <w:rPr>
          <w:lang w:val="fr-FR"/>
        </w:rPr>
        <w:t xml:space="preserve"> document PCT/MIA/10/4 </w:t>
      </w:r>
      <w:r w:rsidR="005D323A" w:rsidRPr="00A75276">
        <w:rPr>
          <w:lang w:val="fr-FR"/>
        </w:rPr>
        <w:t>prévoyait certains critères fondamentaux en matière de disponibilité qui étaient pris en considération</w:t>
      </w:r>
      <w:r w:rsidR="004838AB" w:rsidRPr="00A75276">
        <w:rPr>
          <w:lang w:val="fr-FR"/>
        </w:rPr>
        <w:t>.</w:t>
      </w:r>
    </w:p>
    <w:p w:rsidR="00715135" w:rsidRPr="00A75276" w:rsidRDefault="00E71116" w:rsidP="00360B03">
      <w:pPr>
        <w:pStyle w:val="ONUMFS"/>
        <w:rPr>
          <w:lang w:val="fr-FR"/>
        </w:rPr>
      </w:pPr>
      <w:r w:rsidRPr="00A75276">
        <w:rPr>
          <w:lang w:val="fr-FR"/>
        </w:rPr>
        <w:t xml:space="preserve">À leur douzième réunion, les administrations avaient examiné la question de la </w:t>
      </w:r>
      <w:r w:rsidR="00AB0D34" w:rsidRPr="00A75276">
        <w:rPr>
          <w:lang w:val="fr-FR"/>
        </w:rPr>
        <w:t>documentation minimale</w:t>
      </w:r>
      <w:r w:rsidR="002E5DCA" w:rsidRPr="00A75276">
        <w:rPr>
          <w:lang w:val="fr-FR"/>
        </w:rPr>
        <w:t xml:space="preserve"> du PCT</w:t>
      </w:r>
      <w:r w:rsidR="004838AB" w:rsidRPr="00A75276">
        <w:rPr>
          <w:lang w:val="fr-FR"/>
        </w:rPr>
        <w:t xml:space="preserve"> </w:t>
      </w:r>
      <w:r w:rsidRPr="00A75276">
        <w:rPr>
          <w:lang w:val="fr-FR"/>
        </w:rPr>
        <w:t xml:space="preserve">sur la </w:t>
      </w:r>
      <w:r w:rsidR="004838AB" w:rsidRPr="00A75276">
        <w:rPr>
          <w:lang w:val="fr-FR"/>
        </w:rPr>
        <w:t>base</w:t>
      </w:r>
      <w:r w:rsidRPr="00A75276">
        <w:rPr>
          <w:lang w:val="fr-FR"/>
        </w:rPr>
        <w:t xml:space="preserve"> </w:t>
      </w:r>
      <w:r w:rsidR="004838AB" w:rsidRPr="00A75276">
        <w:rPr>
          <w:lang w:val="fr-FR"/>
        </w:rPr>
        <w:t>d</w:t>
      </w:r>
      <w:r w:rsidRPr="00A75276">
        <w:rPr>
          <w:lang w:val="fr-FR"/>
        </w:rPr>
        <w:t>u</w:t>
      </w:r>
      <w:r w:rsidR="004838AB" w:rsidRPr="00A75276">
        <w:rPr>
          <w:lang w:val="fr-FR"/>
        </w:rPr>
        <w:t xml:space="preserve"> </w:t>
      </w:r>
      <w:r w:rsidR="00B07511" w:rsidRPr="00A75276">
        <w:rPr>
          <w:lang w:val="fr-FR"/>
        </w:rPr>
        <w:t>document PCT/MIA/12/6.  L</w:t>
      </w:r>
      <w:r w:rsidR="009C53EC" w:rsidRPr="00A75276">
        <w:rPr>
          <w:lang w:val="fr-FR"/>
        </w:rPr>
        <w:t>’</w:t>
      </w:r>
      <w:r w:rsidR="00B07511" w:rsidRPr="00A75276">
        <w:rPr>
          <w:lang w:val="fr-FR"/>
        </w:rPr>
        <w:t>a</w:t>
      </w:r>
      <w:r w:rsidR="004838AB" w:rsidRPr="00A75276">
        <w:rPr>
          <w:lang w:val="fr-FR"/>
        </w:rPr>
        <w:t>nnex</w:t>
      </w:r>
      <w:r w:rsidR="00B07511" w:rsidRPr="00A75276">
        <w:rPr>
          <w:lang w:val="fr-FR"/>
        </w:rPr>
        <w:t>e</w:t>
      </w:r>
      <w:r w:rsidR="00432F5D" w:rsidRPr="00A75276">
        <w:rPr>
          <w:lang w:val="fr-FR"/>
        </w:rPr>
        <w:t> </w:t>
      </w:r>
      <w:r w:rsidR="004838AB" w:rsidRPr="00A75276">
        <w:rPr>
          <w:lang w:val="fr-FR"/>
        </w:rPr>
        <w:t xml:space="preserve">III </w:t>
      </w:r>
      <w:r w:rsidR="00B07511" w:rsidRPr="00A75276">
        <w:rPr>
          <w:lang w:val="fr-FR"/>
        </w:rPr>
        <w:t xml:space="preserve">de ce </w:t>
      </w:r>
      <w:r w:rsidR="004838AB" w:rsidRPr="00A75276">
        <w:rPr>
          <w:lang w:val="fr-FR"/>
        </w:rPr>
        <w:t>document cont</w:t>
      </w:r>
      <w:r w:rsidR="00B07511" w:rsidRPr="00A75276">
        <w:rPr>
          <w:lang w:val="fr-FR"/>
        </w:rPr>
        <w:t>en</w:t>
      </w:r>
      <w:r w:rsidR="004838AB" w:rsidRPr="00A75276">
        <w:rPr>
          <w:lang w:val="fr-FR"/>
        </w:rPr>
        <w:t>ai</w:t>
      </w:r>
      <w:r w:rsidR="00B07511" w:rsidRPr="00A75276">
        <w:rPr>
          <w:lang w:val="fr-FR"/>
        </w:rPr>
        <w:t xml:space="preserve">t une proposition </w:t>
      </w:r>
      <w:r w:rsidR="004838AB" w:rsidRPr="00A75276">
        <w:rPr>
          <w:lang w:val="fr-FR"/>
        </w:rPr>
        <w:t>initial</w:t>
      </w:r>
      <w:r w:rsidR="00B07511" w:rsidRPr="00A75276">
        <w:rPr>
          <w:lang w:val="fr-FR"/>
        </w:rPr>
        <w:t>e du responsable de l</w:t>
      </w:r>
      <w:r w:rsidR="009C53EC" w:rsidRPr="00A75276">
        <w:rPr>
          <w:lang w:val="fr-FR"/>
        </w:rPr>
        <w:t>’</w:t>
      </w:r>
      <w:r w:rsidR="00B07511" w:rsidRPr="00A75276">
        <w:rPr>
          <w:lang w:val="fr-FR"/>
        </w:rPr>
        <w:t>équipe d</w:t>
      </w:r>
      <w:r w:rsidR="009C53EC" w:rsidRPr="00A75276">
        <w:rPr>
          <w:lang w:val="fr-FR"/>
        </w:rPr>
        <w:t>’</w:t>
      </w:r>
      <w:r w:rsidR="00B07511" w:rsidRPr="00A75276">
        <w:rPr>
          <w:lang w:val="fr-FR"/>
        </w:rPr>
        <w:t xml:space="preserve">experts, qui énumérait certains critères pour la documentation de brevet ainsi que </w:t>
      </w:r>
      <w:r w:rsidR="00485BC3" w:rsidRPr="00A75276">
        <w:rPr>
          <w:lang w:val="fr-FR"/>
        </w:rPr>
        <w:t xml:space="preserve">pour les revues de </w:t>
      </w:r>
      <w:r w:rsidR="00B07511" w:rsidRPr="00A75276">
        <w:rPr>
          <w:lang w:val="fr-FR"/>
        </w:rPr>
        <w:t>littérature non</w:t>
      </w:r>
      <w:r w:rsidR="00A16C85" w:rsidRPr="00A75276">
        <w:rPr>
          <w:lang w:val="fr-FR"/>
        </w:rPr>
        <w:noBreakHyphen/>
      </w:r>
      <w:r w:rsidR="00B07511" w:rsidRPr="00A75276">
        <w:rPr>
          <w:lang w:val="fr-FR"/>
        </w:rPr>
        <w:t>brev</w:t>
      </w:r>
      <w:r w:rsidR="00A16C85" w:rsidRPr="00A75276">
        <w:rPr>
          <w:lang w:val="fr-FR"/>
        </w:rPr>
        <w:t>et.  Co</w:t>
      </w:r>
      <w:r w:rsidR="00485BC3" w:rsidRPr="00A75276">
        <w:rPr>
          <w:lang w:val="fr-FR"/>
        </w:rPr>
        <w:t>ncernant les bases de données sur les savoirs traditionnels</w:t>
      </w:r>
      <w:r w:rsidR="004838AB" w:rsidRPr="00A75276">
        <w:rPr>
          <w:lang w:val="fr-FR"/>
        </w:rPr>
        <w:t xml:space="preserve">, </w:t>
      </w:r>
      <w:r w:rsidR="00485BC3" w:rsidRPr="00A75276">
        <w:rPr>
          <w:lang w:val="fr-FR"/>
        </w:rPr>
        <w:t>aucun critère n</w:t>
      </w:r>
      <w:r w:rsidR="009C53EC" w:rsidRPr="00A75276">
        <w:rPr>
          <w:lang w:val="fr-FR"/>
        </w:rPr>
        <w:t>’</w:t>
      </w:r>
      <w:r w:rsidR="00485BC3" w:rsidRPr="00A75276">
        <w:rPr>
          <w:lang w:val="fr-FR"/>
        </w:rPr>
        <w:t xml:space="preserve">était suggéré, ce qui était traité sous </w:t>
      </w:r>
      <w:r w:rsidR="0007133F" w:rsidRPr="00A75276">
        <w:rPr>
          <w:lang w:val="fr-FR"/>
        </w:rPr>
        <w:t>les bases de données spécialisé</w:t>
      </w:r>
      <w:r w:rsidR="00A16C85" w:rsidRPr="00A75276">
        <w:rPr>
          <w:lang w:val="fr-FR"/>
        </w:rPr>
        <w:t>es.  Il</w:t>
      </w:r>
      <w:r w:rsidR="00485BC3" w:rsidRPr="00A75276">
        <w:rPr>
          <w:lang w:val="fr-FR"/>
        </w:rPr>
        <w:t xml:space="preserve"> fallait donc mettre au point des critères pour l</w:t>
      </w:r>
      <w:r w:rsidR="009C53EC" w:rsidRPr="00A75276">
        <w:rPr>
          <w:lang w:val="fr-FR"/>
        </w:rPr>
        <w:t>’</w:t>
      </w:r>
      <w:r w:rsidR="004838AB" w:rsidRPr="00A75276">
        <w:rPr>
          <w:lang w:val="fr-FR"/>
        </w:rPr>
        <w:t xml:space="preserve">inclusion </w:t>
      </w:r>
      <w:r w:rsidR="00485BC3" w:rsidRPr="00A75276">
        <w:rPr>
          <w:lang w:val="fr-FR"/>
        </w:rPr>
        <w:t>des bases de données</w:t>
      </w:r>
      <w:r w:rsidR="004838AB" w:rsidRPr="00A75276">
        <w:rPr>
          <w:lang w:val="fr-FR"/>
        </w:rPr>
        <w:t xml:space="preserve">, </w:t>
      </w:r>
      <w:r w:rsidR="009C53EC" w:rsidRPr="00A75276">
        <w:rPr>
          <w:lang w:val="fr-FR"/>
        </w:rPr>
        <w:t>y compris</w:t>
      </w:r>
      <w:r w:rsidR="00485BC3" w:rsidRPr="00A75276">
        <w:rPr>
          <w:lang w:val="fr-FR"/>
        </w:rPr>
        <w:t xml:space="preserve"> celles relatives aux savoirs traditionnels</w:t>
      </w:r>
      <w:r w:rsidR="004838AB" w:rsidRPr="00A75276">
        <w:rPr>
          <w:lang w:val="fr-FR"/>
        </w:rPr>
        <w:t xml:space="preserve">, </w:t>
      </w:r>
      <w:r w:rsidR="00485BC3" w:rsidRPr="00A75276">
        <w:rPr>
          <w:lang w:val="fr-FR"/>
        </w:rPr>
        <w:t xml:space="preserve">dans </w:t>
      </w:r>
      <w:r w:rsidR="00AB0D34" w:rsidRPr="00A75276">
        <w:rPr>
          <w:lang w:val="fr-FR"/>
        </w:rPr>
        <w:t>la documentation minimale</w:t>
      </w:r>
      <w:r w:rsidR="002E5DCA" w:rsidRPr="00A75276">
        <w:rPr>
          <w:lang w:val="fr-FR"/>
        </w:rPr>
        <w:t xml:space="preserve"> du </w:t>
      </w:r>
      <w:r w:rsidR="00A16C85" w:rsidRPr="00A75276">
        <w:rPr>
          <w:lang w:val="fr-FR"/>
        </w:rPr>
        <w:t>PCT.  Ma</w:t>
      </w:r>
      <w:r w:rsidR="00485BC3" w:rsidRPr="00A75276">
        <w:rPr>
          <w:lang w:val="fr-FR"/>
        </w:rPr>
        <w:t>lheureusement</w:t>
      </w:r>
      <w:r w:rsidR="004838AB" w:rsidRPr="00A75276">
        <w:rPr>
          <w:lang w:val="fr-FR"/>
        </w:rPr>
        <w:t xml:space="preserve">, </w:t>
      </w:r>
      <w:r w:rsidR="009E1243" w:rsidRPr="00A75276">
        <w:rPr>
          <w:lang w:val="fr-FR"/>
        </w:rPr>
        <w:t>les travaux sur cette dernière tâche n</w:t>
      </w:r>
      <w:r w:rsidR="009C53EC" w:rsidRPr="00A75276">
        <w:rPr>
          <w:lang w:val="fr-FR"/>
        </w:rPr>
        <w:t>’</w:t>
      </w:r>
      <w:r w:rsidR="009E1243" w:rsidRPr="00A75276">
        <w:rPr>
          <w:lang w:val="fr-FR"/>
        </w:rPr>
        <w:t>avaient jamais été entrepris par l</w:t>
      </w:r>
      <w:r w:rsidR="009C53EC" w:rsidRPr="00A75276">
        <w:rPr>
          <w:lang w:val="fr-FR"/>
        </w:rPr>
        <w:t>’</w:t>
      </w:r>
      <w:r w:rsidR="009E1243" w:rsidRPr="00A75276">
        <w:rPr>
          <w:lang w:val="fr-FR"/>
        </w:rPr>
        <w:t>équipe d</w:t>
      </w:r>
      <w:r w:rsidR="009C53EC" w:rsidRPr="00A75276">
        <w:rPr>
          <w:lang w:val="fr-FR"/>
        </w:rPr>
        <w:t>’</w:t>
      </w:r>
      <w:r w:rsidR="009E1243" w:rsidRPr="00A75276">
        <w:rPr>
          <w:lang w:val="fr-FR"/>
        </w:rPr>
        <w:t>experts et étaient restés en suspens</w:t>
      </w:r>
      <w:r w:rsidR="004838AB" w:rsidRPr="00A75276">
        <w:rPr>
          <w:lang w:val="fr-FR"/>
        </w:rPr>
        <w:t>.</w:t>
      </w:r>
    </w:p>
    <w:p w:rsidR="00715135" w:rsidRPr="00A75276" w:rsidRDefault="00A2216E" w:rsidP="00360B03">
      <w:pPr>
        <w:pStyle w:val="ONUMFS"/>
        <w:rPr>
          <w:lang w:val="fr-FR"/>
        </w:rPr>
      </w:pPr>
      <w:r w:rsidRPr="00A75276">
        <w:rPr>
          <w:lang w:val="fr-FR"/>
        </w:rPr>
        <w:lastRenderedPageBreak/>
        <w:t>L</w:t>
      </w:r>
      <w:r w:rsidR="009C53EC" w:rsidRPr="00A75276">
        <w:rPr>
          <w:lang w:val="fr-FR"/>
        </w:rPr>
        <w:t>’</w:t>
      </w:r>
      <w:r w:rsidR="00AB0D34" w:rsidRPr="00A75276">
        <w:rPr>
          <w:lang w:val="fr-FR"/>
        </w:rPr>
        <w:t>Office indien des brevets</w:t>
      </w:r>
      <w:r w:rsidR="004838AB" w:rsidRPr="00A75276">
        <w:rPr>
          <w:lang w:val="fr-FR"/>
        </w:rPr>
        <w:t xml:space="preserve"> </w:t>
      </w:r>
      <w:r w:rsidRPr="00A75276">
        <w:rPr>
          <w:lang w:val="fr-FR"/>
        </w:rPr>
        <w:t xml:space="preserve">a ajouté que les délibérations sur la question des bases de données relatives aux savoirs traditionnels avaient été poursuivies au sein du Comité </w:t>
      </w:r>
      <w:r w:rsidR="00A66E28" w:rsidRPr="00A75276">
        <w:rPr>
          <w:lang w:val="fr-FR"/>
        </w:rPr>
        <w:t>intergouvernemental</w:t>
      </w:r>
      <w:r w:rsidRPr="00A75276">
        <w:rPr>
          <w:lang w:val="fr-FR"/>
        </w:rPr>
        <w:t xml:space="preserve"> de la propriété intellectuelle relative aux ressources génétiques, aux savoirs traditionnels et au folklore de l</w:t>
      </w:r>
      <w:r w:rsidR="009C53EC" w:rsidRPr="00A75276">
        <w:rPr>
          <w:lang w:val="fr-FR"/>
        </w:rPr>
        <w:t>’</w:t>
      </w:r>
      <w:r w:rsidRPr="00A75276">
        <w:rPr>
          <w:lang w:val="fr-FR"/>
        </w:rPr>
        <w:t xml:space="preserve">OMPI, </w:t>
      </w:r>
      <w:r w:rsidR="0009454A" w:rsidRPr="00A75276">
        <w:rPr>
          <w:lang w:val="fr-FR"/>
        </w:rPr>
        <w:t xml:space="preserve">dans le contexte de ses négociations fondées sur un texte visant à parvenir à un accord sur un ou plusieurs instruments juridiques internationaux propres à assurer la </w:t>
      </w:r>
      <w:r w:rsidR="004838AB" w:rsidRPr="00A75276">
        <w:rPr>
          <w:lang w:val="fr-FR"/>
        </w:rPr>
        <w:t xml:space="preserve">protection </w:t>
      </w:r>
      <w:r w:rsidR="0009454A" w:rsidRPr="00A75276">
        <w:rPr>
          <w:lang w:val="fr-FR"/>
        </w:rPr>
        <w:t>effective des savoirs traditionnels, des expressions culturelles traditionnelles et des ressources génétiqu</w:t>
      </w:r>
      <w:r w:rsidR="00A16C85" w:rsidRPr="00A75276">
        <w:rPr>
          <w:lang w:val="fr-FR"/>
        </w:rPr>
        <w:t>es.  Le</w:t>
      </w:r>
      <w:r w:rsidR="00011767" w:rsidRPr="00A75276">
        <w:rPr>
          <w:lang w:val="fr-FR"/>
        </w:rPr>
        <w:t xml:space="preserve"> d</w:t>
      </w:r>
      <w:r w:rsidR="004838AB" w:rsidRPr="00A75276">
        <w:rPr>
          <w:lang w:val="fr-FR"/>
        </w:rPr>
        <w:t xml:space="preserve">ocument WIPO/GRTKF/IC/28/5 </w:t>
      </w:r>
      <w:r w:rsidR="00A66E28" w:rsidRPr="00A75276">
        <w:rPr>
          <w:lang w:val="fr-FR"/>
        </w:rPr>
        <w:t>cont</w:t>
      </w:r>
      <w:r w:rsidR="00011767" w:rsidRPr="00A75276">
        <w:rPr>
          <w:lang w:val="fr-FR"/>
        </w:rPr>
        <w:t>en</w:t>
      </w:r>
      <w:r w:rsidR="00A66E28" w:rsidRPr="00A75276">
        <w:rPr>
          <w:lang w:val="fr-FR"/>
        </w:rPr>
        <w:t>ai</w:t>
      </w:r>
      <w:r w:rsidR="00011767" w:rsidRPr="00A75276">
        <w:rPr>
          <w:lang w:val="fr-FR"/>
        </w:rPr>
        <w:t>t des projets de dispositions spécifiques portant sur la question de la confidentialité des bases de données relatives aux savoirs traditionnels, et, dans un projet d</w:t>
      </w:r>
      <w:r w:rsidR="009C53EC" w:rsidRPr="00A75276">
        <w:rPr>
          <w:lang w:val="fr-FR"/>
        </w:rPr>
        <w:t>’</w:t>
      </w:r>
      <w:r w:rsidR="00011767" w:rsidRPr="00A75276">
        <w:rPr>
          <w:lang w:val="fr-FR"/>
        </w:rPr>
        <w:t>article</w:t>
      </w:r>
      <w:r w:rsidR="00432F5D" w:rsidRPr="00A75276">
        <w:rPr>
          <w:lang w:val="fr-FR"/>
        </w:rPr>
        <w:t> </w:t>
      </w:r>
      <w:r w:rsidR="004838AB" w:rsidRPr="00A75276">
        <w:rPr>
          <w:lang w:val="fr-FR"/>
        </w:rPr>
        <w:t>3</w:t>
      </w:r>
      <w:r w:rsidR="004838AB" w:rsidRPr="00A75276">
        <w:rPr>
          <w:i/>
          <w:lang w:val="fr-FR"/>
        </w:rPr>
        <w:t>bis</w:t>
      </w:r>
      <w:r w:rsidR="004838AB" w:rsidRPr="00A75276">
        <w:rPr>
          <w:lang w:val="fr-FR"/>
        </w:rPr>
        <w:t xml:space="preserve">, </w:t>
      </w:r>
      <w:r w:rsidR="00011767" w:rsidRPr="00A75276">
        <w:rPr>
          <w:lang w:val="fr-FR"/>
        </w:rPr>
        <w:t xml:space="preserve">des dispositions selon lesquelles les offices de propriété intellectuelle des </w:t>
      </w:r>
      <w:r w:rsidR="004D25E1" w:rsidRPr="00A75276">
        <w:rPr>
          <w:lang w:val="fr-FR"/>
        </w:rPr>
        <w:t>É</w:t>
      </w:r>
      <w:r w:rsidR="00011767" w:rsidRPr="00A75276">
        <w:rPr>
          <w:lang w:val="fr-FR"/>
        </w:rPr>
        <w:t>tats membres devraient s</w:t>
      </w:r>
      <w:r w:rsidR="009C53EC" w:rsidRPr="00A75276">
        <w:rPr>
          <w:lang w:val="fr-FR"/>
        </w:rPr>
        <w:t>’</w:t>
      </w:r>
      <w:r w:rsidR="00011767" w:rsidRPr="00A75276">
        <w:rPr>
          <w:lang w:val="fr-FR"/>
        </w:rPr>
        <w:t xml:space="preserve">assurer que les informations figurant dans les bases de données relatives aux savoirs traditionnels restent confidentielles, </w:t>
      </w:r>
      <w:r w:rsidR="00AB6B7D" w:rsidRPr="00A75276">
        <w:rPr>
          <w:lang w:val="fr-FR"/>
        </w:rPr>
        <w:t>sauf lorsqu</w:t>
      </w:r>
      <w:r w:rsidR="009C53EC" w:rsidRPr="00A75276">
        <w:rPr>
          <w:lang w:val="fr-FR"/>
        </w:rPr>
        <w:t>’</w:t>
      </w:r>
      <w:r w:rsidR="00AB6B7D" w:rsidRPr="00A75276">
        <w:rPr>
          <w:lang w:val="fr-FR"/>
        </w:rPr>
        <w:t xml:space="preserve">elles sont citées comme </w:t>
      </w:r>
      <w:r w:rsidR="002240C1" w:rsidRPr="00A75276">
        <w:rPr>
          <w:lang w:val="fr-FR"/>
        </w:rPr>
        <w:t xml:space="preserve">antériorités </w:t>
      </w:r>
      <w:r w:rsidR="00AB6B7D" w:rsidRPr="00A75276">
        <w:rPr>
          <w:lang w:val="fr-FR"/>
        </w:rPr>
        <w:t>lors de l</w:t>
      </w:r>
      <w:r w:rsidR="009C53EC" w:rsidRPr="00A75276">
        <w:rPr>
          <w:lang w:val="fr-FR"/>
        </w:rPr>
        <w:t>’</w:t>
      </w:r>
      <w:r w:rsidR="00AB6B7D" w:rsidRPr="00A75276">
        <w:rPr>
          <w:lang w:val="fr-FR"/>
        </w:rPr>
        <w:t>examen d</w:t>
      </w:r>
      <w:r w:rsidR="009C53EC" w:rsidRPr="00A75276">
        <w:rPr>
          <w:lang w:val="fr-FR"/>
        </w:rPr>
        <w:t>’</w:t>
      </w:r>
      <w:r w:rsidR="00AB6B7D" w:rsidRPr="00A75276">
        <w:rPr>
          <w:lang w:val="fr-FR"/>
        </w:rPr>
        <w:t>une demande de brev</w:t>
      </w:r>
      <w:r w:rsidR="00A16C85" w:rsidRPr="00A75276">
        <w:rPr>
          <w:lang w:val="fr-FR"/>
        </w:rPr>
        <w:t xml:space="preserve">et.  </w:t>
      </w:r>
      <w:r w:rsidR="00A16C85" w:rsidRPr="00A75276">
        <w:rPr>
          <w:szCs w:val="22"/>
          <w:lang w:val="fr-FR"/>
        </w:rPr>
        <w:t>Il</w:t>
      </w:r>
      <w:r w:rsidR="002240C1" w:rsidRPr="00A75276">
        <w:rPr>
          <w:szCs w:val="22"/>
          <w:lang w:val="fr-FR"/>
        </w:rPr>
        <w:t xml:space="preserve"> a toutefois été admis que les </w:t>
      </w:r>
      <w:r w:rsidR="004838AB" w:rsidRPr="00A75276">
        <w:rPr>
          <w:szCs w:val="22"/>
          <w:lang w:val="fr-FR"/>
        </w:rPr>
        <w:t xml:space="preserve">discussions </w:t>
      </w:r>
      <w:r w:rsidR="002240C1" w:rsidRPr="00A75276">
        <w:rPr>
          <w:szCs w:val="22"/>
          <w:lang w:val="fr-FR"/>
        </w:rPr>
        <w:t>au sein de l</w:t>
      </w:r>
      <w:r w:rsidR="009C53EC" w:rsidRPr="00A75276">
        <w:rPr>
          <w:szCs w:val="22"/>
          <w:lang w:val="fr-FR"/>
        </w:rPr>
        <w:t>’</w:t>
      </w:r>
      <w:r w:rsidR="004838AB" w:rsidRPr="00A75276">
        <w:rPr>
          <w:szCs w:val="22"/>
          <w:lang w:val="fr-FR"/>
        </w:rPr>
        <w:t xml:space="preserve">IGC </w:t>
      </w:r>
      <w:r w:rsidR="002240C1" w:rsidRPr="00A75276">
        <w:rPr>
          <w:szCs w:val="22"/>
          <w:lang w:val="fr-FR"/>
        </w:rPr>
        <w:t>se poursuivaient et que les projets de dispositions susmentionnées n</w:t>
      </w:r>
      <w:r w:rsidR="009C53EC" w:rsidRPr="00A75276">
        <w:rPr>
          <w:szCs w:val="22"/>
          <w:lang w:val="fr-FR"/>
        </w:rPr>
        <w:t>’</w:t>
      </w:r>
      <w:r w:rsidR="002240C1" w:rsidRPr="00A75276">
        <w:rPr>
          <w:szCs w:val="22"/>
          <w:lang w:val="fr-FR"/>
        </w:rPr>
        <w:t>avaient pas encore été adoptés</w:t>
      </w:r>
      <w:r w:rsidR="004838AB" w:rsidRPr="00A75276">
        <w:rPr>
          <w:szCs w:val="22"/>
          <w:lang w:val="fr-FR"/>
        </w:rPr>
        <w:t>.</w:t>
      </w:r>
    </w:p>
    <w:p w:rsidR="00715135" w:rsidRPr="00A75276" w:rsidRDefault="002240C1" w:rsidP="00360B03">
      <w:pPr>
        <w:pStyle w:val="ONUMFS"/>
        <w:rPr>
          <w:lang w:val="fr-FR"/>
        </w:rPr>
      </w:pPr>
      <w:r w:rsidRPr="00A75276">
        <w:rPr>
          <w:szCs w:val="22"/>
          <w:lang w:val="fr-FR"/>
        </w:rPr>
        <w:t>L</w:t>
      </w:r>
      <w:r w:rsidR="009C53EC" w:rsidRPr="00A75276">
        <w:rPr>
          <w:szCs w:val="22"/>
          <w:lang w:val="fr-FR"/>
        </w:rPr>
        <w:t>’</w:t>
      </w:r>
      <w:r w:rsidR="00AB0D34" w:rsidRPr="00A75276">
        <w:rPr>
          <w:szCs w:val="22"/>
          <w:lang w:val="fr-FR"/>
        </w:rPr>
        <w:t>Office indien des brevets</w:t>
      </w:r>
      <w:r w:rsidR="004838AB" w:rsidRPr="00A75276">
        <w:rPr>
          <w:szCs w:val="22"/>
          <w:lang w:val="fr-FR"/>
        </w:rPr>
        <w:t xml:space="preserve"> </w:t>
      </w:r>
      <w:r w:rsidRPr="00A75276">
        <w:rPr>
          <w:szCs w:val="22"/>
          <w:lang w:val="fr-FR"/>
        </w:rPr>
        <w:t>a fait observer que la base de données sur les savoirs traditionnels était considérée comme une base de données spécialisée pour laquelle des critères de sélection n</w:t>
      </w:r>
      <w:r w:rsidR="009C53EC" w:rsidRPr="00A75276">
        <w:rPr>
          <w:szCs w:val="22"/>
          <w:lang w:val="fr-FR"/>
        </w:rPr>
        <w:t>’</w:t>
      </w:r>
      <w:r w:rsidRPr="00A75276">
        <w:rPr>
          <w:szCs w:val="22"/>
          <w:lang w:val="fr-FR"/>
        </w:rPr>
        <w:t>avaient pas encore été établis et que les critères applicables aux revues ne pouvaient pas être appliqués de la même manière aux bases de données sur les savoirs traditionne</w:t>
      </w:r>
      <w:r w:rsidR="00A16C85" w:rsidRPr="00A75276">
        <w:rPr>
          <w:szCs w:val="22"/>
          <w:lang w:val="fr-FR"/>
        </w:rPr>
        <w:t>ls.  C’e</w:t>
      </w:r>
      <w:r w:rsidRPr="00A75276">
        <w:rPr>
          <w:szCs w:val="22"/>
          <w:lang w:val="fr-FR"/>
        </w:rPr>
        <w:t>st pourquoi l</w:t>
      </w:r>
      <w:r w:rsidR="009C53EC" w:rsidRPr="00A75276">
        <w:rPr>
          <w:szCs w:val="22"/>
          <w:lang w:val="fr-FR"/>
        </w:rPr>
        <w:t>’</w:t>
      </w:r>
      <w:r w:rsidR="00AB0D34" w:rsidRPr="00A75276">
        <w:rPr>
          <w:szCs w:val="22"/>
          <w:lang w:val="fr-FR"/>
        </w:rPr>
        <w:t>Office indien des brevets</w:t>
      </w:r>
      <w:r w:rsidR="004838AB" w:rsidRPr="00A75276">
        <w:rPr>
          <w:szCs w:val="22"/>
          <w:lang w:val="fr-FR"/>
        </w:rPr>
        <w:t xml:space="preserve"> </w:t>
      </w:r>
      <w:r w:rsidRPr="00A75276">
        <w:rPr>
          <w:szCs w:val="22"/>
          <w:lang w:val="fr-FR"/>
        </w:rPr>
        <w:t>souhaitait que sa demande en faveur de l</w:t>
      </w:r>
      <w:r w:rsidR="009C53EC" w:rsidRPr="00A75276">
        <w:rPr>
          <w:szCs w:val="22"/>
          <w:lang w:val="fr-FR"/>
        </w:rPr>
        <w:t>’</w:t>
      </w:r>
      <w:r w:rsidRPr="00A75276">
        <w:rPr>
          <w:szCs w:val="22"/>
          <w:lang w:val="fr-FR"/>
        </w:rPr>
        <w:t xml:space="preserve">inclusion de la bibliothèque numérique des savoirs traditionnels </w:t>
      </w:r>
      <w:r w:rsidR="008A68C6" w:rsidRPr="00A75276">
        <w:rPr>
          <w:szCs w:val="22"/>
          <w:lang w:val="fr-FR"/>
        </w:rPr>
        <w:t>de l</w:t>
      </w:r>
      <w:r w:rsidR="009C53EC" w:rsidRPr="00A75276">
        <w:rPr>
          <w:szCs w:val="22"/>
          <w:lang w:val="fr-FR"/>
        </w:rPr>
        <w:t>’</w:t>
      </w:r>
      <w:r w:rsidR="008A68C6" w:rsidRPr="00A75276">
        <w:rPr>
          <w:szCs w:val="22"/>
          <w:lang w:val="fr-FR"/>
        </w:rPr>
        <w:t>Inde</w:t>
      </w:r>
      <w:r w:rsidR="004838AB" w:rsidRPr="00A75276">
        <w:rPr>
          <w:szCs w:val="22"/>
          <w:lang w:val="fr-FR"/>
        </w:rPr>
        <w:t xml:space="preserve">, </w:t>
      </w:r>
      <w:r w:rsidRPr="00A75276">
        <w:rPr>
          <w:szCs w:val="22"/>
          <w:lang w:val="fr-FR"/>
        </w:rPr>
        <w:t>et notamment des dispositions de son projet d</w:t>
      </w:r>
      <w:r w:rsidR="009C53EC" w:rsidRPr="00A75276">
        <w:rPr>
          <w:szCs w:val="22"/>
          <w:lang w:val="fr-FR"/>
        </w:rPr>
        <w:t>’</w:t>
      </w:r>
      <w:r w:rsidRPr="00A75276">
        <w:rPr>
          <w:szCs w:val="22"/>
          <w:lang w:val="fr-FR"/>
        </w:rPr>
        <w:t>accord en matière d</w:t>
      </w:r>
      <w:r w:rsidR="009C53EC" w:rsidRPr="00A75276">
        <w:rPr>
          <w:szCs w:val="22"/>
          <w:lang w:val="fr-FR"/>
        </w:rPr>
        <w:t>’</w:t>
      </w:r>
      <w:r w:rsidRPr="00A75276">
        <w:rPr>
          <w:szCs w:val="22"/>
          <w:lang w:val="fr-FR"/>
        </w:rPr>
        <w:t xml:space="preserve">accès, soit réexaminée dans ce contexte et compte tenu des </w:t>
      </w:r>
      <w:r w:rsidR="004838AB" w:rsidRPr="00A75276">
        <w:rPr>
          <w:szCs w:val="22"/>
          <w:lang w:val="fr-FR"/>
        </w:rPr>
        <w:t>information</w:t>
      </w:r>
      <w:r w:rsidRPr="00A75276">
        <w:rPr>
          <w:szCs w:val="22"/>
          <w:lang w:val="fr-FR"/>
        </w:rPr>
        <w:t>s supplémentaires fourni</w:t>
      </w:r>
      <w:r w:rsidR="00A16C85" w:rsidRPr="00A75276">
        <w:rPr>
          <w:szCs w:val="22"/>
          <w:lang w:val="fr-FR"/>
        </w:rPr>
        <w:t>es.  Da</w:t>
      </w:r>
      <w:r w:rsidRPr="00A75276">
        <w:rPr>
          <w:szCs w:val="22"/>
          <w:lang w:val="fr-FR"/>
        </w:rPr>
        <w:t>ns la mesure où les résultats de l</w:t>
      </w:r>
      <w:r w:rsidR="009C53EC" w:rsidRPr="00A75276">
        <w:rPr>
          <w:szCs w:val="22"/>
          <w:lang w:val="fr-FR"/>
        </w:rPr>
        <w:t>’</w:t>
      </w:r>
      <w:r w:rsidRPr="00A75276">
        <w:rPr>
          <w:szCs w:val="22"/>
          <w:lang w:val="fr-FR"/>
        </w:rPr>
        <w:t>équipe d</w:t>
      </w:r>
      <w:r w:rsidR="009C53EC" w:rsidRPr="00A75276">
        <w:rPr>
          <w:szCs w:val="22"/>
          <w:lang w:val="fr-FR"/>
        </w:rPr>
        <w:t>’</w:t>
      </w:r>
      <w:r w:rsidRPr="00A75276">
        <w:rPr>
          <w:szCs w:val="22"/>
          <w:lang w:val="fr-FR"/>
        </w:rPr>
        <w:t xml:space="preserve">experts chargée de la </w:t>
      </w:r>
      <w:r w:rsidR="00AB0D34" w:rsidRPr="00A75276">
        <w:rPr>
          <w:szCs w:val="22"/>
          <w:lang w:val="fr-FR"/>
        </w:rPr>
        <w:t>documentation minimale</w:t>
      </w:r>
      <w:r w:rsidR="002E5DCA" w:rsidRPr="00A75276">
        <w:rPr>
          <w:szCs w:val="22"/>
          <w:lang w:val="fr-FR"/>
        </w:rPr>
        <w:t xml:space="preserve"> du PCT</w:t>
      </w:r>
      <w:r w:rsidR="004838AB" w:rsidRPr="00A75276">
        <w:rPr>
          <w:szCs w:val="22"/>
          <w:lang w:val="fr-FR"/>
        </w:rPr>
        <w:t xml:space="preserve"> </w:t>
      </w:r>
      <w:r w:rsidRPr="00A75276">
        <w:rPr>
          <w:szCs w:val="22"/>
          <w:lang w:val="fr-FR"/>
        </w:rPr>
        <w:t>pouvaient être retardés</w:t>
      </w:r>
      <w:r w:rsidR="004838AB" w:rsidRPr="00A75276">
        <w:rPr>
          <w:szCs w:val="22"/>
          <w:lang w:val="fr-FR"/>
        </w:rPr>
        <w:t xml:space="preserve">, </w:t>
      </w:r>
      <w:r w:rsidRPr="00A75276">
        <w:rPr>
          <w:szCs w:val="22"/>
          <w:lang w:val="fr-FR"/>
        </w:rPr>
        <w:t>l</w:t>
      </w:r>
      <w:r w:rsidR="009C53EC" w:rsidRPr="00A75276">
        <w:rPr>
          <w:szCs w:val="22"/>
          <w:lang w:val="fr-FR"/>
        </w:rPr>
        <w:t>’</w:t>
      </w:r>
      <w:r w:rsidR="00AB0D34" w:rsidRPr="00A75276">
        <w:rPr>
          <w:szCs w:val="22"/>
          <w:lang w:val="fr-FR"/>
        </w:rPr>
        <w:t>Office indien des brevets</w:t>
      </w:r>
      <w:r w:rsidR="004838AB" w:rsidRPr="00A75276">
        <w:rPr>
          <w:szCs w:val="22"/>
          <w:lang w:val="fr-FR"/>
        </w:rPr>
        <w:t xml:space="preserve"> </w:t>
      </w:r>
      <w:r w:rsidRPr="00A75276">
        <w:rPr>
          <w:szCs w:val="22"/>
          <w:lang w:val="fr-FR"/>
        </w:rPr>
        <w:t>priait toutes les administrations d</w:t>
      </w:r>
      <w:r w:rsidR="009C53EC" w:rsidRPr="00A75276">
        <w:rPr>
          <w:szCs w:val="22"/>
          <w:lang w:val="fr-FR"/>
        </w:rPr>
        <w:t>’</w:t>
      </w:r>
      <w:r w:rsidRPr="00A75276">
        <w:rPr>
          <w:szCs w:val="22"/>
          <w:lang w:val="fr-FR"/>
        </w:rPr>
        <w:t>envisager la possibilité d</w:t>
      </w:r>
      <w:r w:rsidR="009C53EC" w:rsidRPr="00A75276">
        <w:rPr>
          <w:szCs w:val="22"/>
          <w:lang w:val="fr-FR"/>
        </w:rPr>
        <w:t>’</w:t>
      </w:r>
      <w:r w:rsidRPr="00A75276">
        <w:rPr>
          <w:szCs w:val="22"/>
          <w:lang w:val="fr-FR"/>
        </w:rPr>
        <w:t>inclure à titre provisoire la bibliothèque numérique des savoirs traditionnels</w:t>
      </w:r>
      <w:r w:rsidR="004838AB" w:rsidRPr="00A75276">
        <w:rPr>
          <w:szCs w:val="22"/>
          <w:lang w:val="fr-FR"/>
        </w:rPr>
        <w:t xml:space="preserve"> </w:t>
      </w:r>
      <w:r w:rsidR="008A68C6" w:rsidRPr="00A75276">
        <w:rPr>
          <w:szCs w:val="22"/>
          <w:lang w:val="fr-FR"/>
        </w:rPr>
        <w:t>de l</w:t>
      </w:r>
      <w:r w:rsidR="009C53EC" w:rsidRPr="00A75276">
        <w:rPr>
          <w:szCs w:val="22"/>
          <w:lang w:val="fr-FR"/>
        </w:rPr>
        <w:t>’</w:t>
      </w:r>
      <w:r w:rsidR="008A68C6" w:rsidRPr="00A75276">
        <w:rPr>
          <w:szCs w:val="22"/>
          <w:lang w:val="fr-FR"/>
        </w:rPr>
        <w:t>Inde dans la</w:t>
      </w:r>
      <w:r w:rsidR="00AB0D34" w:rsidRPr="00A75276">
        <w:rPr>
          <w:szCs w:val="22"/>
          <w:lang w:val="fr-FR"/>
        </w:rPr>
        <w:t xml:space="preserve"> documentation minimale</w:t>
      </w:r>
      <w:r w:rsidR="002E5DCA" w:rsidRPr="00A75276">
        <w:rPr>
          <w:szCs w:val="22"/>
          <w:lang w:val="fr-FR"/>
        </w:rPr>
        <w:t xml:space="preserve"> du PCT</w:t>
      </w:r>
      <w:r w:rsidR="004838AB" w:rsidRPr="00A75276">
        <w:rPr>
          <w:szCs w:val="22"/>
          <w:lang w:val="fr-FR"/>
        </w:rPr>
        <w:t xml:space="preserve"> </w:t>
      </w:r>
      <w:r w:rsidR="008A68C6" w:rsidRPr="00A75276">
        <w:rPr>
          <w:szCs w:val="22"/>
          <w:lang w:val="fr-FR"/>
        </w:rPr>
        <w:t>en attendant l</w:t>
      </w:r>
      <w:r w:rsidR="009C53EC" w:rsidRPr="00A75276">
        <w:rPr>
          <w:szCs w:val="22"/>
          <w:lang w:val="fr-FR"/>
        </w:rPr>
        <w:t>’</w:t>
      </w:r>
      <w:r w:rsidR="008A68C6" w:rsidRPr="00A75276">
        <w:rPr>
          <w:szCs w:val="22"/>
          <w:lang w:val="fr-FR"/>
        </w:rPr>
        <w:t>examen de cette question par l</w:t>
      </w:r>
      <w:r w:rsidR="009C53EC" w:rsidRPr="00A75276">
        <w:rPr>
          <w:szCs w:val="22"/>
          <w:lang w:val="fr-FR"/>
        </w:rPr>
        <w:t>’</w:t>
      </w:r>
      <w:r w:rsidR="008A68C6" w:rsidRPr="00A75276">
        <w:rPr>
          <w:szCs w:val="22"/>
          <w:lang w:val="fr-FR"/>
        </w:rPr>
        <w:t>équipe d</w:t>
      </w:r>
      <w:r w:rsidR="009C53EC" w:rsidRPr="00A75276">
        <w:rPr>
          <w:szCs w:val="22"/>
          <w:lang w:val="fr-FR"/>
        </w:rPr>
        <w:t>’</w:t>
      </w:r>
      <w:r w:rsidR="008A68C6" w:rsidRPr="00A75276">
        <w:rPr>
          <w:szCs w:val="22"/>
          <w:lang w:val="fr-FR"/>
        </w:rPr>
        <w:t>experts</w:t>
      </w:r>
      <w:r w:rsidR="004838AB" w:rsidRPr="00A75276">
        <w:rPr>
          <w:szCs w:val="22"/>
          <w:lang w:val="fr-FR"/>
        </w:rPr>
        <w:t>.</w:t>
      </w:r>
    </w:p>
    <w:p w:rsidR="00715135" w:rsidRPr="00A75276" w:rsidRDefault="00910CD0" w:rsidP="00910CD0">
      <w:pPr>
        <w:pStyle w:val="ONUMFS"/>
        <w:rPr>
          <w:lang w:val="fr-FR"/>
        </w:rPr>
      </w:pPr>
      <w:r w:rsidRPr="00A75276">
        <w:rPr>
          <w:lang w:val="fr-FR"/>
        </w:rPr>
        <w:t xml:space="preserve">Les administrations qui se sont exprimées sur cette question ont appuyé </w:t>
      </w:r>
      <w:r w:rsidR="006726F6" w:rsidRPr="00A75276">
        <w:rPr>
          <w:lang w:val="fr-FR"/>
        </w:rPr>
        <w:t>dans son</w:t>
      </w:r>
      <w:r w:rsidRPr="00A75276">
        <w:rPr>
          <w:lang w:val="fr-FR"/>
        </w:rPr>
        <w:t xml:space="preserve"> principe la proposition visant à ajouter la Bibliothèque numérique des savoirs traditionnels de l</w:t>
      </w:r>
      <w:r w:rsidR="009C53EC" w:rsidRPr="00A75276">
        <w:rPr>
          <w:lang w:val="fr-FR"/>
        </w:rPr>
        <w:t>’</w:t>
      </w:r>
      <w:r w:rsidRPr="00A75276">
        <w:rPr>
          <w:lang w:val="fr-FR"/>
        </w:rPr>
        <w:t>Inde à la documentation minimale</w:t>
      </w:r>
      <w:r w:rsidR="002E5DCA" w:rsidRPr="00A75276">
        <w:rPr>
          <w:lang w:val="fr-FR"/>
        </w:rPr>
        <w:t xml:space="preserve"> du PCT</w:t>
      </w:r>
      <w:r w:rsidRPr="00A75276">
        <w:rPr>
          <w:lang w:val="fr-FR"/>
        </w:rPr>
        <w:t>, observant que la qualité de la recherche internationale s</w:t>
      </w:r>
      <w:r w:rsidR="009C53EC" w:rsidRPr="00A75276">
        <w:rPr>
          <w:lang w:val="fr-FR"/>
        </w:rPr>
        <w:t>’</w:t>
      </w:r>
      <w:r w:rsidRPr="00A75276">
        <w:rPr>
          <w:lang w:val="fr-FR"/>
        </w:rPr>
        <w:t>en trouverait grandement améliorée, comme l</w:t>
      </w:r>
      <w:r w:rsidR="009C53EC" w:rsidRPr="00A75276">
        <w:rPr>
          <w:lang w:val="fr-FR"/>
        </w:rPr>
        <w:t>’</w:t>
      </w:r>
      <w:r w:rsidRPr="00A75276">
        <w:rPr>
          <w:lang w:val="fr-FR"/>
        </w:rPr>
        <w:t>avaient confirmé les administrations qui s</w:t>
      </w:r>
      <w:r w:rsidR="009C53EC" w:rsidRPr="00A75276">
        <w:rPr>
          <w:lang w:val="fr-FR"/>
        </w:rPr>
        <w:t>’</w:t>
      </w:r>
      <w:r w:rsidRPr="00A75276">
        <w:rPr>
          <w:lang w:val="fr-FR"/>
        </w:rPr>
        <w:t>étaient déjà vu accorder l</w:t>
      </w:r>
      <w:r w:rsidR="009C53EC" w:rsidRPr="00A75276">
        <w:rPr>
          <w:lang w:val="fr-FR"/>
        </w:rPr>
        <w:t>’</w:t>
      </w:r>
      <w:r w:rsidRPr="00A75276">
        <w:rPr>
          <w:lang w:val="fr-FR"/>
        </w:rPr>
        <w:t>accès à cette bibliothèque.</w:t>
      </w:r>
    </w:p>
    <w:p w:rsidR="002E5DCA" w:rsidRPr="00A75276" w:rsidRDefault="008A68C6" w:rsidP="00360B03">
      <w:pPr>
        <w:pStyle w:val="ONUMFS"/>
        <w:rPr>
          <w:lang w:val="fr-FR"/>
        </w:rPr>
      </w:pPr>
      <w:r w:rsidRPr="00A75276">
        <w:rPr>
          <w:lang w:val="fr-FR"/>
        </w:rPr>
        <w:t>Plusieurs administrations ont indiqué qu</w:t>
      </w:r>
      <w:r w:rsidR="009C53EC" w:rsidRPr="00A75276">
        <w:rPr>
          <w:lang w:val="fr-FR"/>
        </w:rPr>
        <w:t>’</w:t>
      </w:r>
      <w:r w:rsidRPr="00A75276">
        <w:rPr>
          <w:lang w:val="fr-FR"/>
        </w:rPr>
        <w:t>elles attendaient avec intérêt de recevoir une proposition révisée du projet d</w:t>
      </w:r>
      <w:r w:rsidR="009C53EC" w:rsidRPr="00A75276">
        <w:rPr>
          <w:lang w:val="fr-FR"/>
        </w:rPr>
        <w:t>’</w:t>
      </w:r>
      <w:r w:rsidRPr="00A75276">
        <w:rPr>
          <w:lang w:val="fr-FR"/>
        </w:rPr>
        <w:t>accord en matière d</w:t>
      </w:r>
      <w:r w:rsidR="009C53EC" w:rsidRPr="00A75276">
        <w:rPr>
          <w:lang w:val="fr-FR"/>
        </w:rPr>
        <w:t>’</w:t>
      </w:r>
      <w:r w:rsidRPr="00A75276">
        <w:rPr>
          <w:lang w:val="fr-FR"/>
        </w:rPr>
        <w:t xml:space="preserve">accès tenant compte des </w:t>
      </w:r>
      <w:r w:rsidR="004838AB" w:rsidRPr="00A75276">
        <w:rPr>
          <w:lang w:val="fr-FR"/>
        </w:rPr>
        <w:t xml:space="preserve">modifications </w:t>
      </w:r>
      <w:r w:rsidRPr="00A75276">
        <w:rPr>
          <w:lang w:val="fr-FR"/>
        </w:rPr>
        <w:t xml:space="preserve">à apporter aux </w:t>
      </w:r>
      <w:r w:rsidR="00BB056C" w:rsidRPr="00A75276">
        <w:rPr>
          <w:lang w:val="fr-FR"/>
        </w:rPr>
        <w:t>exigences</w:t>
      </w:r>
      <w:r w:rsidRPr="00A75276">
        <w:rPr>
          <w:lang w:val="fr-FR"/>
        </w:rPr>
        <w:t xml:space="preserve"> en matière de suivi et d</w:t>
      </w:r>
      <w:r w:rsidR="009C53EC" w:rsidRPr="00A75276">
        <w:rPr>
          <w:lang w:val="fr-FR"/>
        </w:rPr>
        <w:t>’</w:t>
      </w:r>
      <w:r w:rsidRPr="00A75276">
        <w:rPr>
          <w:lang w:val="fr-FR"/>
        </w:rPr>
        <w:t xml:space="preserve">établissement de rapports et fait part de leur </w:t>
      </w:r>
      <w:r w:rsidR="004838AB" w:rsidRPr="00A75276">
        <w:rPr>
          <w:lang w:val="fr-FR"/>
        </w:rPr>
        <w:t xml:space="preserve">intention </w:t>
      </w:r>
      <w:r w:rsidRPr="00A75276">
        <w:rPr>
          <w:lang w:val="fr-FR"/>
        </w:rPr>
        <w:t xml:space="preserve">de réexaminer éventuellement la question des </w:t>
      </w:r>
      <w:r w:rsidR="004838AB" w:rsidRPr="00A75276">
        <w:rPr>
          <w:lang w:val="fr-FR"/>
        </w:rPr>
        <w:t xml:space="preserve">clauses </w:t>
      </w:r>
      <w:r w:rsidRPr="00A75276">
        <w:rPr>
          <w:lang w:val="fr-FR"/>
        </w:rPr>
        <w:t xml:space="preserve">de résiliation compte tenu des </w:t>
      </w:r>
      <w:r w:rsidR="004838AB" w:rsidRPr="00A75276">
        <w:rPr>
          <w:lang w:val="fr-FR"/>
        </w:rPr>
        <w:t>information</w:t>
      </w:r>
      <w:r w:rsidRPr="00A75276">
        <w:rPr>
          <w:lang w:val="fr-FR"/>
        </w:rPr>
        <w:t>s supplémentaires fournies par l</w:t>
      </w:r>
      <w:r w:rsidR="009C53EC" w:rsidRPr="00A75276">
        <w:rPr>
          <w:lang w:val="fr-FR"/>
        </w:rPr>
        <w:t>’</w:t>
      </w:r>
      <w:r w:rsidR="00AB0D34" w:rsidRPr="00A75276">
        <w:rPr>
          <w:lang w:val="fr-FR"/>
        </w:rPr>
        <w:t>Office indien des brevets</w:t>
      </w:r>
      <w:r w:rsidR="004838AB" w:rsidRPr="00A75276">
        <w:rPr>
          <w:lang w:val="fr-FR"/>
        </w:rPr>
        <w:t>.</w:t>
      </w:r>
    </w:p>
    <w:p w:rsidR="00715135" w:rsidRPr="00A75276" w:rsidRDefault="0092373E" w:rsidP="00360B03">
      <w:pPr>
        <w:pStyle w:val="ONUMFS"/>
        <w:rPr>
          <w:lang w:val="fr-FR"/>
        </w:rPr>
      </w:pPr>
      <w:r w:rsidRPr="00A75276">
        <w:rPr>
          <w:lang w:val="fr-FR"/>
        </w:rPr>
        <w:t>L</w:t>
      </w:r>
      <w:r w:rsidR="009C53EC" w:rsidRPr="00A75276">
        <w:rPr>
          <w:lang w:val="fr-FR"/>
        </w:rPr>
        <w:t>’</w:t>
      </w:r>
      <w:r w:rsidR="004838AB" w:rsidRPr="00A75276">
        <w:rPr>
          <w:lang w:val="fr-FR"/>
        </w:rPr>
        <w:t xml:space="preserve">Office </w:t>
      </w:r>
      <w:r w:rsidRPr="00A75276">
        <w:rPr>
          <w:lang w:val="fr-FR"/>
        </w:rPr>
        <w:t>européen des brevets et l</w:t>
      </w:r>
      <w:r w:rsidR="009C53EC" w:rsidRPr="00A75276">
        <w:rPr>
          <w:lang w:val="fr-FR"/>
        </w:rPr>
        <w:t>’</w:t>
      </w:r>
      <w:r w:rsidRPr="00A75276">
        <w:rPr>
          <w:lang w:val="fr-FR"/>
        </w:rPr>
        <w:t>Office des brevets et des marques des États</w:t>
      </w:r>
      <w:r w:rsidR="00A16C85" w:rsidRPr="00A75276">
        <w:rPr>
          <w:lang w:val="fr-FR"/>
        </w:rPr>
        <w:noBreakHyphen/>
      </w:r>
      <w:r w:rsidRPr="00A75276">
        <w:rPr>
          <w:lang w:val="fr-FR"/>
        </w:rPr>
        <w:t>Unis d</w:t>
      </w:r>
      <w:r w:rsidR="009C53EC" w:rsidRPr="00A75276">
        <w:rPr>
          <w:lang w:val="fr-FR"/>
        </w:rPr>
        <w:t>’</w:t>
      </w:r>
      <w:r w:rsidRPr="00A75276">
        <w:rPr>
          <w:lang w:val="fr-FR"/>
        </w:rPr>
        <w:t>Amérique ont fait des déclarations détaillées, reproduites dans les paragraphes qui suivent et incluses intégralement dans le présent résumé établi par le président à la demande d</w:t>
      </w:r>
      <w:r w:rsidR="009C53EC" w:rsidRPr="00A75276">
        <w:rPr>
          <w:lang w:val="fr-FR"/>
        </w:rPr>
        <w:t>’</w:t>
      </w:r>
      <w:r w:rsidRPr="00A75276">
        <w:rPr>
          <w:lang w:val="fr-FR"/>
        </w:rPr>
        <w:t>une administration</w:t>
      </w:r>
      <w:r w:rsidR="004838AB" w:rsidRPr="00A75276">
        <w:rPr>
          <w:lang w:val="fr-FR"/>
        </w:rPr>
        <w:t>.</w:t>
      </w:r>
    </w:p>
    <w:p w:rsidR="00715135" w:rsidRPr="00A75276" w:rsidRDefault="0092373E" w:rsidP="00360B03">
      <w:pPr>
        <w:pStyle w:val="ONUMFS"/>
        <w:rPr>
          <w:lang w:val="fr-FR"/>
        </w:rPr>
      </w:pPr>
      <w:r w:rsidRPr="00A75276">
        <w:rPr>
          <w:lang w:val="fr-FR"/>
        </w:rPr>
        <w:t>L</w:t>
      </w:r>
      <w:r w:rsidR="009C53EC" w:rsidRPr="00A75276">
        <w:rPr>
          <w:lang w:val="fr-FR"/>
        </w:rPr>
        <w:t>’</w:t>
      </w:r>
      <w:r w:rsidR="004838AB" w:rsidRPr="00A75276">
        <w:rPr>
          <w:lang w:val="fr-FR"/>
        </w:rPr>
        <w:t xml:space="preserve">Office </w:t>
      </w:r>
      <w:r w:rsidRPr="00A75276">
        <w:rPr>
          <w:lang w:val="fr-FR"/>
        </w:rPr>
        <w:t xml:space="preserve">européen des brevets a déclaré que, par principe, il estimait que </w:t>
      </w:r>
      <w:r w:rsidR="00AB0D34" w:rsidRPr="00A75276">
        <w:rPr>
          <w:lang w:val="fr-FR"/>
        </w:rPr>
        <w:t>la documentation minimale</w:t>
      </w:r>
      <w:r w:rsidR="002E5DCA" w:rsidRPr="00A75276">
        <w:rPr>
          <w:lang w:val="fr-FR"/>
        </w:rPr>
        <w:t xml:space="preserve"> du PCT</w:t>
      </w:r>
      <w:r w:rsidR="004838AB" w:rsidRPr="00A75276">
        <w:rPr>
          <w:lang w:val="fr-FR"/>
        </w:rPr>
        <w:t xml:space="preserve"> </w:t>
      </w:r>
      <w:r w:rsidRPr="00A75276">
        <w:rPr>
          <w:lang w:val="fr-FR"/>
        </w:rPr>
        <w:t xml:space="preserve">devait englober la documentation la plus large </w:t>
      </w:r>
      <w:r w:rsidR="004838AB" w:rsidRPr="00A75276">
        <w:rPr>
          <w:lang w:val="fr-FR"/>
        </w:rPr>
        <w:t>possib</w:t>
      </w:r>
      <w:r w:rsidR="00A16C85" w:rsidRPr="00A75276">
        <w:rPr>
          <w:lang w:val="fr-FR"/>
        </w:rPr>
        <w:t>le.  C’e</w:t>
      </w:r>
      <w:r w:rsidR="00DC4897" w:rsidRPr="00A75276">
        <w:rPr>
          <w:lang w:val="fr-FR"/>
        </w:rPr>
        <w:t>st pourquoi il était d</w:t>
      </w:r>
      <w:r w:rsidR="009C53EC" w:rsidRPr="00A75276">
        <w:rPr>
          <w:lang w:val="fr-FR"/>
        </w:rPr>
        <w:t>’</w:t>
      </w:r>
      <w:r w:rsidR="00DC4897" w:rsidRPr="00A75276">
        <w:rPr>
          <w:lang w:val="fr-FR"/>
        </w:rPr>
        <w:t>avis que, avant d</w:t>
      </w:r>
      <w:r w:rsidR="009C53EC" w:rsidRPr="00A75276">
        <w:rPr>
          <w:lang w:val="fr-FR"/>
        </w:rPr>
        <w:t>’</w:t>
      </w:r>
      <w:r w:rsidR="00DC4897" w:rsidRPr="00A75276">
        <w:rPr>
          <w:lang w:val="fr-FR"/>
        </w:rPr>
        <w:t>envisager d</w:t>
      </w:r>
      <w:r w:rsidR="009C53EC" w:rsidRPr="00A75276">
        <w:rPr>
          <w:lang w:val="fr-FR"/>
        </w:rPr>
        <w:t>’</w:t>
      </w:r>
      <w:r w:rsidR="00DC4897" w:rsidRPr="00A75276">
        <w:rPr>
          <w:lang w:val="fr-FR"/>
        </w:rPr>
        <w:t>inclure toute collection de documents non</w:t>
      </w:r>
      <w:r w:rsidR="00A16C85" w:rsidRPr="00A75276">
        <w:rPr>
          <w:lang w:val="fr-FR"/>
        </w:rPr>
        <w:noBreakHyphen/>
      </w:r>
      <w:r w:rsidR="00DC4897" w:rsidRPr="00A75276">
        <w:rPr>
          <w:lang w:val="fr-FR"/>
        </w:rPr>
        <w:t xml:space="preserve">brevet dans la </w:t>
      </w:r>
      <w:r w:rsidR="00AB0D34" w:rsidRPr="00A75276">
        <w:rPr>
          <w:lang w:val="fr-FR"/>
        </w:rPr>
        <w:t>documentation minimale</w:t>
      </w:r>
      <w:r w:rsidR="002E5DCA" w:rsidRPr="00A75276">
        <w:rPr>
          <w:lang w:val="fr-FR"/>
        </w:rPr>
        <w:t xml:space="preserve"> du PCT</w:t>
      </w:r>
      <w:r w:rsidR="004838AB" w:rsidRPr="00A75276">
        <w:rPr>
          <w:lang w:val="fr-FR"/>
        </w:rPr>
        <w:t xml:space="preserve">, </w:t>
      </w:r>
      <w:r w:rsidR="00DC4897" w:rsidRPr="00A75276">
        <w:rPr>
          <w:lang w:val="fr-FR"/>
        </w:rPr>
        <w:t>il fallait donner la priorité</w:t>
      </w:r>
      <w:r w:rsidR="004838AB" w:rsidRPr="00A75276">
        <w:rPr>
          <w:lang w:val="fr-FR"/>
        </w:rPr>
        <w:t xml:space="preserve"> </w:t>
      </w:r>
      <w:r w:rsidR="00DC4897" w:rsidRPr="00A75276">
        <w:rPr>
          <w:lang w:val="fr-FR"/>
        </w:rPr>
        <w:t>à la documentation de brevet proprement di</w:t>
      </w:r>
      <w:r w:rsidR="00A16C85" w:rsidRPr="00A75276">
        <w:rPr>
          <w:lang w:val="fr-FR"/>
        </w:rPr>
        <w:t>te.  Il</w:t>
      </w:r>
      <w:r w:rsidR="00DC4897" w:rsidRPr="00A75276">
        <w:rPr>
          <w:lang w:val="fr-FR"/>
        </w:rPr>
        <w:t xml:space="preserve"> constatait que, pour l</w:t>
      </w:r>
      <w:r w:rsidR="009C53EC" w:rsidRPr="00A75276">
        <w:rPr>
          <w:lang w:val="fr-FR"/>
        </w:rPr>
        <w:t>’</w:t>
      </w:r>
      <w:r w:rsidR="00DC4897" w:rsidRPr="00A75276">
        <w:rPr>
          <w:lang w:val="fr-FR"/>
        </w:rPr>
        <w:t>heure, les publications de brevet de l</w:t>
      </w:r>
      <w:r w:rsidR="009C53EC" w:rsidRPr="00A75276">
        <w:rPr>
          <w:lang w:val="fr-FR"/>
        </w:rPr>
        <w:t>’</w:t>
      </w:r>
      <w:r w:rsidR="00DC4897" w:rsidRPr="00A75276">
        <w:rPr>
          <w:lang w:val="fr-FR"/>
        </w:rPr>
        <w:t>Inde n</w:t>
      </w:r>
      <w:r w:rsidR="009C53EC" w:rsidRPr="00A75276">
        <w:rPr>
          <w:lang w:val="fr-FR"/>
        </w:rPr>
        <w:t>’</w:t>
      </w:r>
      <w:r w:rsidR="00DC4897" w:rsidRPr="00A75276">
        <w:rPr>
          <w:lang w:val="fr-FR"/>
        </w:rPr>
        <w:t xml:space="preserve">étaient pas comprises dans </w:t>
      </w:r>
      <w:r w:rsidR="00AB0D34" w:rsidRPr="00A75276">
        <w:rPr>
          <w:lang w:val="fr-FR"/>
        </w:rPr>
        <w:t>la documentation minimale</w:t>
      </w:r>
      <w:r w:rsidR="002E5DCA" w:rsidRPr="00A75276">
        <w:rPr>
          <w:lang w:val="fr-FR"/>
        </w:rPr>
        <w:t xml:space="preserve"> du </w:t>
      </w:r>
      <w:r w:rsidR="00A16C85" w:rsidRPr="00A75276">
        <w:rPr>
          <w:lang w:val="fr-FR"/>
        </w:rPr>
        <w:t>PCT.  Il</w:t>
      </w:r>
      <w:r w:rsidR="00DC4897" w:rsidRPr="00A75276">
        <w:rPr>
          <w:lang w:val="fr-FR"/>
        </w:rPr>
        <w:t xml:space="preserve"> estimait donc que la priorité devrait être donnée à l</w:t>
      </w:r>
      <w:r w:rsidR="009C53EC" w:rsidRPr="00A75276">
        <w:rPr>
          <w:lang w:val="fr-FR"/>
        </w:rPr>
        <w:t>’</w:t>
      </w:r>
      <w:r w:rsidR="004838AB" w:rsidRPr="00A75276">
        <w:rPr>
          <w:lang w:val="fr-FR"/>
        </w:rPr>
        <w:t xml:space="preserve">inclusion </w:t>
      </w:r>
      <w:r w:rsidR="00DC4897" w:rsidRPr="00A75276">
        <w:rPr>
          <w:lang w:val="fr-FR"/>
        </w:rPr>
        <w:t>de l</w:t>
      </w:r>
      <w:r w:rsidR="009C53EC" w:rsidRPr="00A75276">
        <w:rPr>
          <w:lang w:val="fr-FR"/>
        </w:rPr>
        <w:t>’</w:t>
      </w:r>
      <w:r w:rsidR="004838AB" w:rsidRPr="00A75276">
        <w:rPr>
          <w:lang w:val="fr-FR"/>
        </w:rPr>
        <w:t xml:space="preserve">information </w:t>
      </w:r>
      <w:r w:rsidR="00DC4897" w:rsidRPr="00A75276">
        <w:rPr>
          <w:lang w:val="fr-FR"/>
        </w:rPr>
        <w:t>en matière de brevets de l</w:t>
      </w:r>
      <w:r w:rsidR="009C53EC" w:rsidRPr="00A75276">
        <w:rPr>
          <w:lang w:val="fr-FR"/>
        </w:rPr>
        <w:t>’</w:t>
      </w:r>
      <w:r w:rsidR="00DC4897" w:rsidRPr="00A75276">
        <w:rPr>
          <w:lang w:val="fr-FR"/>
        </w:rPr>
        <w:t xml:space="preserve">Inde dans </w:t>
      </w:r>
      <w:r w:rsidR="00AB0D34" w:rsidRPr="00A75276">
        <w:rPr>
          <w:lang w:val="fr-FR"/>
        </w:rPr>
        <w:t>la documentation minimale</w:t>
      </w:r>
      <w:r w:rsidR="002E5DCA" w:rsidRPr="00A75276">
        <w:rPr>
          <w:lang w:val="fr-FR"/>
        </w:rPr>
        <w:t xml:space="preserve"> du PCT</w:t>
      </w:r>
      <w:r w:rsidR="004838AB" w:rsidRPr="00A75276">
        <w:rPr>
          <w:lang w:val="fr-FR"/>
        </w:rPr>
        <w:t>.</w:t>
      </w:r>
    </w:p>
    <w:p w:rsidR="00715135" w:rsidRPr="00A75276" w:rsidRDefault="0048533C" w:rsidP="00360B03">
      <w:pPr>
        <w:pStyle w:val="ONUMFS"/>
        <w:rPr>
          <w:lang w:val="fr-FR"/>
        </w:rPr>
      </w:pPr>
      <w:r w:rsidRPr="00A75276">
        <w:rPr>
          <w:lang w:val="fr-FR"/>
        </w:rPr>
        <w:lastRenderedPageBreak/>
        <w:t>L</w:t>
      </w:r>
      <w:r w:rsidR="009C53EC" w:rsidRPr="00A75276">
        <w:rPr>
          <w:lang w:val="fr-FR"/>
        </w:rPr>
        <w:t>’</w:t>
      </w:r>
      <w:r w:rsidRPr="00A75276">
        <w:rPr>
          <w:lang w:val="fr-FR"/>
        </w:rPr>
        <w:t>Office européen des brevets</w:t>
      </w:r>
      <w:r w:rsidR="004838AB" w:rsidRPr="00A75276">
        <w:rPr>
          <w:lang w:val="fr-FR"/>
        </w:rPr>
        <w:t xml:space="preserve"> </w:t>
      </w:r>
      <w:r w:rsidRPr="00A75276">
        <w:rPr>
          <w:lang w:val="fr-FR"/>
        </w:rPr>
        <w:t>a ajouté que, en tant qu</w:t>
      </w:r>
      <w:r w:rsidR="009C53EC" w:rsidRPr="00A75276">
        <w:rPr>
          <w:lang w:val="fr-FR"/>
        </w:rPr>
        <w:t>’</w:t>
      </w:r>
      <w:r w:rsidRPr="00A75276">
        <w:rPr>
          <w:lang w:val="fr-FR"/>
        </w:rPr>
        <w:t xml:space="preserve">utilisateur actif de la </w:t>
      </w:r>
      <w:r w:rsidR="002240C1" w:rsidRPr="00A75276">
        <w:rPr>
          <w:lang w:val="fr-FR"/>
        </w:rPr>
        <w:t>bibliothèque numérique des savoirs traditionnels</w:t>
      </w:r>
      <w:r w:rsidR="004838AB" w:rsidRPr="00A75276">
        <w:rPr>
          <w:lang w:val="fr-FR"/>
        </w:rPr>
        <w:t>, i</w:t>
      </w:r>
      <w:r w:rsidRPr="00A75276">
        <w:rPr>
          <w:lang w:val="fr-FR"/>
        </w:rPr>
        <w:t>l appuyait la demande de l</w:t>
      </w:r>
      <w:r w:rsidR="009C53EC" w:rsidRPr="00A75276">
        <w:rPr>
          <w:lang w:val="fr-FR"/>
        </w:rPr>
        <w:t>’</w:t>
      </w:r>
      <w:r w:rsidRPr="00A75276">
        <w:rPr>
          <w:lang w:val="fr-FR"/>
        </w:rPr>
        <w:t xml:space="preserve">Inde tendant à ajouter sa </w:t>
      </w:r>
      <w:r w:rsidR="002240C1" w:rsidRPr="00A75276">
        <w:rPr>
          <w:lang w:val="fr-FR"/>
        </w:rPr>
        <w:t>bibliothèque numérique des savoirs traditionnels</w:t>
      </w:r>
      <w:r w:rsidR="004838AB" w:rsidRPr="00A75276">
        <w:rPr>
          <w:lang w:val="fr-FR"/>
        </w:rPr>
        <w:t xml:space="preserve"> </w:t>
      </w:r>
      <w:r w:rsidRPr="00A75276">
        <w:rPr>
          <w:lang w:val="fr-FR"/>
        </w:rPr>
        <w:t>à la partie littérature non</w:t>
      </w:r>
      <w:r w:rsidR="00A16C85" w:rsidRPr="00A75276">
        <w:rPr>
          <w:lang w:val="fr-FR"/>
        </w:rPr>
        <w:noBreakHyphen/>
      </w:r>
      <w:r w:rsidRPr="00A75276">
        <w:rPr>
          <w:lang w:val="fr-FR"/>
        </w:rPr>
        <w:t xml:space="preserve">brevet de la </w:t>
      </w:r>
      <w:r w:rsidR="00AB0D34" w:rsidRPr="00A75276">
        <w:rPr>
          <w:lang w:val="fr-FR"/>
        </w:rPr>
        <w:t>documentation minimale</w:t>
      </w:r>
      <w:r w:rsidR="002E5DCA" w:rsidRPr="00A75276">
        <w:rPr>
          <w:lang w:val="fr-FR"/>
        </w:rPr>
        <w:t xml:space="preserve"> du PCT</w:t>
      </w:r>
      <w:r w:rsidR="004838AB" w:rsidRPr="00A75276">
        <w:rPr>
          <w:lang w:val="fr-FR"/>
        </w:rPr>
        <w:t xml:space="preserve">, </w:t>
      </w:r>
      <w:r w:rsidRPr="00A75276">
        <w:rPr>
          <w:lang w:val="fr-FR"/>
        </w:rPr>
        <w:t>sous réserve d</w:t>
      </w:r>
      <w:r w:rsidR="009C53EC" w:rsidRPr="00A75276">
        <w:rPr>
          <w:lang w:val="fr-FR"/>
        </w:rPr>
        <w:t>’</w:t>
      </w:r>
      <w:r w:rsidRPr="00A75276">
        <w:rPr>
          <w:lang w:val="fr-FR"/>
        </w:rPr>
        <w:t xml:space="preserve">un certain nombre de </w:t>
      </w:r>
      <w:r w:rsidR="004838AB" w:rsidRPr="00A75276">
        <w:rPr>
          <w:lang w:val="fr-FR"/>
        </w:rPr>
        <w:t>conditions.</w:t>
      </w:r>
    </w:p>
    <w:p w:rsidR="00715135" w:rsidRPr="00A75276" w:rsidRDefault="0048533C" w:rsidP="00360B03">
      <w:pPr>
        <w:pStyle w:val="ONUMFS"/>
        <w:rPr>
          <w:lang w:val="fr-FR"/>
        </w:rPr>
      </w:pPr>
      <w:r w:rsidRPr="00A75276">
        <w:rPr>
          <w:lang w:val="fr-FR"/>
        </w:rPr>
        <w:t>Premièrement</w:t>
      </w:r>
      <w:r w:rsidR="004838AB" w:rsidRPr="00A75276">
        <w:rPr>
          <w:lang w:val="fr-FR"/>
        </w:rPr>
        <w:t xml:space="preserve">, </w:t>
      </w:r>
      <w:r w:rsidRPr="00A75276">
        <w:rPr>
          <w:lang w:val="fr-FR"/>
        </w:rPr>
        <w:t>l</w:t>
      </w:r>
      <w:r w:rsidR="009C53EC" w:rsidRPr="00A75276">
        <w:rPr>
          <w:lang w:val="fr-FR"/>
        </w:rPr>
        <w:t>’</w:t>
      </w:r>
      <w:r w:rsidRPr="00A75276">
        <w:rPr>
          <w:lang w:val="fr-FR"/>
        </w:rPr>
        <w:t>Office européen des brevets</w:t>
      </w:r>
      <w:r w:rsidR="004838AB" w:rsidRPr="00A75276">
        <w:rPr>
          <w:lang w:val="fr-FR"/>
        </w:rPr>
        <w:t xml:space="preserve"> </w:t>
      </w:r>
      <w:r w:rsidR="00FB34E8" w:rsidRPr="00A75276">
        <w:rPr>
          <w:lang w:val="fr-FR"/>
        </w:rPr>
        <w:t>avait souligné, à la R</w:t>
      </w:r>
      <w:r w:rsidRPr="00A75276">
        <w:rPr>
          <w:lang w:val="fr-FR"/>
        </w:rPr>
        <w:t>éunion des administrations internationales</w:t>
      </w:r>
      <w:r w:rsidR="00FB34E8" w:rsidRPr="00A75276">
        <w:rPr>
          <w:lang w:val="fr-FR"/>
        </w:rPr>
        <w:t xml:space="preserve"> tenue en</w:t>
      </w:r>
      <w:r w:rsidR="00432F5D" w:rsidRPr="00A75276">
        <w:rPr>
          <w:lang w:val="fr-FR"/>
        </w:rPr>
        <w:t> </w:t>
      </w:r>
      <w:r w:rsidR="00FB34E8" w:rsidRPr="00A75276">
        <w:rPr>
          <w:lang w:val="fr-FR"/>
        </w:rPr>
        <w:t>2015</w:t>
      </w:r>
      <w:r w:rsidR="004838AB" w:rsidRPr="00A75276">
        <w:rPr>
          <w:lang w:val="fr-FR"/>
        </w:rPr>
        <w:t xml:space="preserve">, </w:t>
      </w:r>
      <w:r w:rsidRPr="00A75276">
        <w:rPr>
          <w:lang w:val="fr-FR"/>
        </w:rPr>
        <w:t>que l</w:t>
      </w:r>
      <w:r w:rsidR="009C53EC" w:rsidRPr="00A75276">
        <w:rPr>
          <w:lang w:val="fr-FR"/>
        </w:rPr>
        <w:t>’</w:t>
      </w:r>
      <w:r w:rsidRPr="00A75276">
        <w:rPr>
          <w:lang w:val="fr-FR"/>
        </w:rPr>
        <w:t>accord en matière d</w:t>
      </w:r>
      <w:r w:rsidR="009C53EC" w:rsidRPr="00A75276">
        <w:rPr>
          <w:lang w:val="fr-FR"/>
        </w:rPr>
        <w:t>’</w:t>
      </w:r>
      <w:r w:rsidRPr="00A75276">
        <w:rPr>
          <w:lang w:val="fr-FR"/>
        </w:rPr>
        <w:t>accès devrait être modifié pour faciliter l</w:t>
      </w:r>
      <w:r w:rsidR="009C53EC" w:rsidRPr="00A75276">
        <w:rPr>
          <w:lang w:val="fr-FR"/>
        </w:rPr>
        <w:t>’</w:t>
      </w:r>
      <w:r w:rsidRPr="00A75276">
        <w:rPr>
          <w:lang w:val="fr-FR"/>
        </w:rPr>
        <w:t xml:space="preserve">utilisation de la </w:t>
      </w:r>
      <w:r w:rsidR="002240C1" w:rsidRPr="00A75276">
        <w:rPr>
          <w:lang w:val="fr-FR"/>
        </w:rPr>
        <w:t>bibliothèque numérique des savoirs traditionnels</w:t>
      </w:r>
      <w:r w:rsidR="004838AB" w:rsidRPr="00A75276">
        <w:rPr>
          <w:lang w:val="fr-FR"/>
        </w:rPr>
        <w:t xml:space="preserve"> </w:t>
      </w:r>
      <w:r w:rsidRPr="00A75276">
        <w:rPr>
          <w:lang w:val="fr-FR"/>
        </w:rPr>
        <w:t>par les administrations chargées de la recherche internationa</w:t>
      </w:r>
      <w:r w:rsidR="00A16C85" w:rsidRPr="00A75276">
        <w:rPr>
          <w:lang w:val="fr-FR"/>
        </w:rPr>
        <w:t>le.  Ce</w:t>
      </w:r>
      <w:r w:rsidR="00147ED9" w:rsidRPr="00A75276">
        <w:rPr>
          <w:lang w:val="fr-FR"/>
        </w:rPr>
        <w:t>la n</w:t>
      </w:r>
      <w:r w:rsidR="009C53EC" w:rsidRPr="00A75276">
        <w:rPr>
          <w:lang w:val="fr-FR"/>
        </w:rPr>
        <w:t>’</w:t>
      </w:r>
      <w:r w:rsidR="00147ED9" w:rsidRPr="00A75276">
        <w:rPr>
          <w:lang w:val="fr-FR"/>
        </w:rPr>
        <w:t>avait pas encore été fait</w:t>
      </w:r>
      <w:r w:rsidR="004838AB" w:rsidRPr="00A75276">
        <w:rPr>
          <w:lang w:val="fr-FR"/>
        </w:rPr>
        <w:t xml:space="preserve">.  </w:t>
      </w:r>
      <w:r w:rsidR="00147ED9" w:rsidRPr="00A75276">
        <w:rPr>
          <w:lang w:val="fr-FR"/>
        </w:rPr>
        <w:t>L</w:t>
      </w:r>
      <w:r w:rsidR="009C53EC" w:rsidRPr="00A75276">
        <w:rPr>
          <w:lang w:val="fr-FR"/>
        </w:rPr>
        <w:t>’</w:t>
      </w:r>
      <w:r w:rsidRPr="00A75276">
        <w:rPr>
          <w:lang w:val="fr-FR"/>
        </w:rPr>
        <w:t>Office européen des brevets</w:t>
      </w:r>
      <w:r w:rsidR="004838AB" w:rsidRPr="00A75276">
        <w:rPr>
          <w:lang w:val="fr-FR"/>
        </w:rPr>
        <w:t xml:space="preserve"> </w:t>
      </w:r>
      <w:r w:rsidR="00147ED9" w:rsidRPr="00A75276">
        <w:rPr>
          <w:lang w:val="fr-FR"/>
        </w:rPr>
        <w:t>se félicitait néanmoins de la volonté de l</w:t>
      </w:r>
      <w:r w:rsidR="009C53EC" w:rsidRPr="00A75276">
        <w:rPr>
          <w:lang w:val="fr-FR"/>
        </w:rPr>
        <w:t>’</w:t>
      </w:r>
      <w:r w:rsidR="00147ED9" w:rsidRPr="00A75276">
        <w:rPr>
          <w:lang w:val="fr-FR"/>
        </w:rPr>
        <w:t>Inde de réviser cet accord à l</w:t>
      </w:r>
      <w:r w:rsidR="009C53EC" w:rsidRPr="00A75276">
        <w:rPr>
          <w:lang w:val="fr-FR"/>
        </w:rPr>
        <w:t>’</w:t>
      </w:r>
      <w:r w:rsidR="00147ED9" w:rsidRPr="00A75276">
        <w:rPr>
          <w:lang w:val="fr-FR"/>
        </w:rPr>
        <w:t>aven</w:t>
      </w:r>
      <w:r w:rsidR="00A16C85" w:rsidRPr="00A75276">
        <w:rPr>
          <w:lang w:val="fr-FR"/>
        </w:rPr>
        <w:t>ir.  Po</w:t>
      </w:r>
      <w:r w:rsidR="00147ED9" w:rsidRPr="00A75276">
        <w:rPr>
          <w:lang w:val="fr-FR"/>
        </w:rPr>
        <w:t>ur l</w:t>
      </w:r>
      <w:r w:rsidR="009C53EC" w:rsidRPr="00A75276">
        <w:rPr>
          <w:lang w:val="fr-FR"/>
        </w:rPr>
        <w:t>’</w:t>
      </w:r>
      <w:r w:rsidRPr="00A75276">
        <w:rPr>
          <w:lang w:val="fr-FR"/>
        </w:rPr>
        <w:t>Office européen des brevets</w:t>
      </w:r>
      <w:r w:rsidR="004838AB" w:rsidRPr="00A75276">
        <w:rPr>
          <w:lang w:val="fr-FR"/>
        </w:rPr>
        <w:t xml:space="preserve">, </w:t>
      </w:r>
      <w:r w:rsidR="00147ED9" w:rsidRPr="00A75276">
        <w:rPr>
          <w:lang w:val="fr-FR"/>
        </w:rPr>
        <w:t>la</w:t>
      </w:r>
      <w:r w:rsidR="004838AB" w:rsidRPr="00A75276">
        <w:rPr>
          <w:lang w:val="fr-FR"/>
        </w:rPr>
        <w:t xml:space="preserve"> facilitation </w:t>
      </w:r>
      <w:r w:rsidR="00147ED9" w:rsidRPr="00A75276">
        <w:rPr>
          <w:lang w:val="fr-FR"/>
        </w:rPr>
        <w:t>de l</w:t>
      </w:r>
      <w:r w:rsidR="009C53EC" w:rsidRPr="00A75276">
        <w:rPr>
          <w:lang w:val="fr-FR"/>
        </w:rPr>
        <w:t>’</w:t>
      </w:r>
      <w:r w:rsidR="00147ED9" w:rsidRPr="00A75276">
        <w:rPr>
          <w:lang w:val="fr-FR"/>
        </w:rPr>
        <w:t>utilisation de la</w:t>
      </w:r>
      <w:r w:rsidR="004838AB" w:rsidRPr="00A75276">
        <w:rPr>
          <w:lang w:val="fr-FR"/>
        </w:rPr>
        <w:t xml:space="preserve"> </w:t>
      </w:r>
      <w:r w:rsidR="002240C1" w:rsidRPr="00A75276">
        <w:rPr>
          <w:lang w:val="fr-FR"/>
        </w:rPr>
        <w:t>bibliothèque numérique des savoirs traditionnels</w:t>
      </w:r>
      <w:r w:rsidR="004838AB" w:rsidRPr="00A75276">
        <w:rPr>
          <w:lang w:val="fr-FR"/>
        </w:rPr>
        <w:t xml:space="preserve"> </w:t>
      </w:r>
      <w:r w:rsidR="00147ED9" w:rsidRPr="00A75276">
        <w:rPr>
          <w:lang w:val="fr-FR"/>
        </w:rPr>
        <w:t>signifiait concrètement qu</w:t>
      </w:r>
      <w:r w:rsidR="009C53EC" w:rsidRPr="00A75276">
        <w:rPr>
          <w:lang w:val="fr-FR"/>
        </w:rPr>
        <w:t>’</w:t>
      </w:r>
      <w:r w:rsidR="00147ED9" w:rsidRPr="00A75276">
        <w:rPr>
          <w:lang w:val="fr-FR"/>
        </w:rPr>
        <w:t xml:space="preserve">il était devenu </w:t>
      </w:r>
      <w:r w:rsidR="004838AB" w:rsidRPr="00A75276">
        <w:rPr>
          <w:lang w:val="fr-FR"/>
        </w:rPr>
        <w:t xml:space="preserve">possible </w:t>
      </w:r>
      <w:r w:rsidR="00147ED9" w:rsidRPr="00A75276">
        <w:rPr>
          <w:lang w:val="fr-FR"/>
        </w:rPr>
        <w:t>d</w:t>
      </w:r>
      <w:r w:rsidR="009C53EC" w:rsidRPr="00A75276">
        <w:rPr>
          <w:lang w:val="fr-FR"/>
        </w:rPr>
        <w:t>’</w:t>
      </w:r>
      <w:r w:rsidR="00147ED9" w:rsidRPr="00A75276">
        <w:rPr>
          <w:lang w:val="fr-FR"/>
        </w:rPr>
        <w:t xml:space="preserve">intégrer les données brutes de cette </w:t>
      </w:r>
      <w:r w:rsidR="002240C1" w:rsidRPr="00A75276">
        <w:rPr>
          <w:lang w:val="fr-FR"/>
        </w:rPr>
        <w:t xml:space="preserve">bibliothèque </w:t>
      </w:r>
      <w:r w:rsidR="00147ED9" w:rsidRPr="00A75276">
        <w:rPr>
          <w:lang w:val="fr-FR"/>
        </w:rPr>
        <w:t>aux systèmes de recherche internes de l</w:t>
      </w:r>
      <w:r w:rsidR="009C53EC" w:rsidRPr="00A75276">
        <w:rPr>
          <w:lang w:val="fr-FR"/>
        </w:rPr>
        <w:t>’</w:t>
      </w:r>
      <w:r w:rsidR="00147ED9" w:rsidRPr="00A75276">
        <w:rPr>
          <w:lang w:val="fr-FR"/>
        </w:rPr>
        <w:t>o</w:t>
      </w:r>
      <w:r w:rsidR="004838AB" w:rsidRPr="00A75276">
        <w:rPr>
          <w:lang w:val="fr-FR"/>
        </w:rPr>
        <w:t>ffi</w:t>
      </w:r>
      <w:r w:rsidR="00A16C85" w:rsidRPr="00A75276">
        <w:rPr>
          <w:lang w:val="fr-FR"/>
        </w:rPr>
        <w:t>ce.  Au</w:t>
      </w:r>
      <w:r w:rsidR="00147ED9" w:rsidRPr="00A75276">
        <w:rPr>
          <w:lang w:val="fr-FR"/>
        </w:rPr>
        <w:t>jourd</w:t>
      </w:r>
      <w:r w:rsidR="009C53EC" w:rsidRPr="00A75276">
        <w:rPr>
          <w:lang w:val="fr-FR"/>
        </w:rPr>
        <w:t>’</w:t>
      </w:r>
      <w:r w:rsidR="00147ED9" w:rsidRPr="00A75276">
        <w:rPr>
          <w:lang w:val="fr-FR"/>
        </w:rPr>
        <w:t>hui</w:t>
      </w:r>
      <w:r w:rsidR="004838AB" w:rsidRPr="00A75276">
        <w:rPr>
          <w:lang w:val="fr-FR"/>
        </w:rPr>
        <w:t xml:space="preserve">, </w:t>
      </w:r>
      <w:r w:rsidR="00147ED9" w:rsidRPr="00A75276">
        <w:rPr>
          <w:lang w:val="fr-FR"/>
        </w:rPr>
        <w:t>l</w:t>
      </w:r>
      <w:r w:rsidR="009C53EC" w:rsidRPr="00A75276">
        <w:rPr>
          <w:lang w:val="fr-FR"/>
        </w:rPr>
        <w:t>’</w:t>
      </w:r>
      <w:r w:rsidR="00147ED9" w:rsidRPr="00A75276">
        <w:rPr>
          <w:lang w:val="fr-FR"/>
        </w:rPr>
        <w:t xml:space="preserve">accès à la </w:t>
      </w:r>
      <w:r w:rsidR="002240C1" w:rsidRPr="00A75276">
        <w:rPr>
          <w:lang w:val="fr-FR"/>
        </w:rPr>
        <w:t>bibliothèque numérique des savoirs traditionnels</w:t>
      </w:r>
      <w:r w:rsidR="004838AB" w:rsidRPr="00A75276">
        <w:rPr>
          <w:lang w:val="fr-FR"/>
        </w:rPr>
        <w:t xml:space="preserve"> </w:t>
      </w:r>
      <w:r w:rsidR="00147ED9" w:rsidRPr="00A75276">
        <w:rPr>
          <w:lang w:val="fr-FR"/>
        </w:rPr>
        <w:t>ne pouvait se faire que par l</w:t>
      </w:r>
      <w:r w:rsidR="009C53EC" w:rsidRPr="00A75276">
        <w:rPr>
          <w:lang w:val="fr-FR"/>
        </w:rPr>
        <w:t>’</w:t>
      </w:r>
      <w:r w:rsidR="00147ED9" w:rsidRPr="00A75276">
        <w:rPr>
          <w:lang w:val="fr-FR"/>
        </w:rPr>
        <w:t>intermédiaire d</w:t>
      </w:r>
      <w:r w:rsidR="009C53EC" w:rsidRPr="00A75276">
        <w:rPr>
          <w:lang w:val="fr-FR"/>
        </w:rPr>
        <w:t>’</w:t>
      </w:r>
      <w:r w:rsidR="00147ED9" w:rsidRPr="00A75276">
        <w:rPr>
          <w:lang w:val="fr-FR"/>
        </w:rPr>
        <w:t>un site</w:t>
      </w:r>
      <w:r w:rsidR="00432F5D" w:rsidRPr="00A75276">
        <w:rPr>
          <w:lang w:val="fr-FR"/>
        </w:rPr>
        <w:t> </w:t>
      </w:r>
      <w:r w:rsidR="00147ED9" w:rsidRPr="00A75276">
        <w:rPr>
          <w:lang w:val="fr-FR"/>
        </w:rPr>
        <w:t>Web externe déd</w:t>
      </w:r>
      <w:r w:rsidR="00A16C85" w:rsidRPr="00A75276">
        <w:rPr>
          <w:lang w:val="fr-FR"/>
        </w:rPr>
        <w:t>ié.  Du</w:t>
      </w:r>
      <w:r w:rsidR="00147ED9" w:rsidRPr="00A75276">
        <w:rPr>
          <w:lang w:val="fr-FR"/>
        </w:rPr>
        <w:t xml:space="preserve"> point de vue pratique</w:t>
      </w:r>
      <w:r w:rsidR="004838AB" w:rsidRPr="00A75276">
        <w:rPr>
          <w:lang w:val="fr-FR"/>
        </w:rPr>
        <w:t xml:space="preserve">, </w:t>
      </w:r>
      <w:r w:rsidR="00AB0D34" w:rsidRPr="00A75276">
        <w:rPr>
          <w:lang w:val="fr-FR"/>
        </w:rPr>
        <w:t>la documentation minimale</w:t>
      </w:r>
      <w:r w:rsidR="002E5DCA" w:rsidRPr="00A75276">
        <w:rPr>
          <w:lang w:val="fr-FR"/>
        </w:rPr>
        <w:t xml:space="preserve"> du PCT</w:t>
      </w:r>
      <w:r w:rsidR="004838AB" w:rsidRPr="00A75276">
        <w:rPr>
          <w:lang w:val="fr-FR"/>
        </w:rPr>
        <w:t xml:space="preserve"> </w:t>
      </w:r>
      <w:r w:rsidR="00147ED9" w:rsidRPr="00A75276">
        <w:rPr>
          <w:lang w:val="fr-FR"/>
        </w:rPr>
        <w:t>devait pouvoir être</w:t>
      </w:r>
      <w:r w:rsidR="004838AB" w:rsidRPr="00A75276">
        <w:rPr>
          <w:lang w:val="fr-FR"/>
        </w:rPr>
        <w:t xml:space="preserve"> accessible </w:t>
      </w:r>
      <w:r w:rsidR="00147ED9" w:rsidRPr="00A75276">
        <w:rPr>
          <w:lang w:val="fr-FR"/>
        </w:rPr>
        <w:t>et faire l</w:t>
      </w:r>
      <w:r w:rsidR="009C53EC" w:rsidRPr="00A75276">
        <w:rPr>
          <w:lang w:val="fr-FR"/>
        </w:rPr>
        <w:t>’</w:t>
      </w:r>
      <w:r w:rsidR="00147ED9" w:rsidRPr="00A75276">
        <w:rPr>
          <w:lang w:val="fr-FR"/>
        </w:rPr>
        <w:t>objet de recherche</w:t>
      </w:r>
      <w:r w:rsidR="00FB34E8" w:rsidRPr="00A75276">
        <w:rPr>
          <w:lang w:val="fr-FR"/>
        </w:rPr>
        <w:t>s</w:t>
      </w:r>
      <w:r w:rsidR="00147ED9" w:rsidRPr="00A75276">
        <w:rPr>
          <w:lang w:val="fr-FR"/>
        </w:rPr>
        <w:t xml:space="preserve"> au moyen des outils standard à la disposition des examinateurs des différentes administrations chargées de la recherche internationale</w:t>
      </w:r>
      <w:r w:rsidR="004838AB" w:rsidRPr="00A75276">
        <w:rPr>
          <w:lang w:val="fr-FR"/>
        </w:rPr>
        <w:t>.</w:t>
      </w:r>
    </w:p>
    <w:p w:rsidR="00715135" w:rsidRPr="00A75276" w:rsidRDefault="00384D67" w:rsidP="00360B03">
      <w:pPr>
        <w:pStyle w:val="ONUMFS"/>
        <w:rPr>
          <w:lang w:val="fr-FR"/>
        </w:rPr>
      </w:pPr>
      <w:r w:rsidRPr="00A75276">
        <w:rPr>
          <w:lang w:val="fr-FR"/>
        </w:rPr>
        <w:t>L</w:t>
      </w:r>
      <w:r w:rsidR="009C53EC" w:rsidRPr="00A75276">
        <w:rPr>
          <w:lang w:val="fr-FR"/>
        </w:rPr>
        <w:t>’</w:t>
      </w:r>
      <w:r w:rsidR="0048533C" w:rsidRPr="00A75276">
        <w:rPr>
          <w:lang w:val="fr-FR"/>
        </w:rPr>
        <w:t>Office européen des brevets</w:t>
      </w:r>
      <w:r w:rsidR="004838AB" w:rsidRPr="00A75276">
        <w:rPr>
          <w:lang w:val="fr-FR"/>
        </w:rPr>
        <w:t xml:space="preserve"> </w:t>
      </w:r>
      <w:r w:rsidRPr="00A75276">
        <w:rPr>
          <w:lang w:val="fr-FR"/>
        </w:rPr>
        <w:t>a poursuivi en disant qu</w:t>
      </w:r>
      <w:r w:rsidR="009C53EC" w:rsidRPr="00A75276">
        <w:rPr>
          <w:lang w:val="fr-FR"/>
        </w:rPr>
        <w:t>’</w:t>
      </w:r>
      <w:r w:rsidRPr="00A75276">
        <w:rPr>
          <w:lang w:val="fr-FR"/>
        </w:rPr>
        <w:t>il accepterait en conséquence l</w:t>
      </w:r>
      <w:r w:rsidR="009C53EC" w:rsidRPr="00A75276">
        <w:rPr>
          <w:lang w:val="fr-FR"/>
        </w:rPr>
        <w:t>’</w:t>
      </w:r>
      <w:r w:rsidRPr="00A75276">
        <w:rPr>
          <w:lang w:val="fr-FR"/>
        </w:rPr>
        <w:t xml:space="preserve">inclusion de la </w:t>
      </w:r>
      <w:r w:rsidR="002240C1" w:rsidRPr="00A75276">
        <w:rPr>
          <w:lang w:val="fr-FR"/>
        </w:rPr>
        <w:t>bibliothèque numérique des savoirs traditionnels</w:t>
      </w:r>
      <w:r w:rsidR="004838AB" w:rsidRPr="00A75276">
        <w:rPr>
          <w:lang w:val="fr-FR"/>
        </w:rPr>
        <w:t xml:space="preserve"> </w:t>
      </w:r>
      <w:r w:rsidRPr="00A75276">
        <w:rPr>
          <w:lang w:val="fr-FR"/>
        </w:rPr>
        <w:t>dans</w:t>
      </w:r>
      <w:r w:rsidR="004838AB" w:rsidRPr="00A75276">
        <w:rPr>
          <w:lang w:val="fr-FR"/>
        </w:rPr>
        <w:t xml:space="preserve"> </w:t>
      </w:r>
      <w:r w:rsidR="00AB0D34" w:rsidRPr="00A75276">
        <w:rPr>
          <w:lang w:val="fr-FR"/>
        </w:rPr>
        <w:t>la documentation minimale</w:t>
      </w:r>
      <w:r w:rsidR="002E5DCA" w:rsidRPr="00A75276">
        <w:rPr>
          <w:lang w:val="fr-FR"/>
        </w:rPr>
        <w:t xml:space="preserve"> du PCT</w:t>
      </w:r>
      <w:r w:rsidR="004838AB" w:rsidRPr="00A75276">
        <w:rPr>
          <w:lang w:val="fr-FR"/>
        </w:rPr>
        <w:t xml:space="preserve"> </w:t>
      </w:r>
      <w:r w:rsidRPr="00A75276">
        <w:rPr>
          <w:lang w:val="fr-FR"/>
        </w:rPr>
        <w:t>uniquement à la condition que le contenu de la</w:t>
      </w:r>
      <w:r w:rsidR="004838AB" w:rsidRPr="00A75276">
        <w:rPr>
          <w:lang w:val="fr-FR"/>
        </w:rPr>
        <w:t xml:space="preserve"> </w:t>
      </w:r>
      <w:r w:rsidR="002240C1" w:rsidRPr="00A75276">
        <w:rPr>
          <w:lang w:val="fr-FR"/>
        </w:rPr>
        <w:t>bibliothèque numérique des savoirs traditionnels</w:t>
      </w:r>
      <w:r w:rsidR="004838AB" w:rsidRPr="00A75276">
        <w:rPr>
          <w:lang w:val="fr-FR"/>
        </w:rPr>
        <w:t xml:space="preserve"> </w:t>
      </w:r>
      <w:r w:rsidRPr="00A75276">
        <w:rPr>
          <w:lang w:val="fr-FR"/>
        </w:rPr>
        <w:t>soit mis à la disposition des administrations chargées de la recherche internationale de manière qu</w:t>
      </w:r>
      <w:r w:rsidR="009C53EC" w:rsidRPr="00A75276">
        <w:rPr>
          <w:lang w:val="fr-FR"/>
        </w:rPr>
        <w:t>’</w:t>
      </w:r>
      <w:r w:rsidRPr="00A75276">
        <w:rPr>
          <w:lang w:val="fr-FR"/>
        </w:rPr>
        <w:t>elles puissent</w:t>
      </w:r>
      <w:r w:rsidR="004838AB" w:rsidRPr="00A75276">
        <w:rPr>
          <w:lang w:val="fr-FR"/>
        </w:rPr>
        <w:t xml:space="preserve"> </w:t>
      </w:r>
      <w:r w:rsidRPr="00A75276">
        <w:rPr>
          <w:lang w:val="fr-FR"/>
        </w:rPr>
        <w:t xml:space="preserve">le transférer dans leurs bases de recherche internes et être ainsi incorporées </w:t>
      </w:r>
      <w:r w:rsidR="00DE0DFB" w:rsidRPr="00A75276">
        <w:rPr>
          <w:lang w:val="fr-FR"/>
        </w:rPr>
        <w:t>à leurs</w:t>
      </w:r>
      <w:r w:rsidRPr="00A75276">
        <w:rPr>
          <w:lang w:val="fr-FR"/>
        </w:rPr>
        <w:t xml:space="preserve"> outils de recherche </w:t>
      </w:r>
      <w:r w:rsidR="004838AB" w:rsidRPr="00A75276">
        <w:rPr>
          <w:lang w:val="fr-FR"/>
        </w:rPr>
        <w:t>standa</w:t>
      </w:r>
      <w:r w:rsidR="00A16C85" w:rsidRPr="00A75276">
        <w:rPr>
          <w:lang w:val="fr-FR"/>
        </w:rPr>
        <w:t>rd.  La</w:t>
      </w:r>
      <w:r w:rsidR="00DE0DFB" w:rsidRPr="00A75276">
        <w:rPr>
          <w:lang w:val="fr-FR"/>
        </w:rPr>
        <w:t xml:space="preserve"> recherche dans </w:t>
      </w:r>
      <w:r w:rsidR="00AB0D34" w:rsidRPr="00A75276">
        <w:rPr>
          <w:lang w:val="fr-FR"/>
        </w:rPr>
        <w:t>la documentation minimale</w:t>
      </w:r>
      <w:r w:rsidR="002E5DCA" w:rsidRPr="00A75276">
        <w:rPr>
          <w:lang w:val="fr-FR"/>
        </w:rPr>
        <w:t xml:space="preserve"> du PCT</w:t>
      </w:r>
      <w:r w:rsidR="004838AB" w:rsidRPr="00A75276">
        <w:rPr>
          <w:lang w:val="fr-FR"/>
        </w:rPr>
        <w:t xml:space="preserve"> </w:t>
      </w:r>
      <w:r w:rsidR="00DE0DFB" w:rsidRPr="00A75276">
        <w:rPr>
          <w:lang w:val="fr-FR"/>
        </w:rPr>
        <w:t>ne saurait être menée au moyen de multiples interfaces utilisateurs non normalisé</w:t>
      </w:r>
      <w:r w:rsidR="00A16C85" w:rsidRPr="00A75276">
        <w:rPr>
          <w:lang w:val="fr-FR"/>
        </w:rPr>
        <w:t>es.  Il</w:t>
      </w:r>
      <w:r w:rsidR="00DE0DFB" w:rsidRPr="00A75276">
        <w:rPr>
          <w:lang w:val="fr-FR"/>
        </w:rPr>
        <w:t xml:space="preserve"> s</w:t>
      </w:r>
      <w:r w:rsidR="009C53EC" w:rsidRPr="00A75276">
        <w:rPr>
          <w:lang w:val="fr-FR"/>
        </w:rPr>
        <w:t>’</w:t>
      </w:r>
      <w:r w:rsidR="00DE0DFB" w:rsidRPr="00A75276">
        <w:rPr>
          <w:lang w:val="fr-FR"/>
        </w:rPr>
        <w:t>ensuivait que l</w:t>
      </w:r>
      <w:r w:rsidR="009C53EC" w:rsidRPr="00A75276">
        <w:rPr>
          <w:lang w:val="fr-FR"/>
        </w:rPr>
        <w:t>’</w:t>
      </w:r>
      <w:r w:rsidR="00DE0DFB" w:rsidRPr="00A75276">
        <w:rPr>
          <w:lang w:val="fr-FR"/>
        </w:rPr>
        <w:t>accord en matière d</w:t>
      </w:r>
      <w:r w:rsidR="009C53EC" w:rsidRPr="00A75276">
        <w:rPr>
          <w:lang w:val="fr-FR"/>
        </w:rPr>
        <w:t>’</w:t>
      </w:r>
      <w:r w:rsidR="00DE0DFB" w:rsidRPr="00A75276">
        <w:rPr>
          <w:lang w:val="fr-FR"/>
        </w:rPr>
        <w:t>accès devait ê</w:t>
      </w:r>
      <w:r w:rsidR="004838AB" w:rsidRPr="00A75276">
        <w:rPr>
          <w:lang w:val="fr-FR"/>
        </w:rPr>
        <w:t>t</w:t>
      </w:r>
      <w:r w:rsidR="00DE0DFB" w:rsidRPr="00A75276">
        <w:rPr>
          <w:lang w:val="fr-FR"/>
        </w:rPr>
        <w:t>re modifié en conséquen</w:t>
      </w:r>
      <w:r w:rsidR="00A16C85" w:rsidRPr="00A75276">
        <w:rPr>
          <w:lang w:val="fr-FR"/>
        </w:rPr>
        <w:t>ce.  Pa</w:t>
      </w:r>
      <w:r w:rsidR="00DE0DFB" w:rsidRPr="00A75276">
        <w:rPr>
          <w:lang w:val="fr-FR"/>
        </w:rPr>
        <w:t>r exe</w:t>
      </w:r>
      <w:r w:rsidR="004838AB" w:rsidRPr="00A75276">
        <w:rPr>
          <w:lang w:val="fr-FR"/>
        </w:rPr>
        <w:t xml:space="preserve">mple, </w:t>
      </w:r>
      <w:r w:rsidR="00DE0DFB" w:rsidRPr="00A75276">
        <w:rPr>
          <w:lang w:val="fr-FR"/>
        </w:rPr>
        <w:t xml:space="preserve">une disposition à cet égard pouvait être ajoutée sous le titre </w:t>
      </w:r>
      <w:r w:rsidR="00E874A5" w:rsidRPr="00A75276">
        <w:rPr>
          <w:lang w:val="fr-FR"/>
        </w:rPr>
        <w:t>“</w:t>
      </w:r>
      <w:r w:rsidR="00DE0DFB" w:rsidRPr="00A75276">
        <w:rPr>
          <w:lang w:val="fr-FR"/>
        </w:rPr>
        <w:t>Responsabilités</w:t>
      </w:r>
      <w:r w:rsidR="002E5DCA" w:rsidRPr="00A75276">
        <w:rPr>
          <w:lang w:val="fr-FR"/>
        </w:rPr>
        <w:t xml:space="preserve"> du CSI</w:t>
      </w:r>
      <w:r w:rsidR="004838AB" w:rsidRPr="00A75276">
        <w:rPr>
          <w:lang w:val="fr-FR"/>
        </w:rPr>
        <w:t>R (</w:t>
      </w:r>
      <w:r w:rsidR="00DE0DFB" w:rsidRPr="00A75276">
        <w:rPr>
          <w:lang w:val="fr-FR"/>
        </w:rPr>
        <w:t>fournisseur</w:t>
      </w:r>
      <w:r w:rsidR="004838AB" w:rsidRPr="00A75276">
        <w:rPr>
          <w:lang w:val="fr-FR"/>
        </w:rPr>
        <w:t>)</w:t>
      </w:r>
      <w:r w:rsidR="00E874A5" w:rsidRPr="00A75276">
        <w:rPr>
          <w:lang w:val="fr-FR"/>
        </w:rPr>
        <w:t>”</w:t>
      </w:r>
      <w:r w:rsidR="004838AB" w:rsidRPr="00A75276">
        <w:rPr>
          <w:lang w:val="fr-FR"/>
        </w:rPr>
        <w:t xml:space="preserve">, </w:t>
      </w:r>
      <w:r w:rsidR="00A72CC4" w:rsidRPr="00A75276">
        <w:rPr>
          <w:lang w:val="fr-FR"/>
        </w:rPr>
        <w:t>après le</w:t>
      </w:r>
      <w:r w:rsidR="00DE0DFB" w:rsidRPr="00A75276">
        <w:rPr>
          <w:lang w:val="fr-FR"/>
        </w:rPr>
        <w:t xml:space="preserve"> point i</w:t>
      </w:r>
      <w:r w:rsidR="004838AB" w:rsidRPr="00A75276">
        <w:rPr>
          <w:lang w:val="fr-FR"/>
        </w:rPr>
        <w:t>).</w:t>
      </w:r>
    </w:p>
    <w:p w:rsidR="002E5DCA" w:rsidRPr="00A75276" w:rsidRDefault="00A72CC4" w:rsidP="00360B03">
      <w:pPr>
        <w:pStyle w:val="ONUMFS"/>
        <w:rPr>
          <w:lang w:val="fr-FR"/>
        </w:rPr>
      </w:pPr>
      <w:r w:rsidRPr="00A75276">
        <w:rPr>
          <w:lang w:val="fr-FR"/>
        </w:rPr>
        <w:t>Ensuite</w:t>
      </w:r>
      <w:r w:rsidR="004838AB" w:rsidRPr="00A75276">
        <w:rPr>
          <w:lang w:val="fr-FR"/>
        </w:rPr>
        <w:t xml:space="preserve">, </w:t>
      </w:r>
      <w:r w:rsidR="00FB34E8" w:rsidRPr="00A75276">
        <w:rPr>
          <w:lang w:val="fr-FR"/>
        </w:rPr>
        <w:t>comme indiqué à la R</w:t>
      </w:r>
      <w:r w:rsidRPr="00A75276">
        <w:rPr>
          <w:lang w:val="fr-FR"/>
        </w:rPr>
        <w:t>éunion des administrations internationales</w:t>
      </w:r>
      <w:r w:rsidR="00FB34E8" w:rsidRPr="00A75276">
        <w:rPr>
          <w:lang w:val="fr-FR"/>
        </w:rPr>
        <w:t xml:space="preserve"> tenue en</w:t>
      </w:r>
      <w:r w:rsidR="00432F5D" w:rsidRPr="00A75276">
        <w:rPr>
          <w:lang w:val="fr-FR"/>
        </w:rPr>
        <w:t> </w:t>
      </w:r>
      <w:r w:rsidR="00FB34E8" w:rsidRPr="00A75276">
        <w:rPr>
          <w:lang w:val="fr-FR"/>
        </w:rPr>
        <w:t>2015</w:t>
      </w:r>
      <w:r w:rsidR="004838AB" w:rsidRPr="00A75276">
        <w:rPr>
          <w:lang w:val="fr-FR"/>
        </w:rPr>
        <w:t xml:space="preserve">, </w:t>
      </w:r>
      <w:r w:rsidRPr="00A75276">
        <w:rPr>
          <w:lang w:val="fr-FR"/>
        </w:rPr>
        <w:t>l</w:t>
      </w:r>
      <w:r w:rsidR="009C53EC" w:rsidRPr="00A75276">
        <w:rPr>
          <w:lang w:val="fr-FR"/>
        </w:rPr>
        <w:t>’</w:t>
      </w:r>
      <w:r w:rsidRPr="00A75276">
        <w:rPr>
          <w:lang w:val="fr-FR"/>
        </w:rPr>
        <w:t>O</w:t>
      </w:r>
      <w:r w:rsidR="0048533C" w:rsidRPr="00A75276">
        <w:rPr>
          <w:lang w:val="fr-FR"/>
        </w:rPr>
        <w:t>ffice européen des brevets</w:t>
      </w:r>
      <w:r w:rsidR="004838AB" w:rsidRPr="00A75276">
        <w:rPr>
          <w:lang w:val="fr-FR"/>
        </w:rPr>
        <w:t xml:space="preserve"> </w:t>
      </w:r>
      <w:r w:rsidRPr="00A75276">
        <w:rPr>
          <w:lang w:val="fr-FR"/>
        </w:rPr>
        <w:t xml:space="preserve">estimait que les </w:t>
      </w:r>
      <w:r w:rsidR="004838AB" w:rsidRPr="00A75276">
        <w:rPr>
          <w:lang w:val="fr-FR"/>
        </w:rPr>
        <w:t xml:space="preserve">obligations </w:t>
      </w:r>
      <w:r w:rsidRPr="00A75276">
        <w:rPr>
          <w:lang w:val="fr-FR"/>
        </w:rPr>
        <w:t>de l</w:t>
      </w:r>
      <w:r w:rsidR="009C53EC" w:rsidRPr="00A75276">
        <w:rPr>
          <w:lang w:val="fr-FR"/>
        </w:rPr>
        <w:t>’</w:t>
      </w:r>
      <w:r w:rsidRPr="00A75276">
        <w:rPr>
          <w:lang w:val="fr-FR"/>
        </w:rPr>
        <w:t>utilisateur (o</w:t>
      </w:r>
      <w:r w:rsidR="004838AB" w:rsidRPr="00A75276">
        <w:rPr>
          <w:lang w:val="fr-FR"/>
        </w:rPr>
        <w:t xml:space="preserve">ffice) </w:t>
      </w:r>
      <w:r w:rsidRPr="00A75276">
        <w:rPr>
          <w:lang w:val="fr-FR"/>
        </w:rPr>
        <w:t xml:space="preserve">mentionnées aux </w:t>
      </w:r>
      <w:r w:rsidR="004838AB" w:rsidRPr="00A75276">
        <w:rPr>
          <w:lang w:val="fr-FR"/>
        </w:rPr>
        <w:t>paragraph</w:t>
      </w:r>
      <w:r w:rsidRPr="00A75276">
        <w:rPr>
          <w:lang w:val="fr-FR"/>
        </w:rPr>
        <w:t>e</w:t>
      </w:r>
      <w:r w:rsidR="004838AB" w:rsidRPr="00A75276">
        <w:rPr>
          <w:lang w:val="fr-FR"/>
        </w:rPr>
        <w:t>s</w:t>
      </w:r>
      <w:r w:rsidR="00432F5D" w:rsidRPr="00A75276">
        <w:rPr>
          <w:lang w:val="fr-FR"/>
        </w:rPr>
        <w:t> </w:t>
      </w:r>
      <w:r w:rsidR="004838AB" w:rsidRPr="00A75276">
        <w:rPr>
          <w:lang w:val="fr-FR"/>
        </w:rPr>
        <w:t>2</w:t>
      </w:r>
      <w:r w:rsidRPr="00A75276">
        <w:rPr>
          <w:lang w:val="fr-FR"/>
        </w:rPr>
        <w:t>.i</w:t>
      </w:r>
      <w:r w:rsidR="004838AB" w:rsidRPr="00A75276">
        <w:rPr>
          <w:lang w:val="fr-FR"/>
        </w:rPr>
        <w:t xml:space="preserve">) </w:t>
      </w:r>
      <w:r w:rsidRPr="00A75276">
        <w:rPr>
          <w:lang w:val="fr-FR"/>
        </w:rPr>
        <w:t xml:space="preserve">et </w:t>
      </w:r>
      <w:r w:rsidR="004838AB" w:rsidRPr="00A75276">
        <w:rPr>
          <w:lang w:val="fr-FR"/>
        </w:rPr>
        <w:t>ii)</w:t>
      </w:r>
      <w:r w:rsidR="00432F5D" w:rsidRPr="00A75276">
        <w:rPr>
          <w:lang w:val="fr-FR"/>
        </w:rPr>
        <w:t> </w:t>
      </w:r>
      <w:r w:rsidRPr="00A75276">
        <w:rPr>
          <w:lang w:val="fr-FR"/>
        </w:rPr>
        <w:t>de l</w:t>
      </w:r>
      <w:r w:rsidR="009C53EC" w:rsidRPr="00A75276">
        <w:rPr>
          <w:lang w:val="fr-FR"/>
        </w:rPr>
        <w:t>’</w:t>
      </w:r>
      <w:r w:rsidRPr="00A75276">
        <w:rPr>
          <w:lang w:val="fr-FR"/>
        </w:rPr>
        <w:t>accord d</w:t>
      </w:r>
      <w:r w:rsidR="009C53EC" w:rsidRPr="00A75276">
        <w:rPr>
          <w:lang w:val="fr-FR"/>
        </w:rPr>
        <w:t>’</w:t>
      </w:r>
      <w:r w:rsidRPr="00A75276">
        <w:rPr>
          <w:lang w:val="fr-FR"/>
        </w:rPr>
        <w:t>accès devraient être modifiées afin de tenir compte de droits supplémentaires rendus nécessaires par les activités des offices de breve</w:t>
      </w:r>
      <w:r w:rsidR="00A16C85" w:rsidRPr="00A75276">
        <w:rPr>
          <w:lang w:val="fr-FR"/>
        </w:rPr>
        <w:t>ts.  De</w:t>
      </w:r>
      <w:r w:rsidR="00717399" w:rsidRPr="00A75276">
        <w:rPr>
          <w:lang w:val="fr-FR"/>
        </w:rPr>
        <w:t xml:space="preserve"> fait</w:t>
      </w:r>
      <w:r w:rsidR="004838AB" w:rsidRPr="00A75276">
        <w:rPr>
          <w:lang w:val="fr-FR"/>
        </w:rPr>
        <w:t xml:space="preserve">, </w:t>
      </w:r>
      <w:r w:rsidR="00717399" w:rsidRPr="00A75276">
        <w:rPr>
          <w:lang w:val="fr-FR"/>
        </w:rPr>
        <w:t>la licence devrait prévoir le droit pour l</w:t>
      </w:r>
      <w:r w:rsidR="009C53EC" w:rsidRPr="00A75276">
        <w:rPr>
          <w:lang w:val="fr-FR"/>
        </w:rPr>
        <w:t>’</w:t>
      </w:r>
      <w:r w:rsidR="0048533C" w:rsidRPr="00A75276">
        <w:rPr>
          <w:lang w:val="fr-FR"/>
        </w:rPr>
        <w:t>Office européen des brevets</w:t>
      </w:r>
      <w:r w:rsidR="004838AB" w:rsidRPr="00A75276">
        <w:rPr>
          <w:lang w:val="fr-FR"/>
        </w:rPr>
        <w:t xml:space="preserve"> (</w:t>
      </w:r>
      <w:r w:rsidR="00717399" w:rsidRPr="00A75276">
        <w:rPr>
          <w:lang w:val="fr-FR"/>
        </w:rPr>
        <w:t>preneur de licence</w:t>
      </w:r>
      <w:r w:rsidR="004838AB" w:rsidRPr="00A75276">
        <w:rPr>
          <w:lang w:val="fr-FR"/>
        </w:rPr>
        <w:t xml:space="preserve">) </w:t>
      </w:r>
      <w:r w:rsidR="00717399" w:rsidRPr="00A75276">
        <w:rPr>
          <w:lang w:val="fr-FR"/>
        </w:rPr>
        <w:t>et pour les utilisateurs autorisés </w:t>
      </w:r>
      <w:r w:rsidR="004838AB" w:rsidRPr="00A75276">
        <w:rPr>
          <w:lang w:val="fr-FR"/>
        </w:rPr>
        <w:t>:</w:t>
      </w:r>
    </w:p>
    <w:p w:rsidR="00715135" w:rsidRPr="00A75276" w:rsidRDefault="00A71253" w:rsidP="00A9298C">
      <w:pPr>
        <w:pStyle w:val="ONUMFS"/>
        <w:numPr>
          <w:ilvl w:val="1"/>
          <w:numId w:val="6"/>
        </w:numPr>
        <w:rPr>
          <w:lang w:val="fr-FR"/>
        </w:rPr>
      </w:pPr>
      <w:r w:rsidRPr="00A75276">
        <w:rPr>
          <w:lang w:val="fr-FR"/>
        </w:rPr>
        <w:t>de consulter</w:t>
      </w:r>
      <w:r w:rsidR="004838AB" w:rsidRPr="00A75276">
        <w:rPr>
          <w:lang w:val="fr-FR"/>
        </w:rPr>
        <w:t xml:space="preserve">, </w:t>
      </w:r>
      <w:r w:rsidRPr="00A75276">
        <w:rPr>
          <w:lang w:val="fr-FR"/>
        </w:rPr>
        <w:t>télécharger</w:t>
      </w:r>
      <w:r w:rsidR="004838AB" w:rsidRPr="00A75276">
        <w:rPr>
          <w:lang w:val="fr-FR"/>
        </w:rPr>
        <w:t xml:space="preserve">, </w:t>
      </w:r>
      <w:r w:rsidRPr="00A75276">
        <w:rPr>
          <w:lang w:val="fr-FR"/>
        </w:rPr>
        <w:t>imprimer</w:t>
      </w:r>
      <w:r w:rsidR="004838AB" w:rsidRPr="00A75276">
        <w:rPr>
          <w:lang w:val="fr-FR"/>
        </w:rPr>
        <w:t xml:space="preserve">, </w:t>
      </w:r>
      <w:r w:rsidRPr="00A75276">
        <w:rPr>
          <w:lang w:val="fr-FR"/>
        </w:rPr>
        <w:t>sauvegarder</w:t>
      </w:r>
      <w:r w:rsidR="004838AB" w:rsidRPr="00A75276">
        <w:rPr>
          <w:lang w:val="fr-FR"/>
        </w:rPr>
        <w:t xml:space="preserve">, </w:t>
      </w:r>
      <w:r w:rsidRPr="00A75276">
        <w:rPr>
          <w:lang w:val="fr-FR"/>
        </w:rPr>
        <w:t xml:space="preserve">traiter et inclure dans les </w:t>
      </w:r>
      <w:r w:rsidR="004838AB" w:rsidRPr="00A75276">
        <w:rPr>
          <w:lang w:val="fr-FR"/>
        </w:rPr>
        <w:t xml:space="preserve">documents </w:t>
      </w:r>
      <w:r w:rsidRPr="00A75276">
        <w:rPr>
          <w:lang w:val="fr-FR"/>
        </w:rPr>
        <w:t>et fichiers internes du preneur de licence certains des éléments sous licence dans le cadre de la procédure de délivrance de brevets</w:t>
      </w:r>
      <w:r w:rsidR="004838AB" w:rsidRPr="00A75276">
        <w:rPr>
          <w:lang w:val="fr-FR"/>
        </w:rPr>
        <w:t>;</w:t>
      </w:r>
    </w:p>
    <w:p w:rsidR="00715135" w:rsidRPr="00A75276" w:rsidRDefault="00743120" w:rsidP="00A9298C">
      <w:pPr>
        <w:pStyle w:val="ONUMFS"/>
        <w:numPr>
          <w:ilvl w:val="1"/>
          <w:numId w:val="6"/>
        </w:numPr>
        <w:rPr>
          <w:lang w:val="fr-FR"/>
        </w:rPr>
      </w:pPr>
      <w:r w:rsidRPr="00A75276">
        <w:rPr>
          <w:lang w:val="fr-FR"/>
        </w:rPr>
        <w:t>de fournir aux déposants et à leurs mandataires ainsi qu</w:t>
      </w:r>
      <w:r w:rsidR="009C53EC" w:rsidRPr="00A75276">
        <w:rPr>
          <w:lang w:val="fr-FR"/>
        </w:rPr>
        <w:t>’</w:t>
      </w:r>
      <w:r w:rsidRPr="00A75276">
        <w:rPr>
          <w:lang w:val="fr-FR"/>
        </w:rPr>
        <w:t>à d</w:t>
      </w:r>
      <w:r w:rsidR="009C53EC" w:rsidRPr="00A75276">
        <w:rPr>
          <w:lang w:val="fr-FR"/>
        </w:rPr>
        <w:t>’</w:t>
      </w:r>
      <w:r w:rsidRPr="00A75276">
        <w:rPr>
          <w:lang w:val="fr-FR"/>
        </w:rPr>
        <w:t xml:space="preserve">autres administrations en matière de brevets et aux tiers, dans le cadre de la procédure de délivrance, des </w:t>
      </w:r>
      <w:r w:rsidR="00750345" w:rsidRPr="00A75276">
        <w:rPr>
          <w:lang w:val="fr-FR"/>
        </w:rPr>
        <w:t xml:space="preserve">copies certifiées </w:t>
      </w:r>
      <w:r w:rsidR="004838AB" w:rsidRPr="00A75276">
        <w:rPr>
          <w:lang w:val="fr-FR"/>
        </w:rPr>
        <w:t>(</w:t>
      </w:r>
      <w:r w:rsidR="00750345" w:rsidRPr="00A75276">
        <w:rPr>
          <w:lang w:val="fr-FR"/>
        </w:rPr>
        <w:t>sur papier ou sous forme électronique</w:t>
      </w:r>
      <w:r w:rsidR="004838AB" w:rsidRPr="00A75276">
        <w:rPr>
          <w:lang w:val="fr-FR"/>
        </w:rPr>
        <w:t xml:space="preserve">) </w:t>
      </w:r>
      <w:r w:rsidR="00750345" w:rsidRPr="00A75276">
        <w:rPr>
          <w:lang w:val="fr-FR"/>
        </w:rPr>
        <w:t>de certains éléments du matériel sous licence</w:t>
      </w:r>
      <w:r w:rsidR="004838AB" w:rsidRPr="00A75276">
        <w:rPr>
          <w:lang w:val="fr-FR"/>
        </w:rPr>
        <w:t>;</w:t>
      </w:r>
    </w:p>
    <w:p w:rsidR="002E5DCA" w:rsidRPr="00A75276" w:rsidRDefault="003817A0" w:rsidP="00A9298C">
      <w:pPr>
        <w:pStyle w:val="ONUMFS"/>
        <w:numPr>
          <w:ilvl w:val="1"/>
          <w:numId w:val="6"/>
        </w:numPr>
        <w:rPr>
          <w:lang w:val="fr-FR"/>
        </w:rPr>
      </w:pPr>
      <w:r w:rsidRPr="00A75276">
        <w:rPr>
          <w:lang w:val="fr-FR"/>
        </w:rPr>
        <w:t>de donner aux tiers accès à certains éléments du matériel sous licence dans le cadre de l</w:t>
      </w:r>
      <w:r w:rsidR="009C53EC" w:rsidRPr="00A75276">
        <w:rPr>
          <w:lang w:val="fr-FR"/>
        </w:rPr>
        <w:t>’</w:t>
      </w:r>
      <w:r w:rsidR="004838AB" w:rsidRPr="00A75276">
        <w:rPr>
          <w:lang w:val="fr-FR"/>
        </w:rPr>
        <w:t>inspection</w:t>
      </w:r>
      <w:r w:rsidRPr="00A75276">
        <w:rPr>
          <w:lang w:val="fr-FR"/>
        </w:rPr>
        <w:t xml:space="preserve"> des dossiers</w:t>
      </w:r>
      <w:r w:rsidR="004838AB" w:rsidRPr="00A75276">
        <w:rPr>
          <w:lang w:val="fr-FR"/>
        </w:rPr>
        <w:t xml:space="preserve">; </w:t>
      </w:r>
      <w:r w:rsidRPr="00A75276">
        <w:rPr>
          <w:lang w:val="fr-FR"/>
        </w:rPr>
        <w:t xml:space="preserve"> et</w:t>
      </w:r>
    </w:p>
    <w:p w:rsidR="00715135" w:rsidRPr="00A75276" w:rsidRDefault="00CA2B3A" w:rsidP="00A9298C">
      <w:pPr>
        <w:pStyle w:val="ONUMFS"/>
        <w:numPr>
          <w:ilvl w:val="1"/>
          <w:numId w:val="6"/>
        </w:numPr>
        <w:rPr>
          <w:lang w:val="fr-FR"/>
        </w:rPr>
      </w:pPr>
      <w:r w:rsidRPr="00A75276">
        <w:rPr>
          <w:lang w:val="fr-FR"/>
        </w:rPr>
        <w:t>de remettre certains éléments du matériel sous licence à d</w:t>
      </w:r>
      <w:r w:rsidR="009C53EC" w:rsidRPr="00A75276">
        <w:rPr>
          <w:lang w:val="fr-FR"/>
        </w:rPr>
        <w:t>’</w:t>
      </w:r>
      <w:r w:rsidRPr="00A75276">
        <w:rPr>
          <w:lang w:val="fr-FR"/>
        </w:rPr>
        <w:t xml:space="preserve">autres </w:t>
      </w:r>
      <w:r w:rsidR="00BB056C" w:rsidRPr="00A75276">
        <w:rPr>
          <w:lang w:val="fr-FR"/>
        </w:rPr>
        <w:t>administrations</w:t>
      </w:r>
      <w:r w:rsidRPr="00A75276">
        <w:rPr>
          <w:lang w:val="fr-FR"/>
        </w:rPr>
        <w:t xml:space="preserve"> de brevets dans le cadre de la procédure de délivran</w:t>
      </w:r>
      <w:r w:rsidR="00A16C85" w:rsidRPr="00A75276">
        <w:rPr>
          <w:lang w:val="fr-FR"/>
        </w:rPr>
        <w:t>ce.  To</w:t>
      </w:r>
      <w:r w:rsidR="0025123F" w:rsidRPr="00A75276">
        <w:rPr>
          <w:lang w:val="fr-FR"/>
        </w:rPr>
        <w:t>ut fichier électronique communicable à un non</w:t>
      </w:r>
      <w:r w:rsidR="00A16C85" w:rsidRPr="00A75276">
        <w:rPr>
          <w:lang w:val="fr-FR"/>
        </w:rPr>
        <w:noBreakHyphen/>
      </w:r>
      <w:r w:rsidR="0025123F" w:rsidRPr="00A75276">
        <w:rPr>
          <w:lang w:val="fr-FR"/>
        </w:rPr>
        <w:t xml:space="preserve">abonné devrait être en format </w:t>
      </w:r>
      <w:r w:rsidR="004838AB" w:rsidRPr="00A75276">
        <w:rPr>
          <w:lang w:val="fr-FR"/>
        </w:rPr>
        <w:t xml:space="preserve">PDF </w:t>
      </w:r>
      <w:r w:rsidR="0025123F" w:rsidRPr="00A75276">
        <w:rPr>
          <w:lang w:val="fr-FR"/>
        </w:rPr>
        <w:t>non éditable ou é</w:t>
      </w:r>
      <w:r w:rsidR="004838AB" w:rsidRPr="00A75276">
        <w:rPr>
          <w:lang w:val="fr-FR"/>
        </w:rPr>
        <w:t>quivale</w:t>
      </w:r>
      <w:r w:rsidR="00A16C85" w:rsidRPr="00A75276">
        <w:rPr>
          <w:lang w:val="fr-FR"/>
        </w:rPr>
        <w:t>nt.  Le</w:t>
      </w:r>
      <w:r w:rsidR="00222CE9" w:rsidRPr="00A75276">
        <w:rPr>
          <w:lang w:val="fr-FR"/>
        </w:rPr>
        <w:t xml:space="preserve"> preneur de licence devrait informer les parties extérieures que les textes sous droit d</w:t>
      </w:r>
      <w:r w:rsidR="009C53EC" w:rsidRPr="00A75276">
        <w:rPr>
          <w:lang w:val="fr-FR"/>
        </w:rPr>
        <w:t>’</w:t>
      </w:r>
      <w:r w:rsidR="00222CE9" w:rsidRPr="00A75276">
        <w:rPr>
          <w:lang w:val="fr-FR"/>
        </w:rPr>
        <w:t>auteur ne peuvent être copiés ni utilisés dans d</w:t>
      </w:r>
      <w:r w:rsidR="009C53EC" w:rsidRPr="00A75276">
        <w:rPr>
          <w:lang w:val="fr-FR"/>
        </w:rPr>
        <w:t>’</w:t>
      </w:r>
      <w:r w:rsidR="00276822" w:rsidRPr="00A75276">
        <w:rPr>
          <w:lang w:val="fr-FR"/>
        </w:rPr>
        <w:t>au</w:t>
      </w:r>
      <w:r w:rsidR="00222CE9" w:rsidRPr="00A75276">
        <w:rPr>
          <w:lang w:val="fr-FR"/>
        </w:rPr>
        <w:t>tres publications électroniques ou imprimés ou redistribués sans l</w:t>
      </w:r>
      <w:r w:rsidR="009C53EC" w:rsidRPr="00A75276">
        <w:rPr>
          <w:lang w:val="fr-FR"/>
        </w:rPr>
        <w:t>’</w:t>
      </w:r>
      <w:r w:rsidR="00222CE9" w:rsidRPr="00A75276">
        <w:rPr>
          <w:lang w:val="fr-FR"/>
        </w:rPr>
        <w:t>autorisation expresse du titulaire du droit d</w:t>
      </w:r>
      <w:r w:rsidR="009C53EC" w:rsidRPr="00A75276">
        <w:rPr>
          <w:lang w:val="fr-FR"/>
        </w:rPr>
        <w:t>’</w:t>
      </w:r>
      <w:r w:rsidR="00222CE9" w:rsidRPr="00A75276">
        <w:rPr>
          <w:lang w:val="fr-FR"/>
        </w:rPr>
        <w:t>auteur</w:t>
      </w:r>
      <w:r w:rsidR="004838AB" w:rsidRPr="00A75276">
        <w:rPr>
          <w:lang w:val="fr-FR"/>
        </w:rPr>
        <w:t>.</w:t>
      </w:r>
    </w:p>
    <w:p w:rsidR="00715135" w:rsidRPr="00A75276" w:rsidRDefault="00EE2E52" w:rsidP="00360B03">
      <w:pPr>
        <w:pStyle w:val="ONUMFS"/>
        <w:rPr>
          <w:lang w:val="fr-FR"/>
        </w:rPr>
      </w:pPr>
      <w:r w:rsidRPr="00A75276">
        <w:rPr>
          <w:lang w:val="fr-FR"/>
        </w:rPr>
        <w:lastRenderedPageBreak/>
        <w:t>Par ailleurs</w:t>
      </w:r>
      <w:r w:rsidR="004838AB" w:rsidRPr="00A75276">
        <w:rPr>
          <w:lang w:val="fr-FR"/>
        </w:rPr>
        <w:t xml:space="preserve">, </w:t>
      </w:r>
      <w:r w:rsidRPr="00A75276">
        <w:rPr>
          <w:lang w:val="fr-FR"/>
        </w:rPr>
        <w:t>l</w:t>
      </w:r>
      <w:r w:rsidR="009C53EC" w:rsidRPr="00A75276">
        <w:rPr>
          <w:lang w:val="fr-FR"/>
        </w:rPr>
        <w:t>’</w:t>
      </w:r>
      <w:r w:rsidR="0048533C" w:rsidRPr="00A75276">
        <w:rPr>
          <w:lang w:val="fr-FR"/>
        </w:rPr>
        <w:t>Office européen des brevets</w:t>
      </w:r>
      <w:r w:rsidR="004838AB" w:rsidRPr="00A75276">
        <w:rPr>
          <w:lang w:val="fr-FR"/>
        </w:rPr>
        <w:t xml:space="preserve"> </w:t>
      </w:r>
      <w:r w:rsidRPr="00A75276">
        <w:rPr>
          <w:lang w:val="fr-FR"/>
        </w:rPr>
        <w:t>a indiqué que l</w:t>
      </w:r>
      <w:r w:rsidR="009C53EC" w:rsidRPr="00A75276">
        <w:rPr>
          <w:lang w:val="fr-FR"/>
        </w:rPr>
        <w:t>’</w:t>
      </w:r>
      <w:r w:rsidRPr="00A75276">
        <w:rPr>
          <w:lang w:val="fr-FR"/>
        </w:rPr>
        <w:t>octroi de l</w:t>
      </w:r>
      <w:r w:rsidR="009C53EC" w:rsidRPr="00A75276">
        <w:rPr>
          <w:lang w:val="fr-FR"/>
        </w:rPr>
        <w:t>’</w:t>
      </w:r>
      <w:r w:rsidRPr="00A75276">
        <w:rPr>
          <w:lang w:val="fr-FR"/>
        </w:rPr>
        <w:t xml:space="preserve">accès à la </w:t>
      </w:r>
      <w:r w:rsidR="002240C1" w:rsidRPr="00A75276">
        <w:rPr>
          <w:lang w:val="fr-FR"/>
        </w:rPr>
        <w:t>bibliothèque numérique des savoirs traditionnels</w:t>
      </w:r>
      <w:r w:rsidR="004838AB" w:rsidRPr="00A75276">
        <w:rPr>
          <w:lang w:val="fr-FR"/>
        </w:rPr>
        <w:t xml:space="preserve">, </w:t>
      </w:r>
      <w:r w:rsidRPr="00A75276">
        <w:rPr>
          <w:lang w:val="fr-FR"/>
        </w:rPr>
        <w:t>selon l</w:t>
      </w:r>
      <w:r w:rsidR="009C53EC" w:rsidRPr="00A75276">
        <w:rPr>
          <w:lang w:val="fr-FR"/>
        </w:rPr>
        <w:t>’</w:t>
      </w:r>
      <w:r w:rsidRPr="00A75276">
        <w:rPr>
          <w:lang w:val="fr-FR"/>
        </w:rPr>
        <w:t>accord proposé, imposait aux administrations l</w:t>
      </w:r>
      <w:r w:rsidR="009C53EC" w:rsidRPr="00A75276">
        <w:rPr>
          <w:lang w:val="fr-FR"/>
        </w:rPr>
        <w:t>’</w:t>
      </w:r>
      <w:r w:rsidRPr="00A75276">
        <w:rPr>
          <w:lang w:val="fr-FR"/>
        </w:rPr>
        <w:t>obligation de fournir des statistiques non standard en matière d</w:t>
      </w:r>
      <w:r w:rsidR="009C53EC" w:rsidRPr="00A75276">
        <w:rPr>
          <w:lang w:val="fr-FR"/>
        </w:rPr>
        <w:t>’</w:t>
      </w:r>
      <w:r w:rsidRPr="00A75276">
        <w:rPr>
          <w:lang w:val="fr-FR"/>
        </w:rPr>
        <w:t>acc</w:t>
      </w:r>
      <w:r w:rsidR="00A16C85" w:rsidRPr="00A75276">
        <w:rPr>
          <w:lang w:val="fr-FR"/>
        </w:rPr>
        <w:t>ès.  Ce</w:t>
      </w:r>
      <w:r w:rsidRPr="00A75276">
        <w:rPr>
          <w:lang w:val="fr-FR"/>
        </w:rPr>
        <w:t>s statistiques pouvaient certes être fournies, mais leur établissement nécessiterait des ressources supplémentair</w:t>
      </w:r>
      <w:r w:rsidR="00A16C85" w:rsidRPr="00A75276">
        <w:rPr>
          <w:lang w:val="fr-FR"/>
        </w:rPr>
        <w:t>es.  C’e</w:t>
      </w:r>
      <w:r w:rsidRPr="00A75276">
        <w:rPr>
          <w:lang w:val="fr-FR"/>
        </w:rPr>
        <w:t>st pourquoi l</w:t>
      </w:r>
      <w:r w:rsidR="009C53EC" w:rsidRPr="00A75276">
        <w:rPr>
          <w:lang w:val="fr-FR"/>
        </w:rPr>
        <w:t>’</w:t>
      </w:r>
      <w:r w:rsidR="0048533C" w:rsidRPr="00A75276">
        <w:rPr>
          <w:lang w:val="fr-FR"/>
        </w:rPr>
        <w:t>Office européen des brevets</w:t>
      </w:r>
      <w:r w:rsidR="004838AB" w:rsidRPr="00A75276">
        <w:rPr>
          <w:lang w:val="fr-FR"/>
        </w:rPr>
        <w:t xml:space="preserve"> </w:t>
      </w:r>
      <w:r w:rsidRPr="00A75276">
        <w:rPr>
          <w:lang w:val="fr-FR"/>
        </w:rPr>
        <w:t xml:space="preserve">suggérait de supprimer </w:t>
      </w:r>
      <w:r w:rsidR="007E7207" w:rsidRPr="00A75276">
        <w:rPr>
          <w:lang w:val="fr-FR"/>
        </w:rPr>
        <w:t>de l</w:t>
      </w:r>
      <w:r w:rsidR="009C53EC" w:rsidRPr="00A75276">
        <w:rPr>
          <w:lang w:val="fr-FR"/>
        </w:rPr>
        <w:t>’</w:t>
      </w:r>
      <w:r w:rsidR="007E7207" w:rsidRPr="00A75276">
        <w:rPr>
          <w:lang w:val="fr-FR"/>
        </w:rPr>
        <w:t>accord d</w:t>
      </w:r>
      <w:r w:rsidR="009C53EC" w:rsidRPr="00A75276">
        <w:rPr>
          <w:lang w:val="fr-FR"/>
        </w:rPr>
        <w:t>’</w:t>
      </w:r>
      <w:r w:rsidR="007E7207" w:rsidRPr="00A75276">
        <w:rPr>
          <w:lang w:val="fr-FR"/>
        </w:rPr>
        <w:t>accès l</w:t>
      </w:r>
      <w:r w:rsidR="009C53EC" w:rsidRPr="00A75276">
        <w:rPr>
          <w:lang w:val="fr-FR"/>
        </w:rPr>
        <w:t>’</w:t>
      </w:r>
      <w:r w:rsidR="004838AB" w:rsidRPr="00A75276">
        <w:rPr>
          <w:lang w:val="fr-FR"/>
        </w:rPr>
        <w:t xml:space="preserve">obligation </w:t>
      </w:r>
      <w:r w:rsidR="007E7207" w:rsidRPr="00A75276">
        <w:rPr>
          <w:lang w:val="fr-FR"/>
        </w:rPr>
        <w:t>de l</w:t>
      </w:r>
      <w:r w:rsidR="009C53EC" w:rsidRPr="00A75276">
        <w:rPr>
          <w:lang w:val="fr-FR"/>
        </w:rPr>
        <w:t>’</w:t>
      </w:r>
      <w:r w:rsidR="007E7207" w:rsidRPr="00A75276">
        <w:rPr>
          <w:lang w:val="fr-FR"/>
        </w:rPr>
        <w:t>utilisateur (o</w:t>
      </w:r>
      <w:r w:rsidR="004838AB" w:rsidRPr="00A75276">
        <w:rPr>
          <w:lang w:val="fr-FR"/>
        </w:rPr>
        <w:t>ffice) mention</w:t>
      </w:r>
      <w:r w:rsidR="007E7207" w:rsidRPr="00A75276">
        <w:rPr>
          <w:lang w:val="fr-FR"/>
        </w:rPr>
        <w:t>né</w:t>
      </w:r>
      <w:r w:rsidR="004838AB" w:rsidRPr="00A75276">
        <w:rPr>
          <w:lang w:val="fr-FR"/>
        </w:rPr>
        <w:t>e</w:t>
      </w:r>
      <w:r w:rsidR="007E7207" w:rsidRPr="00A75276">
        <w:rPr>
          <w:lang w:val="fr-FR"/>
        </w:rPr>
        <w:t xml:space="preserve"> au </w:t>
      </w:r>
      <w:r w:rsidR="004838AB" w:rsidRPr="00A75276">
        <w:rPr>
          <w:lang w:val="fr-FR"/>
        </w:rPr>
        <w:t>paragraph</w:t>
      </w:r>
      <w:r w:rsidR="007E7207" w:rsidRPr="00A75276">
        <w:rPr>
          <w:lang w:val="fr-FR"/>
        </w:rPr>
        <w:t>e</w:t>
      </w:r>
      <w:r w:rsidR="00432F5D" w:rsidRPr="00A75276">
        <w:rPr>
          <w:lang w:val="fr-FR"/>
        </w:rPr>
        <w:t> </w:t>
      </w:r>
      <w:r w:rsidR="007E7207" w:rsidRPr="00A75276">
        <w:rPr>
          <w:lang w:val="fr-FR"/>
        </w:rPr>
        <w:t>2.</w:t>
      </w:r>
      <w:r w:rsidR="004838AB" w:rsidRPr="00A75276">
        <w:rPr>
          <w:lang w:val="fr-FR"/>
        </w:rPr>
        <w:t xml:space="preserve">iii) </w:t>
      </w:r>
      <w:r w:rsidR="007E7207" w:rsidRPr="00A75276">
        <w:rPr>
          <w:lang w:val="fr-FR"/>
        </w:rPr>
        <w:t>dudit accord</w:t>
      </w:r>
      <w:r w:rsidR="004838AB" w:rsidRPr="00A75276">
        <w:rPr>
          <w:lang w:val="fr-FR"/>
        </w:rPr>
        <w:t xml:space="preserve"> (</w:t>
      </w:r>
      <w:r w:rsidR="007E7207" w:rsidRPr="00A75276">
        <w:rPr>
          <w:lang w:val="fr-FR"/>
        </w:rPr>
        <w:t xml:space="preserve">communication trimestrielle du nombre de citations du contenu de la </w:t>
      </w:r>
      <w:r w:rsidR="002240C1" w:rsidRPr="00A75276">
        <w:rPr>
          <w:lang w:val="fr-FR"/>
        </w:rPr>
        <w:t>bibliothèque numérique des savoirs traditionnels</w:t>
      </w:r>
      <w:r w:rsidR="004838AB" w:rsidRPr="00A75276">
        <w:rPr>
          <w:lang w:val="fr-FR"/>
        </w:rPr>
        <w:t>).</w:t>
      </w:r>
    </w:p>
    <w:p w:rsidR="00715135" w:rsidRPr="00A75276" w:rsidRDefault="007E7207" w:rsidP="0042053C">
      <w:pPr>
        <w:pStyle w:val="ONUMFS"/>
        <w:rPr>
          <w:lang w:val="fr-FR"/>
        </w:rPr>
      </w:pPr>
      <w:r w:rsidRPr="00A75276">
        <w:rPr>
          <w:lang w:val="fr-FR"/>
        </w:rPr>
        <w:t>L</w:t>
      </w:r>
      <w:r w:rsidR="009C53EC" w:rsidRPr="00A75276">
        <w:rPr>
          <w:lang w:val="fr-FR"/>
        </w:rPr>
        <w:t>’</w:t>
      </w:r>
      <w:r w:rsidR="00216979" w:rsidRPr="00A75276">
        <w:rPr>
          <w:lang w:val="fr-FR"/>
        </w:rPr>
        <w:t>Office des brevets et des marques des États</w:t>
      </w:r>
      <w:r w:rsidR="00A16C85" w:rsidRPr="00A75276">
        <w:rPr>
          <w:lang w:val="fr-FR"/>
        </w:rPr>
        <w:noBreakHyphen/>
      </w:r>
      <w:r w:rsidR="00216979" w:rsidRPr="00A75276">
        <w:rPr>
          <w:lang w:val="fr-FR"/>
        </w:rPr>
        <w:t>Unis d</w:t>
      </w:r>
      <w:r w:rsidR="009C53EC" w:rsidRPr="00A75276">
        <w:rPr>
          <w:lang w:val="fr-FR"/>
        </w:rPr>
        <w:t>’</w:t>
      </w:r>
      <w:r w:rsidR="00216979" w:rsidRPr="00A75276">
        <w:rPr>
          <w:lang w:val="fr-FR"/>
        </w:rPr>
        <w:t>Amérique</w:t>
      </w:r>
      <w:r w:rsidR="004838AB" w:rsidRPr="00A75276">
        <w:rPr>
          <w:lang w:val="fr-FR"/>
        </w:rPr>
        <w:t xml:space="preserve"> </w:t>
      </w:r>
      <w:r w:rsidR="0042053C" w:rsidRPr="00A75276">
        <w:rPr>
          <w:lang w:val="fr-FR"/>
        </w:rPr>
        <w:t>a indiqué qu</w:t>
      </w:r>
      <w:r w:rsidR="009C53EC" w:rsidRPr="00A75276">
        <w:rPr>
          <w:lang w:val="fr-FR"/>
        </w:rPr>
        <w:t>’</w:t>
      </w:r>
      <w:r w:rsidR="0042053C" w:rsidRPr="00A75276">
        <w:rPr>
          <w:lang w:val="fr-FR"/>
        </w:rPr>
        <w:t xml:space="preserve">il considérait la </w:t>
      </w:r>
      <w:r w:rsidR="002240C1" w:rsidRPr="00A75276">
        <w:rPr>
          <w:lang w:val="fr-FR"/>
        </w:rPr>
        <w:t>bibliothèque numérique des savoirs traditionnels</w:t>
      </w:r>
      <w:r w:rsidR="004838AB" w:rsidRPr="00A75276">
        <w:rPr>
          <w:lang w:val="fr-FR"/>
        </w:rPr>
        <w:t xml:space="preserve"> </w:t>
      </w:r>
      <w:r w:rsidR="0042053C" w:rsidRPr="00A75276">
        <w:rPr>
          <w:lang w:val="fr-FR"/>
        </w:rPr>
        <w:t>de l</w:t>
      </w:r>
      <w:r w:rsidR="009C53EC" w:rsidRPr="00A75276">
        <w:rPr>
          <w:lang w:val="fr-FR"/>
        </w:rPr>
        <w:t>’</w:t>
      </w:r>
      <w:r w:rsidR="0042053C" w:rsidRPr="00A75276">
        <w:rPr>
          <w:lang w:val="fr-FR"/>
        </w:rPr>
        <w:t>Inde comme une ressource très précieuse</w:t>
      </w:r>
      <w:r w:rsidR="004838AB" w:rsidRPr="00A75276">
        <w:rPr>
          <w:lang w:val="fr-FR"/>
        </w:rPr>
        <w:t xml:space="preserve">, </w:t>
      </w:r>
      <w:r w:rsidR="0042053C" w:rsidRPr="00A75276">
        <w:rPr>
          <w:lang w:val="fr-FR"/>
        </w:rPr>
        <w:t>qu</w:t>
      </w:r>
      <w:r w:rsidR="009C53EC" w:rsidRPr="00A75276">
        <w:rPr>
          <w:lang w:val="fr-FR"/>
        </w:rPr>
        <w:t>’</w:t>
      </w:r>
      <w:r w:rsidR="0042053C" w:rsidRPr="00A75276">
        <w:rPr>
          <w:lang w:val="fr-FR"/>
        </w:rPr>
        <w:t>il avait mise à la disposition des examinateurs et du personnel du Centre d</w:t>
      </w:r>
      <w:r w:rsidR="009C53EC" w:rsidRPr="00A75276">
        <w:rPr>
          <w:lang w:val="fr-FR"/>
        </w:rPr>
        <w:t>’</w:t>
      </w:r>
      <w:r w:rsidR="0042053C" w:rsidRPr="00A75276">
        <w:rPr>
          <w:lang w:val="fr-FR"/>
        </w:rPr>
        <w:t>information scientifique et technique (STIC)</w:t>
      </w:r>
      <w:r w:rsidR="004838AB" w:rsidRPr="00A75276">
        <w:rPr>
          <w:lang w:val="fr-FR"/>
        </w:rPr>
        <w:t>.  I</w:t>
      </w:r>
      <w:r w:rsidR="0068319C" w:rsidRPr="00A75276">
        <w:rPr>
          <w:lang w:val="fr-FR"/>
        </w:rPr>
        <w:t>l se félicitait de l</w:t>
      </w:r>
      <w:r w:rsidR="009C53EC" w:rsidRPr="00A75276">
        <w:rPr>
          <w:lang w:val="fr-FR"/>
        </w:rPr>
        <w:t>’</w:t>
      </w:r>
      <w:r w:rsidR="0068319C" w:rsidRPr="00A75276">
        <w:rPr>
          <w:lang w:val="fr-FR"/>
        </w:rPr>
        <w:t xml:space="preserve">adjonction proposée de la </w:t>
      </w:r>
      <w:r w:rsidR="002240C1" w:rsidRPr="00A75276">
        <w:rPr>
          <w:lang w:val="fr-FR"/>
        </w:rPr>
        <w:t>bibliothèque numérique des savoirs traditionnels</w:t>
      </w:r>
      <w:r w:rsidR="004838AB" w:rsidRPr="00A75276">
        <w:rPr>
          <w:lang w:val="fr-FR"/>
        </w:rPr>
        <w:t xml:space="preserve"> </w:t>
      </w:r>
      <w:r w:rsidR="0068319C" w:rsidRPr="00A75276">
        <w:rPr>
          <w:lang w:val="fr-FR"/>
        </w:rPr>
        <w:t>de l</w:t>
      </w:r>
      <w:r w:rsidR="009C53EC" w:rsidRPr="00A75276">
        <w:rPr>
          <w:lang w:val="fr-FR"/>
        </w:rPr>
        <w:t>’</w:t>
      </w:r>
      <w:r w:rsidR="0068319C" w:rsidRPr="00A75276">
        <w:rPr>
          <w:lang w:val="fr-FR"/>
        </w:rPr>
        <w:t xml:space="preserve">Inde à la </w:t>
      </w:r>
      <w:r w:rsidR="00AB0D34" w:rsidRPr="00A75276">
        <w:rPr>
          <w:lang w:val="fr-FR"/>
        </w:rPr>
        <w:t>documentation minimale</w:t>
      </w:r>
      <w:r w:rsidR="002E5DCA" w:rsidRPr="00A75276">
        <w:rPr>
          <w:lang w:val="fr-FR"/>
        </w:rPr>
        <w:t xml:space="preserve"> du PCT</w:t>
      </w:r>
      <w:r w:rsidR="004838AB" w:rsidRPr="00A75276">
        <w:rPr>
          <w:lang w:val="fr-FR"/>
        </w:rPr>
        <w:t xml:space="preserve">, </w:t>
      </w:r>
      <w:r w:rsidR="0068319C" w:rsidRPr="00A75276">
        <w:rPr>
          <w:lang w:val="fr-FR"/>
        </w:rPr>
        <w:t xml:space="preserve">ce qui serait profitable aux administrations </w:t>
      </w:r>
      <w:r w:rsidR="0025719A" w:rsidRPr="00A75276">
        <w:rPr>
          <w:lang w:val="fr-FR"/>
        </w:rPr>
        <w:t>ainsi qu</w:t>
      </w:r>
      <w:r w:rsidR="009C53EC" w:rsidRPr="00A75276">
        <w:rPr>
          <w:lang w:val="fr-FR"/>
        </w:rPr>
        <w:t>’</w:t>
      </w:r>
      <w:r w:rsidR="0025719A" w:rsidRPr="00A75276">
        <w:rPr>
          <w:lang w:val="fr-FR"/>
        </w:rPr>
        <w:t>aux offices nationaux</w:t>
      </w:r>
      <w:r w:rsidR="004838AB" w:rsidRPr="00A75276">
        <w:rPr>
          <w:lang w:val="fr-FR"/>
        </w:rPr>
        <w:t xml:space="preserve">, </w:t>
      </w:r>
      <w:r w:rsidR="0025719A" w:rsidRPr="00A75276">
        <w:rPr>
          <w:lang w:val="fr-FR"/>
        </w:rPr>
        <w:t xml:space="preserve">et mettrait à la disposition des examinateurs une </w:t>
      </w:r>
      <w:r w:rsidR="004838AB" w:rsidRPr="00A75276">
        <w:rPr>
          <w:lang w:val="fr-FR"/>
        </w:rPr>
        <w:t>excellent</w:t>
      </w:r>
      <w:r w:rsidR="0025719A" w:rsidRPr="00A75276">
        <w:rPr>
          <w:lang w:val="fr-FR"/>
        </w:rPr>
        <w:t>e</w:t>
      </w:r>
      <w:r w:rsidR="004838AB" w:rsidRPr="00A75276">
        <w:rPr>
          <w:lang w:val="fr-FR"/>
        </w:rPr>
        <w:t xml:space="preserve"> re</w:t>
      </w:r>
      <w:r w:rsidR="0025719A" w:rsidRPr="00A75276">
        <w:rPr>
          <w:lang w:val="fr-FR"/>
        </w:rPr>
        <w:t>s</w:t>
      </w:r>
      <w:r w:rsidR="004838AB" w:rsidRPr="00A75276">
        <w:rPr>
          <w:lang w:val="fr-FR"/>
        </w:rPr>
        <w:t xml:space="preserve">source </w:t>
      </w:r>
      <w:r w:rsidR="0025719A" w:rsidRPr="00A75276">
        <w:rPr>
          <w:lang w:val="fr-FR"/>
        </w:rPr>
        <w:t>propre à améliorer la qualité des produits de la phase internationa</w:t>
      </w:r>
      <w:r w:rsidR="00A16C85" w:rsidRPr="00A75276">
        <w:rPr>
          <w:lang w:val="fr-FR"/>
        </w:rPr>
        <w:t>le.  Il</w:t>
      </w:r>
      <w:r w:rsidR="008E4D66" w:rsidRPr="00A75276">
        <w:rPr>
          <w:lang w:val="fr-FR"/>
        </w:rPr>
        <w:t xml:space="preserve"> a ajouté qu</w:t>
      </w:r>
      <w:r w:rsidR="009C53EC" w:rsidRPr="00A75276">
        <w:rPr>
          <w:lang w:val="fr-FR"/>
        </w:rPr>
        <w:t>’</w:t>
      </w:r>
      <w:r w:rsidR="008E4D66" w:rsidRPr="00A75276">
        <w:rPr>
          <w:lang w:val="fr-FR"/>
        </w:rPr>
        <w:t>il serait heureux d</w:t>
      </w:r>
      <w:r w:rsidR="009C53EC" w:rsidRPr="00A75276">
        <w:rPr>
          <w:lang w:val="fr-FR"/>
        </w:rPr>
        <w:t>’</w:t>
      </w:r>
      <w:r w:rsidR="008E4D66" w:rsidRPr="00A75276">
        <w:rPr>
          <w:lang w:val="fr-FR"/>
        </w:rPr>
        <w:t>examiner toute proposition révisée que l</w:t>
      </w:r>
      <w:r w:rsidR="009C53EC" w:rsidRPr="00A75276">
        <w:rPr>
          <w:lang w:val="fr-FR"/>
        </w:rPr>
        <w:t>’</w:t>
      </w:r>
      <w:r w:rsidR="008E4D66" w:rsidRPr="00A75276">
        <w:rPr>
          <w:lang w:val="fr-FR"/>
        </w:rPr>
        <w:t xml:space="preserve">Inde pourrait soumettre concernant la </w:t>
      </w:r>
      <w:r w:rsidR="002240C1" w:rsidRPr="00A75276">
        <w:rPr>
          <w:lang w:val="fr-FR"/>
        </w:rPr>
        <w:t>bibliothèque numérique des savoirs traditionnels</w:t>
      </w:r>
      <w:r w:rsidR="004838AB" w:rsidRPr="00A75276">
        <w:rPr>
          <w:lang w:val="fr-FR"/>
        </w:rPr>
        <w:t xml:space="preserve"> </w:t>
      </w:r>
      <w:r w:rsidR="008E4D66" w:rsidRPr="00A75276">
        <w:rPr>
          <w:lang w:val="fr-FR"/>
        </w:rPr>
        <w:t>et de fournir de</w:t>
      </w:r>
      <w:r w:rsidR="00BA72BA" w:rsidRPr="00A75276">
        <w:rPr>
          <w:lang w:val="fr-FR"/>
        </w:rPr>
        <w:t>s</w:t>
      </w:r>
      <w:r w:rsidR="008E4D66" w:rsidRPr="00A75276">
        <w:rPr>
          <w:lang w:val="fr-FR"/>
        </w:rPr>
        <w:t xml:space="preserve"> commentaires </w:t>
      </w:r>
      <w:r w:rsidR="00BA72BA" w:rsidRPr="00A75276">
        <w:rPr>
          <w:lang w:val="fr-FR"/>
        </w:rPr>
        <w:t xml:space="preserve">plus </w:t>
      </w:r>
      <w:r w:rsidR="008E4D66" w:rsidRPr="00A75276">
        <w:rPr>
          <w:lang w:val="fr-FR"/>
        </w:rPr>
        <w:t>détaillés sur</w:t>
      </w:r>
      <w:r w:rsidR="002E5492" w:rsidRPr="00A75276">
        <w:rPr>
          <w:lang w:val="fr-FR"/>
        </w:rPr>
        <w:t xml:space="preserve"> </w:t>
      </w:r>
      <w:r w:rsidR="008E4D66" w:rsidRPr="00A75276">
        <w:rPr>
          <w:lang w:val="fr-FR"/>
        </w:rPr>
        <w:t>la base d</w:t>
      </w:r>
      <w:r w:rsidR="009C53EC" w:rsidRPr="00A75276">
        <w:rPr>
          <w:lang w:val="fr-FR"/>
        </w:rPr>
        <w:t>’</w:t>
      </w:r>
      <w:r w:rsidR="008E4D66" w:rsidRPr="00A75276">
        <w:rPr>
          <w:lang w:val="fr-FR"/>
        </w:rPr>
        <w:t>un</w:t>
      </w:r>
      <w:r w:rsidR="00506DB0" w:rsidRPr="00A75276">
        <w:rPr>
          <w:lang w:val="fr-FR"/>
        </w:rPr>
        <w:t>e version révisée du</w:t>
      </w:r>
      <w:r w:rsidR="008E4D66" w:rsidRPr="00A75276">
        <w:rPr>
          <w:lang w:val="fr-FR"/>
        </w:rPr>
        <w:t xml:space="preserve"> projet d</w:t>
      </w:r>
      <w:r w:rsidR="009C53EC" w:rsidRPr="00A75276">
        <w:rPr>
          <w:lang w:val="fr-FR"/>
        </w:rPr>
        <w:t>’</w:t>
      </w:r>
      <w:r w:rsidR="008E4D66" w:rsidRPr="00A75276">
        <w:rPr>
          <w:lang w:val="fr-FR"/>
        </w:rPr>
        <w:t>accord en matière d</w:t>
      </w:r>
      <w:r w:rsidR="009C53EC" w:rsidRPr="00A75276">
        <w:rPr>
          <w:lang w:val="fr-FR"/>
        </w:rPr>
        <w:t>’</w:t>
      </w:r>
      <w:r w:rsidR="008E4D66" w:rsidRPr="00A75276">
        <w:rPr>
          <w:lang w:val="fr-FR"/>
        </w:rPr>
        <w:t>accès</w:t>
      </w:r>
      <w:r w:rsidR="004838AB" w:rsidRPr="00A75276">
        <w:rPr>
          <w:lang w:val="fr-FR"/>
        </w:rPr>
        <w:t>.</w:t>
      </w:r>
    </w:p>
    <w:p w:rsidR="00715135" w:rsidRPr="00A75276" w:rsidRDefault="006E7BF1" w:rsidP="00360B03">
      <w:pPr>
        <w:pStyle w:val="ONUMFS"/>
        <w:rPr>
          <w:lang w:val="fr-FR"/>
        </w:rPr>
      </w:pPr>
      <w:r w:rsidRPr="00A75276">
        <w:rPr>
          <w:lang w:val="fr-FR"/>
        </w:rPr>
        <w:t>L</w:t>
      </w:r>
      <w:r w:rsidR="009C53EC" w:rsidRPr="00A75276">
        <w:rPr>
          <w:lang w:val="fr-FR"/>
        </w:rPr>
        <w:t>’</w:t>
      </w:r>
      <w:r w:rsidR="00216979" w:rsidRPr="00A75276">
        <w:rPr>
          <w:lang w:val="fr-FR"/>
        </w:rPr>
        <w:t>Office des brevets et des marques des États</w:t>
      </w:r>
      <w:r w:rsidR="00A16C85" w:rsidRPr="00A75276">
        <w:rPr>
          <w:lang w:val="fr-FR"/>
        </w:rPr>
        <w:noBreakHyphen/>
      </w:r>
      <w:r w:rsidR="00216979" w:rsidRPr="00A75276">
        <w:rPr>
          <w:lang w:val="fr-FR"/>
        </w:rPr>
        <w:t>Unis d</w:t>
      </w:r>
      <w:r w:rsidR="009C53EC" w:rsidRPr="00A75276">
        <w:rPr>
          <w:lang w:val="fr-FR"/>
        </w:rPr>
        <w:t>’</w:t>
      </w:r>
      <w:r w:rsidR="00216979" w:rsidRPr="00A75276">
        <w:rPr>
          <w:lang w:val="fr-FR"/>
        </w:rPr>
        <w:t>Amérique</w:t>
      </w:r>
      <w:r w:rsidR="004838AB" w:rsidRPr="00A75276">
        <w:rPr>
          <w:lang w:val="fr-FR"/>
        </w:rPr>
        <w:t xml:space="preserve"> </w:t>
      </w:r>
      <w:r w:rsidR="003B746E" w:rsidRPr="00A75276">
        <w:rPr>
          <w:lang w:val="fr-FR"/>
        </w:rPr>
        <w:t>a déclaré en outre que, compte tenu de l</w:t>
      </w:r>
      <w:r w:rsidR="009C53EC" w:rsidRPr="00A75276">
        <w:rPr>
          <w:lang w:val="fr-FR"/>
        </w:rPr>
        <w:t>’</w:t>
      </w:r>
      <w:r w:rsidR="003B746E" w:rsidRPr="00A75276">
        <w:rPr>
          <w:lang w:val="fr-FR"/>
        </w:rPr>
        <w:t>accord en matière d</w:t>
      </w:r>
      <w:r w:rsidR="009C53EC" w:rsidRPr="00A75276">
        <w:rPr>
          <w:lang w:val="fr-FR"/>
        </w:rPr>
        <w:t>’</w:t>
      </w:r>
      <w:r w:rsidR="003B746E" w:rsidRPr="00A75276">
        <w:rPr>
          <w:lang w:val="fr-FR"/>
        </w:rPr>
        <w:t>accès figurant dans le document, il craignait que les exigences en matière de non</w:t>
      </w:r>
      <w:r w:rsidR="00A16C85" w:rsidRPr="00A75276">
        <w:rPr>
          <w:lang w:val="fr-FR"/>
        </w:rPr>
        <w:noBreakHyphen/>
      </w:r>
      <w:r w:rsidR="003B746E" w:rsidRPr="00A75276">
        <w:rPr>
          <w:lang w:val="fr-FR"/>
        </w:rPr>
        <w:t>divulgation et de confidentialité proposé</w:t>
      </w:r>
      <w:r w:rsidR="004B123B" w:rsidRPr="00A75276">
        <w:rPr>
          <w:lang w:val="fr-FR"/>
        </w:rPr>
        <w:t>e</w:t>
      </w:r>
      <w:r w:rsidR="003B746E" w:rsidRPr="00A75276">
        <w:rPr>
          <w:lang w:val="fr-FR"/>
        </w:rPr>
        <w:t>s par l</w:t>
      </w:r>
      <w:r w:rsidR="009C53EC" w:rsidRPr="00A75276">
        <w:rPr>
          <w:lang w:val="fr-FR"/>
        </w:rPr>
        <w:t>’</w:t>
      </w:r>
      <w:r w:rsidR="003B746E" w:rsidRPr="00A75276">
        <w:rPr>
          <w:lang w:val="fr-FR"/>
        </w:rPr>
        <w:t xml:space="preserve">Inde </w:t>
      </w:r>
      <w:r w:rsidR="002E5492" w:rsidRPr="00A75276">
        <w:rPr>
          <w:lang w:val="fr-FR"/>
        </w:rPr>
        <w:t>comme</w:t>
      </w:r>
      <w:r w:rsidR="004838AB" w:rsidRPr="00A75276">
        <w:rPr>
          <w:lang w:val="fr-FR"/>
        </w:rPr>
        <w:t xml:space="preserve"> condition </w:t>
      </w:r>
      <w:r w:rsidR="002E5492" w:rsidRPr="00A75276">
        <w:rPr>
          <w:lang w:val="fr-FR"/>
        </w:rPr>
        <w:t>d</w:t>
      </w:r>
      <w:r w:rsidR="009C53EC" w:rsidRPr="00A75276">
        <w:rPr>
          <w:lang w:val="fr-FR"/>
        </w:rPr>
        <w:t>’</w:t>
      </w:r>
      <w:r w:rsidR="002E5492" w:rsidRPr="00A75276">
        <w:rPr>
          <w:lang w:val="fr-FR"/>
        </w:rPr>
        <w:t>accès à la</w:t>
      </w:r>
      <w:r w:rsidR="004838AB" w:rsidRPr="00A75276">
        <w:rPr>
          <w:lang w:val="fr-FR"/>
        </w:rPr>
        <w:t xml:space="preserve"> </w:t>
      </w:r>
      <w:r w:rsidR="002240C1" w:rsidRPr="00A75276">
        <w:rPr>
          <w:lang w:val="fr-FR"/>
        </w:rPr>
        <w:t>bibliothèque numérique des savoirs traditionnels</w:t>
      </w:r>
      <w:r w:rsidR="004838AB" w:rsidRPr="00A75276">
        <w:rPr>
          <w:lang w:val="fr-FR"/>
        </w:rPr>
        <w:t xml:space="preserve"> </w:t>
      </w:r>
      <w:r w:rsidR="00506DB0" w:rsidRPr="00A75276">
        <w:rPr>
          <w:lang w:val="fr-FR"/>
        </w:rPr>
        <w:t>ne rendent très difficile voire impossible l</w:t>
      </w:r>
      <w:r w:rsidR="009C53EC" w:rsidRPr="00A75276">
        <w:rPr>
          <w:lang w:val="fr-FR"/>
        </w:rPr>
        <w:t>’</w:t>
      </w:r>
      <w:r w:rsidR="00506DB0" w:rsidRPr="00A75276">
        <w:rPr>
          <w:lang w:val="fr-FR"/>
        </w:rPr>
        <w:t>utilisation de cette ressource par certains offic</w:t>
      </w:r>
      <w:r w:rsidR="00A16C85" w:rsidRPr="00A75276">
        <w:rPr>
          <w:lang w:val="fr-FR"/>
        </w:rPr>
        <w:t xml:space="preserve">es.  À </w:t>
      </w:r>
      <w:r w:rsidR="004B123B" w:rsidRPr="00A75276">
        <w:rPr>
          <w:lang w:val="fr-FR"/>
        </w:rPr>
        <w:t>son avis</w:t>
      </w:r>
      <w:r w:rsidR="004838AB" w:rsidRPr="00A75276">
        <w:rPr>
          <w:lang w:val="fr-FR"/>
        </w:rPr>
        <w:t xml:space="preserve">, </w:t>
      </w:r>
      <w:r w:rsidR="004B123B" w:rsidRPr="00A75276">
        <w:rPr>
          <w:lang w:val="fr-FR"/>
        </w:rPr>
        <w:t>étant donné qu</w:t>
      </w:r>
      <w:r w:rsidR="009C53EC" w:rsidRPr="00A75276">
        <w:rPr>
          <w:lang w:val="fr-FR"/>
        </w:rPr>
        <w:t>’</w:t>
      </w:r>
      <w:r w:rsidR="004B123B" w:rsidRPr="00A75276">
        <w:rPr>
          <w:lang w:val="fr-FR"/>
        </w:rPr>
        <w:t xml:space="preserve">il était obligatoire que les administrations aient accès à la </w:t>
      </w:r>
      <w:r w:rsidR="00AB0D34" w:rsidRPr="00A75276">
        <w:rPr>
          <w:lang w:val="fr-FR"/>
        </w:rPr>
        <w:t>documentation minimale</w:t>
      </w:r>
      <w:r w:rsidR="002E5DCA" w:rsidRPr="00A75276">
        <w:rPr>
          <w:lang w:val="fr-FR"/>
        </w:rPr>
        <w:t xml:space="preserve"> du PCT</w:t>
      </w:r>
      <w:r w:rsidR="004838AB" w:rsidRPr="00A75276">
        <w:rPr>
          <w:lang w:val="fr-FR"/>
        </w:rPr>
        <w:t xml:space="preserve">, </w:t>
      </w:r>
      <w:r w:rsidR="004B123B" w:rsidRPr="00A75276">
        <w:rPr>
          <w:lang w:val="fr-FR"/>
        </w:rPr>
        <w:t>toutes les</w:t>
      </w:r>
      <w:r w:rsidR="004838AB" w:rsidRPr="00A75276">
        <w:rPr>
          <w:lang w:val="fr-FR"/>
        </w:rPr>
        <w:t xml:space="preserve"> collections </w:t>
      </w:r>
      <w:r w:rsidR="004B123B" w:rsidRPr="00A75276">
        <w:rPr>
          <w:lang w:val="fr-FR"/>
        </w:rPr>
        <w:t xml:space="preserve">qui en faisaient partie devraient être accessibles de la même manière aux administrations et aux </w:t>
      </w:r>
      <w:r w:rsidR="004838AB" w:rsidRPr="00A75276">
        <w:rPr>
          <w:lang w:val="fr-FR"/>
        </w:rPr>
        <w:t xml:space="preserve">parties </w:t>
      </w:r>
      <w:r w:rsidR="004B123B" w:rsidRPr="00A75276">
        <w:rPr>
          <w:lang w:val="fr-FR"/>
        </w:rPr>
        <w:t xml:space="preserve">impliquées dans la recherche </w:t>
      </w:r>
      <w:r w:rsidR="004838AB" w:rsidRPr="00A75276">
        <w:rPr>
          <w:lang w:val="fr-FR"/>
        </w:rPr>
        <w:t>international</w:t>
      </w:r>
      <w:r w:rsidR="004B123B" w:rsidRPr="00A75276">
        <w:rPr>
          <w:lang w:val="fr-FR"/>
        </w:rPr>
        <w:t>e et l</w:t>
      </w:r>
      <w:r w:rsidR="009C53EC" w:rsidRPr="00A75276">
        <w:rPr>
          <w:lang w:val="fr-FR"/>
        </w:rPr>
        <w:t>’</w:t>
      </w:r>
      <w:r w:rsidR="004B123B" w:rsidRPr="00A75276">
        <w:rPr>
          <w:lang w:val="fr-FR"/>
        </w:rPr>
        <w:t>examen préliminaire internation</w:t>
      </w:r>
      <w:r w:rsidR="00A16C85" w:rsidRPr="00A75276">
        <w:rPr>
          <w:lang w:val="fr-FR"/>
        </w:rPr>
        <w:t>al.  Pa</w:t>
      </w:r>
      <w:r w:rsidR="004B123B" w:rsidRPr="00A75276">
        <w:rPr>
          <w:lang w:val="fr-FR"/>
        </w:rPr>
        <w:t>r principe, l</w:t>
      </w:r>
      <w:r w:rsidR="009C53EC" w:rsidRPr="00A75276">
        <w:rPr>
          <w:lang w:val="fr-FR"/>
        </w:rPr>
        <w:t>’</w:t>
      </w:r>
      <w:r w:rsidR="004B123B" w:rsidRPr="00A75276">
        <w:rPr>
          <w:lang w:val="fr-FR"/>
        </w:rPr>
        <w:t>office estimait que l</w:t>
      </w:r>
      <w:r w:rsidR="009C53EC" w:rsidRPr="00A75276">
        <w:rPr>
          <w:lang w:val="fr-FR"/>
        </w:rPr>
        <w:t>’</w:t>
      </w:r>
      <w:r w:rsidR="004B123B" w:rsidRPr="00A75276">
        <w:rPr>
          <w:lang w:val="fr-FR"/>
        </w:rPr>
        <w:t>état de la technique susceptible d</w:t>
      </w:r>
      <w:r w:rsidR="009C53EC" w:rsidRPr="00A75276">
        <w:rPr>
          <w:lang w:val="fr-FR"/>
        </w:rPr>
        <w:t>’</w:t>
      </w:r>
      <w:r w:rsidR="004B123B" w:rsidRPr="00A75276">
        <w:rPr>
          <w:lang w:val="fr-FR"/>
        </w:rPr>
        <w:t xml:space="preserve">être utilisé par une administration dans un rapport de recherche et une </w:t>
      </w:r>
      <w:r w:rsidR="004838AB" w:rsidRPr="00A75276">
        <w:rPr>
          <w:lang w:val="fr-FR"/>
        </w:rPr>
        <w:t xml:space="preserve">opinion </w:t>
      </w:r>
      <w:r w:rsidR="004B123B" w:rsidRPr="00A75276">
        <w:rPr>
          <w:lang w:val="fr-FR"/>
        </w:rPr>
        <w:t>écrite devrait également être accessible aux déposants et à leurs mandataires</w:t>
      </w:r>
      <w:r w:rsidR="004838AB" w:rsidRPr="00A75276">
        <w:rPr>
          <w:lang w:val="fr-FR"/>
        </w:rPr>
        <w:t xml:space="preserve">, </w:t>
      </w:r>
      <w:r w:rsidR="004B123B" w:rsidRPr="00A75276">
        <w:rPr>
          <w:lang w:val="fr-FR"/>
        </w:rPr>
        <w:t>pour leur permettre de prendre une décision en connaissance de cause quant à la protection de leurs droits</w:t>
      </w:r>
      <w:r w:rsidR="004838AB" w:rsidRPr="00A75276">
        <w:rPr>
          <w:lang w:val="fr-FR"/>
        </w:rPr>
        <w:t>.</w:t>
      </w:r>
    </w:p>
    <w:p w:rsidR="00715135" w:rsidRPr="00A75276" w:rsidRDefault="004F21FA" w:rsidP="00360B03">
      <w:pPr>
        <w:pStyle w:val="ONUMFS"/>
        <w:rPr>
          <w:lang w:val="fr-FR"/>
        </w:rPr>
      </w:pPr>
      <w:r w:rsidRPr="00A75276">
        <w:rPr>
          <w:lang w:val="fr-FR"/>
        </w:rPr>
        <w:t>L</w:t>
      </w:r>
      <w:r w:rsidR="009C53EC" w:rsidRPr="00A75276">
        <w:rPr>
          <w:lang w:val="fr-FR"/>
        </w:rPr>
        <w:t>’</w:t>
      </w:r>
      <w:r w:rsidR="00216979" w:rsidRPr="00A75276">
        <w:rPr>
          <w:lang w:val="fr-FR"/>
        </w:rPr>
        <w:t>Office des brevets et des marques des États</w:t>
      </w:r>
      <w:r w:rsidR="00A16C85" w:rsidRPr="00A75276">
        <w:rPr>
          <w:lang w:val="fr-FR"/>
        </w:rPr>
        <w:noBreakHyphen/>
      </w:r>
      <w:r w:rsidR="00216979" w:rsidRPr="00A75276">
        <w:rPr>
          <w:lang w:val="fr-FR"/>
        </w:rPr>
        <w:t>Unis d</w:t>
      </w:r>
      <w:r w:rsidR="009C53EC" w:rsidRPr="00A75276">
        <w:rPr>
          <w:lang w:val="fr-FR"/>
        </w:rPr>
        <w:t>’</w:t>
      </w:r>
      <w:r w:rsidR="00216979" w:rsidRPr="00A75276">
        <w:rPr>
          <w:lang w:val="fr-FR"/>
        </w:rPr>
        <w:t>Amérique</w:t>
      </w:r>
      <w:r w:rsidR="004838AB" w:rsidRPr="00A75276">
        <w:rPr>
          <w:lang w:val="fr-FR"/>
        </w:rPr>
        <w:t xml:space="preserve"> </w:t>
      </w:r>
      <w:r w:rsidRPr="00A75276">
        <w:rPr>
          <w:lang w:val="fr-FR"/>
        </w:rPr>
        <w:t>a estimé que les règles </w:t>
      </w:r>
      <w:r w:rsidR="004838AB" w:rsidRPr="00A75276">
        <w:rPr>
          <w:lang w:val="fr-FR"/>
        </w:rPr>
        <w:t xml:space="preserve">36.1 </w:t>
      </w:r>
      <w:r w:rsidRPr="00A75276">
        <w:rPr>
          <w:lang w:val="fr-FR"/>
        </w:rPr>
        <w:t xml:space="preserve">et </w:t>
      </w:r>
      <w:r w:rsidR="004838AB" w:rsidRPr="00A75276">
        <w:rPr>
          <w:lang w:val="fr-FR"/>
        </w:rPr>
        <w:t xml:space="preserve">63.1 </w:t>
      </w:r>
      <w:r w:rsidRPr="00A75276">
        <w:rPr>
          <w:lang w:val="fr-FR"/>
        </w:rPr>
        <w:t>du règlement d</w:t>
      </w:r>
      <w:r w:rsidR="009C53EC" w:rsidRPr="00A75276">
        <w:rPr>
          <w:lang w:val="fr-FR"/>
        </w:rPr>
        <w:t>’</w:t>
      </w:r>
      <w:r w:rsidRPr="00A75276">
        <w:rPr>
          <w:lang w:val="fr-FR"/>
        </w:rPr>
        <w:t>exécution</w:t>
      </w:r>
      <w:r w:rsidR="002E5DCA" w:rsidRPr="00A75276">
        <w:rPr>
          <w:lang w:val="fr-FR"/>
        </w:rPr>
        <w:t xml:space="preserve"> du PCT</w:t>
      </w:r>
      <w:r w:rsidRPr="00A75276">
        <w:rPr>
          <w:lang w:val="fr-FR"/>
        </w:rPr>
        <w:t xml:space="preserve"> exigeaient que les administrations aient accès à </w:t>
      </w:r>
      <w:r w:rsidR="00AB0D34" w:rsidRPr="00A75276">
        <w:rPr>
          <w:lang w:val="fr-FR"/>
        </w:rPr>
        <w:t>la documentation minimale</w:t>
      </w:r>
      <w:r w:rsidR="002E5DCA" w:rsidRPr="00A75276">
        <w:rPr>
          <w:lang w:val="fr-FR"/>
        </w:rPr>
        <w:t xml:space="preserve"> du </w:t>
      </w:r>
      <w:r w:rsidR="00A16C85" w:rsidRPr="00A75276">
        <w:rPr>
          <w:lang w:val="fr-FR"/>
        </w:rPr>
        <w:t>PCT.  Il</w:t>
      </w:r>
      <w:r w:rsidRPr="00A75276">
        <w:rPr>
          <w:lang w:val="fr-FR"/>
        </w:rPr>
        <w:t xml:space="preserve"> a prié le Secré</w:t>
      </w:r>
      <w:r w:rsidR="004838AB" w:rsidRPr="00A75276">
        <w:rPr>
          <w:lang w:val="fr-FR"/>
        </w:rPr>
        <w:t xml:space="preserve">tariat </w:t>
      </w:r>
      <w:r w:rsidR="00704471" w:rsidRPr="00A75276">
        <w:rPr>
          <w:lang w:val="fr-FR"/>
        </w:rPr>
        <w:t>de préciser les effets sur la situation d</w:t>
      </w:r>
      <w:r w:rsidR="009C53EC" w:rsidRPr="00A75276">
        <w:rPr>
          <w:lang w:val="fr-FR"/>
        </w:rPr>
        <w:t>’</w:t>
      </w:r>
      <w:r w:rsidR="00704471" w:rsidRPr="00A75276">
        <w:rPr>
          <w:lang w:val="fr-FR"/>
        </w:rPr>
        <w:t>un office en tant qu</w:t>
      </w:r>
      <w:r w:rsidR="009C53EC" w:rsidRPr="00A75276">
        <w:rPr>
          <w:lang w:val="fr-FR"/>
        </w:rPr>
        <w:t>’</w:t>
      </w:r>
      <w:r w:rsidR="00704471" w:rsidRPr="00A75276">
        <w:rPr>
          <w:lang w:val="fr-FR"/>
        </w:rPr>
        <w:t>administration s</w:t>
      </w:r>
      <w:r w:rsidR="009C53EC" w:rsidRPr="00A75276">
        <w:rPr>
          <w:lang w:val="fr-FR"/>
        </w:rPr>
        <w:t>’</w:t>
      </w:r>
      <w:r w:rsidR="00704471" w:rsidRPr="00A75276">
        <w:rPr>
          <w:lang w:val="fr-FR"/>
        </w:rPr>
        <w:t>il ne respectait pas l</w:t>
      </w:r>
      <w:r w:rsidR="009C53EC" w:rsidRPr="00A75276">
        <w:rPr>
          <w:lang w:val="fr-FR"/>
        </w:rPr>
        <w:t>’</w:t>
      </w:r>
      <w:r w:rsidR="00704471" w:rsidRPr="00A75276">
        <w:rPr>
          <w:lang w:val="fr-FR"/>
        </w:rPr>
        <w:t>une ou plusieurs des dispositions en matière de non</w:t>
      </w:r>
      <w:r w:rsidR="00A16C85" w:rsidRPr="00A75276">
        <w:rPr>
          <w:lang w:val="fr-FR"/>
        </w:rPr>
        <w:noBreakHyphen/>
      </w:r>
      <w:r w:rsidR="00704471" w:rsidRPr="00A75276">
        <w:rPr>
          <w:lang w:val="fr-FR"/>
        </w:rPr>
        <w:t>divulgation et n</w:t>
      </w:r>
      <w:r w:rsidR="009C53EC" w:rsidRPr="00A75276">
        <w:rPr>
          <w:lang w:val="fr-FR"/>
        </w:rPr>
        <w:t>’</w:t>
      </w:r>
      <w:r w:rsidR="00704471" w:rsidRPr="00A75276">
        <w:rPr>
          <w:lang w:val="fr-FR"/>
        </w:rPr>
        <w:t xml:space="preserve">avait plus accès à la </w:t>
      </w:r>
      <w:r w:rsidR="002240C1" w:rsidRPr="00A75276">
        <w:rPr>
          <w:lang w:val="fr-FR"/>
        </w:rPr>
        <w:t>bibliothèque numérique des savoirs traditionnels</w:t>
      </w:r>
      <w:r w:rsidR="004838AB" w:rsidRPr="00A75276">
        <w:rPr>
          <w:lang w:val="fr-FR"/>
        </w:rPr>
        <w:t xml:space="preserve">, </w:t>
      </w:r>
      <w:r w:rsidR="00704471" w:rsidRPr="00A75276">
        <w:rPr>
          <w:lang w:val="fr-FR"/>
        </w:rPr>
        <w:t>si celle</w:t>
      </w:r>
      <w:r w:rsidR="00A16C85" w:rsidRPr="00A75276">
        <w:rPr>
          <w:lang w:val="fr-FR"/>
        </w:rPr>
        <w:noBreakHyphen/>
      </w:r>
      <w:r w:rsidR="00704471" w:rsidRPr="00A75276">
        <w:rPr>
          <w:lang w:val="fr-FR"/>
        </w:rPr>
        <w:t xml:space="preserve">ci devait faire partie de la </w:t>
      </w:r>
      <w:r w:rsidR="00AB0D34" w:rsidRPr="00A75276">
        <w:rPr>
          <w:lang w:val="fr-FR"/>
        </w:rPr>
        <w:t>documentation minimale</w:t>
      </w:r>
      <w:r w:rsidR="002E5DCA" w:rsidRPr="00A75276">
        <w:rPr>
          <w:lang w:val="fr-FR"/>
        </w:rPr>
        <w:t xml:space="preserve"> du PCT</w:t>
      </w:r>
      <w:r w:rsidR="004838AB" w:rsidRPr="00A75276">
        <w:rPr>
          <w:lang w:val="fr-FR"/>
        </w:rPr>
        <w:t>.</w:t>
      </w:r>
    </w:p>
    <w:p w:rsidR="00715135" w:rsidRPr="00A75276" w:rsidRDefault="00871DEC" w:rsidP="00360B03">
      <w:pPr>
        <w:pStyle w:val="ONUMFS"/>
        <w:rPr>
          <w:lang w:val="fr-FR"/>
        </w:rPr>
      </w:pPr>
      <w:r w:rsidRPr="00A75276">
        <w:rPr>
          <w:lang w:val="fr-FR"/>
        </w:rPr>
        <w:t>Pour conclure</w:t>
      </w:r>
      <w:r w:rsidR="004838AB" w:rsidRPr="00A75276">
        <w:rPr>
          <w:lang w:val="fr-FR"/>
        </w:rPr>
        <w:t xml:space="preserve">, </w:t>
      </w:r>
      <w:r w:rsidRPr="00A75276">
        <w:rPr>
          <w:lang w:val="fr-FR"/>
        </w:rPr>
        <w:t>l</w:t>
      </w:r>
      <w:r w:rsidR="009C53EC" w:rsidRPr="00A75276">
        <w:rPr>
          <w:lang w:val="fr-FR"/>
        </w:rPr>
        <w:t>’</w:t>
      </w:r>
      <w:r w:rsidR="00216979" w:rsidRPr="00A75276">
        <w:rPr>
          <w:lang w:val="fr-FR"/>
        </w:rPr>
        <w:t>Office des brevets et des marques des États</w:t>
      </w:r>
      <w:r w:rsidR="00A16C85" w:rsidRPr="00A75276">
        <w:rPr>
          <w:lang w:val="fr-FR"/>
        </w:rPr>
        <w:noBreakHyphen/>
      </w:r>
      <w:r w:rsidR="00216979" w:rsidRPr="00A75276">
        <w:rPr>
          <w:lang w:val="fr-FR"/>
        </w:rPr>
        <w:t>Unis d</w:t>
      </w:r>
      <w:r w:rsidR="009C53EC" w:rsidRPr="00A75276">
        <w:rPr>
          <w:lang w:val="fr-FR"/>
        </w:rPr>
        <w:t>’</w:t>
      </w:r>
      <w:r w:rsidR="00216979" w:rsidRPr="00A75276">
        <w:rPr>
          <w:lang w:val="fr-FR"/>
        </w:rPr>
        <w:t>Amérique</w:t>
      </w:r>
      <w:r w:rsidR="004838AB" w:rsidRPr="00A75276">
        <w:rPr>
          <w:lang w:val="fr-FR"/>
        </w:rPr>
        <w:t xml:space="preserve"> </w:t>
      </w:r>
      <w:r w:rsidRPr="00A75276">
        <w:rPr>
          <w:lang w:val="fr-FR"/>
        </w:rPr>
        <w:t>a déclaré qu</w:t>
      </w:r>
      <w:r w:rsidR="009C53EC" w:rsidRPr="00A75276">
        <w:rPr>
          <w:lang w:val="fr-FR"/>
        </w:rPr>
        <w:t>’</w:t>
      </w:r>
      <w:r w:rsidRPr="00A75276">
        <w:rPr>
          <w:lang w:val="fr-FR"/>
        </w:rPr>
        <w:t>il considérait que des avantages importants pourraient être retirés par les administrations internationales de la consultation et de l</w:t>
      </w:r>
      <w:r w:rsidR="009C53EC" w:rsidRPr="00A75276">
        <w:rPr>
          <w:lang w:val="fr-FR"/>
        </w:rPr>
        <w:t>’</w:t>
      </w:r>
      <w:r w:rsidRPr="00A75276">
        <w:rPr>
          <w:lang w:val="fr-FR"/>
        </w:rPr>
        <w:t>utilisation pleine et entière de l</w:t>
      </w:r>
      <w:r w:rsidR="009C53EC" w:rsidRPr="00A75276">
        <w:rPr>
          <w:lang w:val="fr-FR"/>
        </w:rPr>
        <w:t>’</w:t>
      </w:r>
      <w:r w:rsidR="004838AB" w:rsidRPr="00A75276">
        <w:rPr>
          <w:lang w:val="fr-FR"/>
        </w:rPr>
        <w:t xml:space="preserve">information </w:t>
      </w:r>
      <w:r w:rsidRPr="00A75276">
        <w:rPr>
          <w:lang w:val="fr-FR"/>
        </w:rPr>
        <w:t xml:space="preserve">contenue dans la </w:t>
      </w:r>
      <w:r w:rsidR="002240C1" w:rsidRPr="00A75276">
        <w:rPr>
          <w:lang w:val="fr-FR"/>
        </w:rPr>
        <w:t>bibliothèque numérique des savoirs traditionne</w:t>
      </w:r>
      <w:r w:rsidR="00A16C85" w:rsidRPr="00A75276">
        <w:rPr>
          <w:lang w:val="fr-FR"/>
        </w:rPr>
        <w:t>ls.  Ce</w:t>
      </w:r>
      <w:r w:rsidRPr="00A75276">
        <w:rPr>
          <w:lang w:val="fr-FR"/>
        </w:rPr>
        <w:t>la étant</w:t>
      </w:r>
      <w:r w:rsidR="004838AB" w:rsidRPr="00A75276">
        <w:rPr>
          <w:lang w:val="fr-FR"/>
        </w:rPr>
        <w:t>, i</w:t>
      </w:r>
      <w:r w:rsidRPr="00A75276">
        <w:rPr>
          <w:lang w:val="fr-FR"/>
        </w:rPr>
        <w:t>l ne jugeait pas qu</w:t>
      </w:r>
      <w:r w:rsidR="009C53EC" w:rsidRPr="00A75276">
        <w:rPr>
          <w:lang w:val="fr-FR"/>
        </w:rPr>
        <w:t>’</w:t>
      </w:r>
      <w:r w:rsidRPr="00A75276">
        <w:rPr>
          <w:lang w:val="fr-FR"/>
        </w:rPr>
        <w:t xml:space="preserve">il </w:t>
      </w:r>
      <w:proofErr w:type="gramStart"/>
      <w:r w:rsidRPr="00A75276">
        <w:rPr>
          <w:lang w:val="fr-FR"/>
        </w:rPr>
        <w:t>était</w:t>
      </w:r>
      <w:proofErr w:type="gramEnd"/>
      <w:r w:rsidRPr="00A75276">
        <w:rPr>
          <w:lang w:val="fr-FR"/>
        </w:rPr>
        <w:t xml:space="preserve"> judicieux de limiter cet accès au moyen d</w:t>
      </w:r>
      <w:r w:rsidR="009C53EC" w:rsidRPr="00A75276">
        <w:rPr>
          <w:lang w:val="fr-FR"/>
        </w:rPr>
        <w:t>’</w:t>
      </w:r>
      <w:r w:rsidRPr="00A75276">
        <w:rPr>
          <w:lang w:val="fr-FR"/>
        </w:rPr>
        <w:t>exigences restrictives en matière de confidentialité et de non</w:t>
      </w:r>
      <w:r w:rsidR="00A16C85" w:rsidRPr="00A75276">
        <w:rPr>
          <w:lang w:val="fr-FR"/>
        </w:rPr>
        <w:noBreakHyphen/>
      </w:r>
      <w:r w:rsidRPr="00A75276">
        <w:rPr>
          <w:lang w:val="fr-FR"/>
        </w:rPr>
        <w:t>divulgati</w:t>
      </w:r>
      <w:r w:rsidR="00A16C85" w:rsidRPr="00A75276">
        <w:rPr>
          <w:lang w:val="fr-FR"/>
        </w:rPr>
        <w:t>on.  Fo</w:t>
      </w:r>
      <w:r w:rsidR="004838AB" w:rsidRPr="00A75276">
        <w:rPr>
          <w:lang w:val="fr-FR"/>
        </w:rPr>
        <w:t>ndamental</w:t>
      </w:r>
      <w:r w:rsidR="005B6837" w:rsidRPr="00A75276">
        <w:rPr>
          <w:lang w:val="fr-FR"/>
        </w:rPr>
        <w:t>ement</w:t>
      </w:r>
      <w:r w:rsidR="004838AB" w:rsidRPr="00A75276">
        <w:rPr>
          <w:lang w:val="fr-FR"/>
        </w:rPr>
        <w:t>, i</w:t>
      </w:r>
      <w:r w:rsidR="005B6837" w:rsidRPr="00A75276">
        <w:rPr>
          <w:lang w:val="fr-FR"/>
        </w:rPr>
        <w:t xml:space="preserve">l fallait faire en sorte que la </w:t>
      </w:r>
      <w:r w:rsidR="002240C1" w:rsidRPr="00A75276">
        <w:rPr>
          <w:lang w:val="fr-FR"/>
        </w:rPr>
        <w:t>bibliothèque numérique des savoirs traditionnels</w:t>
      </w:r>
      <w:r w:rsidR="004838AB" w:rsidRPr="00A75276">
        <w:rPr>
          <w:lang w:val="fr-FR"/>
        </w:rPr>
        <w:t xml:space="preserve">, </w:t>
      </w:r>
      <w:r w:rsidR="005B6837" w:rsidRPr="00A75276">
        <w:rPr>
          <w:lang w:val="fr-FR"/>
        </w:rPr>
        <w:t xml:space="preserve">comme </w:t>
      </w:r>
      <w:r w:rsidR="0007133F" w:rsidRPr="00A75276">
        <w:rPr>
          <w:lang w:val="fr-FR"/>
        </w:rPr>
        <w:t>toutes les autres collections comprises</w:t>
      </w:r>
      <w:r w:rsidR="005B6837" w:rsidRPr="00A75276">
        <w:rPr>
          <w:lang w:val="fr-FR"/>
        </w:rPr>
        <w:t xml:space="preserve"> dans</w:t>
      </w:r>
      <w:r w:rsidR="004838AB" w:rsidRPr="00A75276">
        <w:rPr>
          <w:lang w:val="fr-FR"/>
        </w:rPr>
        <w:t xml:space="preserve"> </w:t>
      </w:r>
      <w:r w:rsidR="00AB0D34" w:rsidRPr="00A75276">
        <w:rPr>
          <w:lang w:val="fr-FR"/>
        </w:rPr>
        <w:t>la documentation minimale</w:t>
      </w:r>
      <w:r w:rsidR="002E5DCA" w:rsidRPr="00A75276">
        <w:rPr>
          <w:lang w:val="fr-FR"/>
        </w:rPr>
        <w:t xml:space="preserve"> du PCT</w:t>
      </w:r>
      <w:r w:rsidR="004838AB" w:rsidRPr="00A75276">
        <w:rPr>
          <w:lang w:val="fr-FR"/>
        </w:rPr>
        <w:t xml:space="preserve">, </w:t>
      </w:r>
      <w:r w:rsidR="00B45792" w:rsidRPr="00A75276">
        <w:rPr>
          <w:lang w:val="fr-FR"/>
        </w:rPr>
        <w:t>soit</w:t>
      </w:r>
      <w:r w:rsidR="004838AB" w:rsidRPr="00A75276">
        <w:rPr>
          <w:lang w:val="fr-FR"/>
        </w:rPr>
        <w:t xml:space="preserve"> accessible </w:t>
      </w:r>
      <w:r w:rsidR="005B6837" w:rsidRPr="00A75276">
        <w:rPr>
          <w:lang w:val="fr-FR"/>
        </w:rPr>
        <w:t xml:space="preserve">par toutes les </w:t>
      </w:r>
      <w:r w:rsidR="004838AB" w:rsidRPr="00A75276">
        <w:rPr>
          <w:lang w:val="fr-FR"/>
        </w:rPr>
        <w:t xml:space="preserve">parties </w:t>
      </w:r>
      <w:r w:rsidR="005B6837" w:rsidRPr="00A75276">
        <w:rPr>
          <w:lang w:val="fr-FR"/>
        </w:rPr>
        <w:t>associées à la recherche internationale et à l</w:t>
      </w:r>
      <w:r w:rsidR="009C53EC" w:rsidRPr="00A75276">
        <w:rPr>
          <w:lang w:val="fr-FR"/>
        </w:rPr>
        <w:t>’</w:t>
      </w:r>
      <w:r w:rsidR="005B6837" w:rsidRPr="00A75276">
        <w:rPr>
          <w:lang w:val="fr-FR"/>
        </w:rPr>
        <w:t>examen préliminaire international</w:t>
      </w:r>
      <w:r w:rsidR="004838AB" w:rsidRPr="00A75276">
        <w:rPr>
          <w:lang w:val="fr-FR"/>
        </w:rPr>
        <w:t>.</w:t>
      </w:r>
    </w:p>
    <w:p w:rsidR="00715135" w:rsidRPr="00A75276" w:rsidRDefault="005B6837" w:rsidP="00A9298C">
      <w:pPr>
        <w:pStyle w:val="ONUMFS"/>
        <w:ind w:left="567"/>
        <w:rPr>
          <w:lang w:val="fr-FR"/>
        </w:rPr>
      </w:pPr>
      <w:r w:rsidRPr="00A75276">
        <w:rPr>
          <w:lang w:val="fr-FR"/>
        </w:rPr>
        <w:t>Sur</w:t>
      </w:r>
      <w:r w:rsidR="004838AB" w:rsidRPr="00A75276">
        <w:rPr>
          <w:lang w:val="fr-FR"/>
        </w:rPr>
        <w:t xml:space="preserve"> suggestion </w:t>
      </w:r>
      <w:r w:rsidRPr="00A75276">
        <w:rPr>
          <w:lang w:val="fr-FR"/>
        </w:rPr>
        <w:t>du Secré</w:t>
      </w:r>
      <w:r w:rsidR="004838AB" w:rsidRPr="00A75276">
        <w:rPr>
          <w:lang w:val="fr-FR"/>
        </w:rPr>
        <w:t xml:space="preserve">tariat, </w:t>
      </w:r>
      <w:r w:rsidRPr="00A75276">
        <w:rPr>
          <w:lang w:val="fr-FR"/>
        </w:rPr>
        <w:t>la réunion a décidé de procéder comme suit concernant la question à l</w:t>
      </w:r>
      <w:r w:rsidR="009C53EC" w:rsidRPr="00A75276">
        <w:rPr>
          <w:lang w:val="fr-FR"/>
        </w:rPr>
        <w:t>’</w:t>
      </w:r>
      <w:r w:rsidRPr="00A75276">
        <w:rPr>
          <w:lang w:val="fr-FR"/>
        </w:rPr>
        <w:t>examen </w:t>
      </w:r>
      <w:r w:rsidR="004838AB" w:rsidRPr="00A75276">
        <w:rPr>
          <w:lang w:val="fr-FR"/>
        </w:rPr>
        <w:t>:</w:t>
      </w:r>
    </w:p>
    <w:p w:rsidR="00715135" w:rsidRPr="00A75276" w:rsidRDefault="005B6837" w:rsidP="00A9298C">
      <w:pPr>
        <w:pStyle w:val="ONUMFS"/>
        <w:numPr>
          <w:ilvl w:val="1"/>
          <w:numId w:val="6"/>
        </w:numPr>
        <w:ind w:left="1134"/>
        <w:rPr>
          <w:lang w:val="fr-FR"/>
        </w:rPr>
      </w:pPr>
      <w:r w:rsidRPr="00A75276">
        <w:rPr>
          <w:lang w:val="fr-FR"/>
        </w:rPr>
        <w:lastRenderedPageBreak/>
        <w:t>La réunion a invité l</w:t>
      </w:r>
      <w:r w:rsidR="009C53EC" w:rsidRPr="00A75276">
        <w:rPr>
          <w:lang w:val="fr-FR"/>
        </w:rPr>
        <w:t>’</w:t>
      </w:r>
      <w:r w:rsidRPr="00A75276">
        <w:rPr>
          <w:lang w:val="fr-FR"/>
        </w:rPr>
        <w:t>équipe d</w:t>
      </w:r>
      <w:r w:rsidR="009C53EC" w:rsidRPr="00A75276">
        <w:rPr>
          <w:lang w:val="fr-FR"/>
        </w:rPr>
        <w:t>’</w:t>
      </w:r>
      <w:r w:rsidRPr="00A75276">
        <w:rPr>
          <w:lang w:val="fr-FR"/>
        </w:rPr>
        <w:t>experts chargée de la documentation minimale</w:t>
      </w:r>
      <w:r w:rsidR="002E5DCA" w:rsidRPr="00A75276">
        <w:rPr>
          <w:lang w:val="fr-FR"/>
        </w:rPr>
        <w:t xml:space="preserve"> du PCT</w:t>
      </w:r>
      <w:r w:rsidR="004838AB" w:rsidRPr="00A75276">
        <w:rPr>
          <w:lang w:val="fr-FR"/>
        </w:rPr>
        <w:t xml:space="preserve"> </w:t>
      </w:r>
      <w:r w:rsidR="00B45792" w:rsidRPr="00A75276">
        <w:rPr>
          <w:lang w:val="fr-FR"/>
        </w:rPr>
        <w:t>à reprendre d</w:t>
      </w:r>
      <w:r w:rsidR="009C53EC" w:rsidRPr="00A75276">
        <w:rPr>
          <w:lang w:val="fr-FR"/>
        </w:rPr>
        <w:t>’</w:t>
      </w:r>
      <w:r w:rsidR="00B45792" w:rsidRPr="00A75276">
        <w:rPr>
          <w:lang w:val="fr-FR"/>
        </w:rPr>
        <w:t xml:space="preserve">urgence </w:t>
      </w:r>
      <w:r w:rsidRPr="00A75276">
        <w:rPr>
          <w:lang w:val="fr-FR"/>
        </w:rPr>
        <w:t>ses</w:t>
      </w:r>
      <w:r w:rsidR="004838AB" w:rsidRPr="00A75276">
        <w:rPr>
          <w:lang w:val="fr-FR"/>
        </w:rPr>
        <w:t xml:space="preserve"> discussions </w:t>
      </w:r>
      <w:r w:rsidR="00AB223E" w:rsidRPr="00A75276">
        <w:rPr>
          <w:lang w:val="fr-FR"/>
        </w:rPr>
        <w:t>sur l</w:t>
      </w:r>
      <w:r w:rsidR="009C53EC" w:rsidRPr="00A75276">
        <w:rPr>
          <w:lang w:val="fr-FR"/>
        </w:rPr>
        <w:t>’</w:t>
      </w:r>
      <w:r w:rsidR="00AB223E" w:rsidRPr="00A75276">
        <w:rPr>
          <w:lang w:val="fr-FR"/>
        </w:rPr>
        <w:t>adjonction de bases de données</w:t>
      </w:r>
      <w:r w:rsidR="004838AB" w:rsidRPr="00A75276">
        <w:rPr>
          <w:lang w:val="fr-FR"/>
        </w:rPr>
        <w:t xml:space="preserve">, </w:t>
      </w:r>
      <w:r w:rsidR="009C53EC" w:rsidRPr="00A75276">
        <w:rPr>
          <w:lang w:val="fr-FR"/>
        </w:rPr>
        <w:t>y compris</w:t>
      </w:r>
      <w:r w:rsidR="00AB223E" w:rsidRPr="00A75276">
        <w:rPr>
          <w:lang w:val="fr-FR"/>
        </w:rPr>
        <w:t xml:space="preserve"> sur les savoirs traditionnels</w:t>
      </w:r>
      <w:r w:rsidR="004838AB" w:rsidRPr="00A75276">
        <w:rPr>
          <w:lang w:val="fr-FR"/>
        </w:rPr>
        <w:t xml:space="preserve">, </w:t>
      </w:r>
      <w:r w:rsidR="00AB223E" w:rsidRPr="00A75276">
        <w:rPr>
          <w:lang w:val="fr-FR"/>
        </w:rPr>
        <w:t>à</w:t>
      </w:r>
      <w:r w:rsidR="004838AB" w:rsidRPr="00A75276">
        <w:rPr>
          <w:lang w:val="fr-FR"/>
        </w:rPr>
        <w:t xml:space="preserve"> </w:t>
      </w:r>
      <w:r w:rsidR="00AB0D34" w:rsidRPr="00A75276">
        <w:rPr>
          <w:lang w:val="fr-FR"/>
        </w:rPr>
        <w:t>la documentation minimale</w:t>
      </w:r>
      <w:r w:rsidR="002E5DCA" w:rsidRPr="00A75276">
        <w:rPr>
          <w:lang w:val="fr-FR"/>
        </w:rPr>
        <w:t xml:space="preserve"> du PCT</w:t>
      </w:r>
      <w:r w:rsidR="004838AB" w:rsidRPr="00A75276">
        <w:rPr>
          <w:lang w:val="fr-FR"/>
        </w:rPr>
        <w:t xml:space="preserve">, </w:t>
      </w:r>
      <w:r w:rsidR="00AB223E" w:rsidRPr="00A75276">
        <w:rPr>
          <w:lang w:val="fr-FR"/>
        </w:rPr>
        <w:t>comme indiqué dans le</w:t>
      </w:r>
      <w:r w:rsidR="004838AB" w:rsidRPr="00A75276">
        <w:rPr>
          <w:lang w:val="fr-FR"/>
        </w:rPr>
        <w:t xml:space="preserve"> document PCT/MIA/12/6.</w:t>
      </w:r>
    </w:p>
    <w:p w:rsidR="00715135" w:rsidRPr="00A75276" w:rsidRDefault="00AB223E" w:rsidP="00A9298C">
      <w:pPr>
        <w:pStyle w:val="ONUMFS"/>
        <w:numPr>
          <w:ilvl w:val="1"/>
          <w:numId w:val="6"/>
        </w:numPr>
        <w:ind w:left="1134"/>
        <w:rPr>
          <w:lang w:val="fr-FR"/>
        </w:rPr>
      </w:pPr>
      <w:r w:rsidRPr="00A75276">
        <w:rPr>
          <w:lang w:val="fr-FR"/>
        </w:rPr>
        <w:t>La réunion a invité l</w:t>
      </w:r>
      <w:r w:rsidR="009C53EC" w:rsidRPr="00A75276">
        <w:rPr>
          <w:lang w:val="fr-FR"/>
        </w:rPr>
        <w:t>’</w:t>
      </w:r>
      <w:r w:rsidR="00AB0D34" w:rsidRPr="00A75276">
        <w:rPr>
          <w:lang w:val="fr-FR"/>
        </w:rPr>
        <w:t>Office indien des brevets</w:t>
      </w:r>
      <w:r w:rsidR="004838AB" w:rsidRPr="00A75276">
        <w:rPr>
          <w:lang w:val="fr-FR"/>
        </w:rPr>
        <w:t xml:space="preserve"> </w:t>
      </w:r>
      <w:r w:rsidRPr="00A75276">
        <w:rPr>
          <w:lang w:val="fr-FR"/>
        </w:rPr>
        <w:t xml:space="preserve">à soumettre </w:t>
      </w:r>
      <w:r w:rsidR="00B45792" w:rsidRPr="00A75276">
        <w:rPr>
          <w:lang w:val="fr-FR"/>
        </w:rPr>
        <w:t>à l</w:t>
      </w:r>
      <w:r w:rsidR="009C53EC" w:rsidRPr="00A75276">
        <w:rPr>
          <w:lang w:val="fr-FR"/>
        </w:rPr>
        <w:t>’</w:t>
      </w:r>
      <w:r w:rsidR="00B45792" w:rsidRPr="00A75276">
        <w:rPr>
          <w:lang w:val="fr-FR"/>
        </w:rPr>
        <w:t>équipe d</w:t>
      </w:r>
      <w:r w:rsidR="009C53EC" w:rsidRPr="00A75276">
        <w:rPr>
          <w:lang w:val="fr-FR"/>
        </w:rPr>
        <w:t>’</w:t>
      </w:r>
      <w:r w:rsidR="00B45792" w:rsidRPr="00A75276">
        <w:rPr>
          <w:lang w:val="fr-FR"/>
        </w:rPr>
        <w:t xml:space="preserve">experts </w:t>
      </w:r>
      <w:r w:rsidRPr="00A75276">
        <w:rPr>
          <w:lang w:val="fr-FR"/>
        </w:rPr>
        <w:t>un document de travail détaillé comprenant un projet révisé de l</w:t>
      </w:r>
      <w:r w:rsidR="009C53EC" w:rsidRPr="00A75276">
        <w:rPr>
          <w:lang w:val="fr-FR"/>
        </w:rPr>
        <w:t>’</w:t>
      </w:r>
      <w:r w:rsidRPr="00A75276">
        <w:rPr>
          <w:lang w:val="fr-FR"/>
        </w:rPr>
        <w:t>accord en matière d</w:t>
      </w:r>
      <w:r w:rsidR="009C53EC" w:rsidRPr="00A75276">
        <w:rPr>
          <w:lang w:val="fr-FR"/>
        </w:rPr>
        <w:t>’</w:t>
      </w:r>
      <w:r w:rsidR="00C119E5" w:rsidRPr="00A75276">
        <w:rPr>
          <w:lang w:val="fr-FR"/>
        </w:rPr>
        <w:t>acc</w:t>
      </w:r>
      <w:r w:rsidRPr="00A75276">
        <w:rPr>
          <w:lang w:val="fr-FR"/>
        </w:rPr>
        <w:t>è</w:t>
      </w:r>
      <w:r w:rsidR="00C119E5" w:rsidRPr="00A75276">
        <w:rPr>
          <w:lang w:val="fr-FR"/>
        </w:rPr>
        <w:t>s</w:t>
      </w:r>
      <w:r w:rsidR="004838AB" w:rsidRPr="00A75276">
        <w:rPr>
          <w:lang w:val="fr-FR"/>
        </w:rPr>
        <w:t xml:space="preserve">, </w:t>
      </w:r>
      <w:r w:rsidR="00C119E5" w:rsidRPr="00A75276">
        <w:rPr>
          <w:lang w:val="fr-FR"/>
        </w:rPr>
        <w:t>exposant ses propositions relatives à l</w:t>
      </w:r>
      <w:r w:rsidR="009C53EC" w:rsidRPr="00A75276">
        <w:rPr>
          <w:lang w:val="fr-FR"/>
        </w:rPr>
        <w:t>’</w:t>
      </w:r>
      <w:r w:rsidR="004838AB" w:rsidRPr="00A75276">
        <w:rPr>
          <w:lang w:val="fr-FR"/>
        </w:rPr>
        <w:t xml:space="preserve">inclusion </w:t>
      </w:r>
      <w:r w:rsidR="00C119E5" w:rsidRPr="00A75276">
        <w:rPr>
          <w:lang w:val="fr-FR"/>
        </w:rPr>
        <w:t>de la</w:t>
      </w:r>
      <w:r w:rsidR="004838AB" w:rsidRPr="00A75276">
        <w:rPr>
          <w:lang w:val="fr-FR"/>
        </w:rPr>
        <w:t xml:space="preserve"> </w:t>
      </w:r>
      <w:r w:rsidR="002240C1" w:rsidRPr="00A75276">
        <w:rPr>
          <w:lang w:val="fr-FR"/>
        </w:rPr>
        <w:t>bibliothèque numérique des savoirs traditionnels</w:t>
      </w:r>
      <w:r w:rsidR="004838AB" w:rsidRPr="00A75276">
        <w:rPr>
          <w:lang w:val="fr-FR"/>
        </w:rPr>
        <w:t xml:space="preserve"> </w:t>
      </w:r>
      <w:r w:rsidR="00C119E5" w:rsidRPr="00A75276">
        <w:rPr>
          <w:lang w:val="fr-FR"/>
        </w:rPr>
        <w:t>de l</w:t>
      </w:r>
      <w:r w:rsidR="009C53EC" w:rsidRPr="00A75276">
        <w:rPr>
          <w:lang w:val="fr-FR"/>
        </w:rPr>
        <w:t>’</w:t>
      </w:r>
      <w:r w:rsidR="00C119E5" w:rsidRPr="00A75276">
        <w:rPr>
          <w:lang w:val="fr-FR"/>
        </w:rPr>
        <w:t xml:space="preserve">Inde dans la </w:t>
      </w:r>
      <w:r w:rsidR="00AB0D34" w:rsidRPr="00A75276">
        <w:rPr>
          <w:lang w:val="fr-FR"/>
        </w:rPr>
        <w:t>documentation minimale</w:t>
      </w:r>
      <w:r w:rsidR="002E5DCA" w:rsidRPr="00A75276">
        <w:rPr>
          <w:lang w:val="fr-FR"/>
        </w:rPr>
        <w:t xml:space="preserve"> du PCT</w:t>
      </w:r>
      <w:r w:rsidR="004838AB" w:rsidRPr="00A75276">
        <w:rPr>
          <w:lang w:val="fr-FR"/>
        </w:rPr>
        <w:t xml:space="preserve">, </w:t>
      </w:r>
      <w:r w:rsidR="00C119E5" w:rsidRPr="00A75276">
        <w:rPr>
          <w:lang w:val="fr-FR"/>
        </w:rPr>
        <w:t xml:space="preserve">compte tenu des </w:t>
      </w:r>
      <w:r w:rsidR="004838AB" w:rsidRPr="00A75276">
        <w:rPr>
          <w:lang w:val="fr-FR"/>
        </w:rPr>
        <w:t xml:space="preserve">discussions </w:t>
      </w:r>
      <w:r w:rsidR="00C119E5" w:rsidRPr="00A75276">
        <w:rPr>
          <w:lang w:val="fr-FR"/>
        </w:rPr>
        <w:t xml:space="preserve">ayant eu lieu </w:t>
      </w:r>
      <w:r w:rsidR="00F368D7" w:rsidRPr="00A75276">
        <w:rPr>
          <w:lang w:val="fr-FR"/>
        </w:rPr>
        <w:t xml:space="preserve">précédemment </w:t>
      </w:r>
      <w:r w:rsidR="00C119E5" w:rsidRPr="00A75276">
        <w:rPr>
          <w:lang w:val="fr-FR"/>
        </w:rPr>
        <w:t>au sein de la réunion</w:t>
      </w:r>
      <w:r w:rsidR="004838AB" w:rsidRPr="00A75276">
        <w:rPr>
          <w:lang w:val="fr-FR"/>
        </w:rPr>
        <w:t xml:space="preserve">, </w:t>
      </w:r>
      <w:r w:rsidR="00C119E5" w:rsidRPr="00A75276">
        <w:rPr>
          <w:lang w:val="fr-FR"/>
        </w:rPr>
        <w:t>de l</w:t>
      </w:r>
      <w:r w:rsidR="009C53EC" w:rsidRPr="00A75276">
        <w:rPr>
          <w:lang w:val="fr-FR"/>
        </w:rPr>
        <w:t>’</w:t>
      </w:r>
      <w:r w:rsidR="00C119E5" w:rsidRPr="00A75276">
        <w:rPr>
          <w:lang w:val="fr-FR"/>
        </w:rPr>
        <w:t>équipe d</w:t>
      </w:r>
      <w:r w:rsidR="009C53EC" w:rsidRPr="00A75276">
        <w:rPr>
          <w:lang w:val="fr-FR"/>
        </w:rPr>
        <w:t>’</w:t>
      </w:r>
      <w:r w:rsidR="00C119E5" w:rsidRPr="00A75276">
        <w:rPr>
          <w:lang w:val="fr-FR"/>
        </w:rPr>
        <w:t>experts et de l</w:t>
      </w:r>
      <w:r w:rsidR="009C53EC" w:rsidRPr="00A75276">
        <w:rPr>
          <w:lang w:val="fr-FR"/>
        </w:rPr>
        <w:t>’</w:t>
      </w:r>
      <w:r w:rsidR="004838AB" w:rsidRPr="00A75276">
        <w:rPr>
          <w:lang w:val="fr-FR"/>
        </w:rPr>
        <w:t xml:space="preserve">IGC, </w:t>
      </w:r>
      <w:r w:rsidR="00F368D7" w:rsidRPr="00A75276">
        <w:rPr>
          <w:lang w:val="fr-FR"/>
        </w:rPr>
        <w:t>ainsi que des délibérations</w:t>
      </w:r>
      <w:r w:rsidR="004838AB" w:rsidRPr="00A75276">
        <w:rPr>
          <w:lang w:val="fr-FR"/>
        </w:rPr>
        <w:t xml:space="preserve"> </w:t>
      </w:r>
      <w:r w:rsidR="00F368D7" w:rsidRPr="00A75276">
        <w:rPr>
          <w:lang w:val="fr-FR"/>
        </w:rPr>
        <w:t>tenues à la réunion en cours</w:t>
      </w:r>
      <w:r w:rsidR="004838AB" w:rsidRPr="00A75276">
        <w:rPr>
          <w:lang w:val="fr-FR"/>
        </w:rPr>
        <w:t>.</w:t>
      </w:r>
    </w:p>
    <w:p w:rsidR="00715135" w:rsidRPr="00A75276" w:rsidRDefault="00F368D7" w:rsidP="00A9298C">
      <w:pPr>
        <w:pStyle w:val="ONUMFS"/>
        <w:numPr>
          <w:ilvl w:val="1"/>
          <w:numId w:val="6"/>
        </w:numPr>
        <w:ind w:left="1134"/>
        <w:rPr>
          <w:lang w:val="fr-FR"/>
        </w:rPr>
      </w:pPr>
      <w:r w:rsidRPr="00A75276">
        <w:rPr>
          <w:lang w:val="fr-FR"/>
        </w:rPr>
        <w:t xml:space="preserve">La réunion a invité le </w:t>
      </w:r>
      <w:r w:rsidR="00DA41F7" w:rsidRPr="00A75276">
        <w:rPr>
          <w:lang w:val="fr-FR"/>
        </w:rPr>
        <w:t>Bureau international</w:t>
      </w:r>
      <w:r w:rsidR="004838AB" w:rsidRPr="00A75276">
        <w:rPr>
          <w:lang w:val="fr-FR"/>
        </w:rPr>
        <w:t xml:space="preserve">, </w:t>
      </w:r>
      <w:r w:rsidRPr="00A75276">
        <w:rPr>
          <w:lang w:val="fr-FR"/>
        </w:rPr>
        <w:t>également en sa qualité actuelle de responsable de l</w:t>
      </w:r>
      <w:r w:rsidR="009C53EC" w:rsidRPr="00A75276">
        <w:rPr>
          <w:lang w:val="fr-FR"/>
        </w:rPr>
        <w:t>’</w:t>
      </w:r>
      <w:r w:rsidRPr="00A75276">
        <w:rPr>
          <w:lang w:val="fr-FR"/>
        </w:rPr>
        <w:t>équipe d</w:t>
      </w:r>
      <w:r w:rsidR="009C53EC" w:rsidRPr="00A75276">
        <w:rPr>
          <w:lang w:val="fr-FR"/>
        </w:rPr>
        <w:t>’</w:t>
      </w:r>
      <w:r w:rsidRPr="00A75276">
        <w:rPr>
          <w:lang w:val="fr-FR"/>
        </w:rPr>
        <w:t>experts</w:t>
      </w:r>
      <w:r w:rsidR="004838AB" w:rsidRPr="00A75276">
        <w:rPr>
          <w:lang w:val="fr-FR"/>
        </w:rPr>
        <w:t xml:space="preserve">, </w:t>
      </w:r>
      <w:r w:rsidRPr="00A75276">
        <w:rPr>
          <w:lang w:val="fr-FR"/>
        </w:rPr>
        <w:t>de travailler dans les mois à venir en étroite collaboration avec l</w:t>
      </w:r>
      <w:r w:rsidR="009C53EC" w:rsidRPr="00A75276">
        <w:rPr>
          <w:lang w:val="fr-FR"/>
        </w:rPr>
        <w:t>’</w:t>
      </w:r>
      <w:r w:rsidR="00AB0D34" w:rsidRPr="00A75276">
        <w:rPr>
          <w:lang w:val="fr-FR"/>
        </w:rPr>
        <w:t>Office indien des brevets</w:t>
      </w:r>
      <w:r w:rsidR="004838AB" w:rsidRPr="00A75276">
        <w:rPr>
          <w:lang w:val="fr-FR"/>
        </w:rPr>
        <w:t xml:space="preserve"> </w:t>
      </w:r>
      <w:r w:rsidRPr="00A75276">
        <w:rPr>
          <w:lang w:val="fr-FR"/>
        </w:rPr>
        <w:t xml:space="preserve">en vue de faire progresser </w:t>
      </w:r>
      <w:r w:rsidR="001F73A9" w:rsidRPr="00A75276">
        <w:rPr>
          <w:lang w:val="fr-FR"/>
        </w:rPr>
        <w:t>l</w:t>
      </w:r>
      <w:r w:rsidR="009C53EC" w:rsidRPr="00A75276">
        <w:rPr>
          <w:lang w:val="fr-FR"/>
        </w:rPr>
        <w:t>’</w:t>
      </w:r>
      <w:r w:rsidR="001F73A9" w:rsidRPr="00A75276">
        <w:rPr>
          <w:lang w:val="fr-FR"/>
        </w:rPr>
        <w:t>examen de la question</w:t>
      </w:r>
      <w:r w:rsidR="004838AB" w:rsidRPr="00A75276">
        <w:rPr>
          <w:lang w:val="fr-FR"/>
        </w:rPr>
        <w:t xml:space="preserve">, </w:t>
      </w:r>
      <w:r w:rsidR="001F73A9" w:rsidRPr="00A75276">
        <w:rPr>
          <w:lang w:val="fr-FR"/>
        </w:rPr>
        <w:t xml:space="preserve">si nécessaire au moyen de </w:t>
      </w:r>
      <w:r w:rsidR="004838AB" w:rsidRPr="00A75276">
        <w:rPr>
          <w:lang w:val="fr-FR"/>
        </w:rPr>
        <w:t xml:space="preserve">consultations </w:t>
      </w:r>
      <w:r w:rsidR="001F73A9" w:rsidRPr="00A75276">
        <w:rPr>
          <w:lang w:val="fr-FR"/>
        </w:rPr>
        <w:t xml:space="preserve">informelles et de </w:t>
      </w:r>
      <w:r w:rsidR="004838AB" w:rsidRPr="00A75276">
        <w:rPr>
          <w:lang w:val="fr-FR"/>
        </w:rPr>
        <w:t>communications</w:t>
      </w:r>
      <w:r w:rsidR="001F73A9" w:rsidRPr="00A75276">
        <w:rPr>
          <w:lang w:val="fr-FR"/>
        </w:rPr>
        <w:t xml:space="preserve"> écrites</w:t>
      </w:r>
      <w:r w:rsidR="004838AB" w:rsidRPr="00A75276">
        <w:rPr>
          <w:lang w:val="fr-FR"/>
        </w:rPr>
        <w:t xml:space="preserve">, </w:t>
      </w:r>
      <w:r w:rsidR="001F73A9" w:rsidRPr="00A75276">
        <w:rPr>
          <w:lang w:val="fr-FR"/>
        </w:rPr>
        <w:t>telles que des circulaires</w:t>
      </w:r>
      <w:r w:rsidR="004838AB" w:rsidRPr="00A75276">
        <w:rPr>
          <w:lang w:val="fr-FR"/>
        </w:rPr>
        <w:t xml:space="preserve"> PCT, </w:t>
      </w:r>
      <w:r w:rsidR="001F73A9" w:rsidRPr="00A75276">
        <w:rPr>
          <w:lang w:val="fr-FR"/>
        </w:rPr>
        <w:t xml:space="preserve">de manière à préparer de manière appropriée les </w:t>
      </w:r>
      <w:r w:rsidR="004838AB" w:rsidRPr="00A75276">
        <w:rPr>
          <w:lang w:val="fr-FR"/>
        </w:rPr>
        <w:t xml:space="preserve">discussions </w:t>
      </w:r>
      <w:r w:rsidR="009D217C" w:rsidRPr="00A75276">
        <w:rPr>
          <w:lang w:val="fr-FR"/>
        </w:rPr>
        <w:t>pour la prochaine R</w:t>
      </w:r>
      <w:r w:rsidR="001F73A9" w:rsidRPr="00A75276">
        <w:rPr>
          <w:lang w:val="fr-FR"/>
        </w:rPr>
        <w:t>éunion des administrations</w:t>
      </w:r>
      <w:r w:rsidR="009D217C" w:rsidRPr="00A75276">
        <w:rPr>
          <w:lang w:val="fr-FR"/>
        </w:rPr>
        <w:t xml:space="preserve"> internationales</w:t>
      </w:r>
      <w:r w:rsidR="001F73A9" w:rsidRPr="00A75276">
        <w:rPr>
          <w:lang w:val="fr-FR"/>
        </w:rPr>
        <w:t>, en</w:t>
      </w:r>
      <w:r w:rsidR="00432F5D" w:rsidRPr="00A75276">
        <w:rPr>
          <w:lang w:val="fr-FR"/>
        </w:rPr>
        <w:t> </w:t>
      </w:r>
      <w:r w:rsidR="004838AB" w:rsidRPr="00A75276">
        <w:rPr>
          <w:lang w:val="fr-FR"/>
        </w:rPr>
        <w:t>2017.</w:t>
      </w:r>
    </w:p>
    <w:p w:rsidR="00715135" w:rsidRPr="00A75276" w:rsidRDefault="007B783B" w:rsidP="00910CD0">
      <w:pPr>
        <w:pStyle w:val="Heading1"/>
        <w:keepNext w:val="0"/>
        <w:rPr>
          <w:lang w:val="fr-FR"/>
        </w:rPr>
      </w:pPr>
      <w:r w:rsidRPr="00A75276">
        <w:rPr>
          <w:lang w:val="fr-FR"/>
        </w:rPr>
        <w:t>Point </w:t>
      </w:r>
      <w:r w:rsidR="00910CD0" w:rsidRPr="00A75276">
        <w:rPr>
          <w:lang w:val="fr-FR"/>
        </w:rPr>
        <w:t>15 de l</w:t>
      </w:r>
      <w:r w:rsidR="009C53EC" w:rsidRPr="00A75276">
        <w:rPr>
          <w:lang w:val="fr-FR"/>
        </w:rPr>
        <w:t>’</w:t>
      </w:r>
      <w:r w:rsidR="00910CD0" w:rsidRPr="00A75276">
        <w:rPr>
          <w:lang w:val="fr-FR"/>
        </w:rPr>
        <w:t>ordre du jour</w:t>
      </w:r>
      <w:r w:rsidR="00432F5D" w:rsidRPr="00A75276">
        <w:rPr>
          <w:lang w:val="fr-FR"/>
        </w:rPr>
        <w:t> </w:t>
      </w:r>
      <w:r w:rsidR="00910CD0" w:rsidRPr="00A75276">
        <w:rPr>
          <w:lang w:val="fr-FR"/>
        </w:rPr>
        <w:t xml:space="preserve">: norme relative aux </w:t>
      </w:r>
      <w:r w:rsidRPr="00A75276">
        <w:rPr>
          <w:lang w:val="fr-FR"/>
        </w:rPr>
        <w:t>listages des séquences selon le </w:t>
      </w:r>
      <w:r w:rsidR="00910CD0" w:rsidRPr="00A75276">
        <w:rPr>
          <w:lang w:val="fr-FR"/>
        </w:rPr>
        <w:t>PCT</w:t>
      </w:r>
    </w:p>
    <w:p w:rsidR="00715135" w:rsidRPr="00A75276" w:rsidRDefault="00910CD0" w:rsidP="00910CD0">
      <w:pPr>
        <w:pStyle w:val="ONUMFS"/>
        <w:rPr>
          <w:lang w:val="fr-FR"/>
        </w:rPr>
      </w:pPr>
      <w:r w:rsidRPr="00A75276">
        <w:rPr>
          <w:lang w:val="fr-FR"/>
        </w:rPr>
        <w:t>Les délibérations ont eu lieu sur la base du document PCT/MIA/23/7.</w:t>
      </w:r>
    </w:p>
    <w:p w:rsidR="00715135" w:rsidRPr="00A75276" w:rsidRDefault="0028704B" w:rsidP="0028704B">
      <w:pPr>
        <w:pStyle w:val="ONUMFS"/>
        <w:rPr>
          <w:lang w:val="fr-FR"/>
        </w:rPr>
      </w:pPr>
      <w:r w:rsidRPr="00A75276">
        <w:rPr>
          <w:lang w:val="fr-FR"/>
        </w:rPr>
        <w:t>Les administrations qui ont pris la parole sur cette question ont appuyé l</w:t>
      </w:r>
      <w:r w:rsidR="009C53EC" w:rsidRPr="00A75276">
        <w:rPr>
          <w:lang w:val="fr-FR"/>
        </w:rPr>
        <w:t>’</w:t>
      </w:r>
      <w:r w:rsidRPr="00A75276">
        <w:rPr>
          <w:lang w:val="fr-FR"/>
        </w:rPr>
        <w:t>adoption de la norme</w:t>
      </w:r>
      <w:r w:rsidR="00432F5D" w:rsidRPr="00A75276">
        <w:rPr>
          <w:lang w:val="fr-FR"/>
        </w:rPr>
        <w:t> </w:t>
      </w:r>
      <w:r w:rsidRPr="00A75276">
        <w:rPr>
          <w:lang w:val="fr-FR"/>
        </w:rPr>
        <w:t>ST.26 de l</w:t>
      </w:r>
      <w:r w:rsidR="009C53EC" w:rsidRPr="00A75276">
        <w:rPr>
          <w:lang w:val="fr-FR"/>
        </w:rPr>
        <w:t>’</w:t>
      </w:r>
      <w:r w:rsidRPr="00A75276">
        <w:rPr>
          <w:lang w:val="fr-FR"/>
        </w:rPr>
        <w:t>OMPI et sont convenues que l</w:t>
      </w:r>
      <w:r w:rsidR="009C53EC" w:rsidRPr="00A75276">
        <w:rPr>
          <w:lang w:val="fr-FR"/>
        </w:rPr>
        <w:t>’</w:t>
      </w:r>
      <w:r w:rsidRPr="00A75276">
        <w:rPr>
          <w:lang w:val="fr-FR"/>
        </w:rPr>
        <w:t>Office européen des brevets, en sa qualité de responsable de l</w:t>
      </w:r>
      <w:r w:rsidR="009C53EC" w:rsidRPr="00A75276">
        <w:rPr>
          <w:lang w:val="fr-FR"/>
        </w:rPr>
        <w:t>’</w:t>
      </w:r>
      <w:r w:rsidRPr="00A75276">
        <w:rPr>
          <w:lang w:val="fr-FR"/>
        </w:rPr>
        <w:t>équipe d</w:t>
      </w:r>
      <w:r w:rsidR="009C53EC" w:rsidRPr="00A75276">
        <w:rPr>
          <w:lang w:val="fr-FR"/>
        </w:rPr>
        <w:t>’</w:t>
      </w:r>
      <w:r w:rsidRPr="00A75276">
        <w:rPr>
          <w:lang w:val="fr-FR"/>
        </w:rPr>
        <w:t>experts, devrait, avec le Bureau international, explorer d</w:t>
      </w:r>
      <w:r w:rsidR="009C53EC" w:rsidRPr="00A75276">
        <w:rPr>
          <w:lang w:val="fr-FR"/>
        </w:rPr>
        <w:t>’</w:t>
      </w:r>
      <w:r w:rsidRPr="00A75276">
        <w:rPr>
          <w:lang w:val="fr-FR"/>
        </w:rPr>
        <w:t>autres options pour faciliter ce processus si le Comité des normes de l</w:t>
      </w:r>
      <w:r w:rsidR="009C53EC" w:rsidRPr="00A75276">
        <w:rPr>
          <w:lang w:val="fr-FR"/>
        </w:rPr>
        <w:t>’</w:t>
      </w:r>
      <w:r w:rsidRPr="00A75276">
        <w:rPr>
          <w:lang w:val="fr-FR"/>
        </w:rPr>
        <w:t>OMPI n</w:t>
      </w:r>
      <w:r w:rsidR="009C53EC" w:rsidRPr="00A75276">
        <w:rPr>
          <w:lang w:val="fr-FR"/>
        </w:rPr>
        <w:t>’</w:t>
      </w:r>
      <w:r w:rsidRPr="00A75276">
        <w:rPr>
          <w:lang w:val="fr-FR"/>
        </w:rPr>
        <w:t xml:space="preserve">était pas convoqué en </w:t>
      </w:r>
      <w:r w:rsidR="002E5DCA" w:rsidRPr="00A75276">
        <w:rPr>
          <w:lang w:val="fr-FR"/>
        </w:rPr>
        <w:t>mars 20</w:t>
      </w:r>
      <w:r w:rsidRPr="00A75276">
        <w:rPr>
          <w:lang w:val="fr-FR"/>
        </w:rPr>
        <w:t>16.  Une administration a indiqué qu</w:t>
      </w:r>
      <w:r w:rsidR="009C53EC" w:rsidRPr="00A75276">
        <w:rPr>
          <w:lang w:val="fr-FR"/>
        </w:rPr>
        <w:t>’</w:t>
      </w:r>
      <w:r w:rsidRPr="00A75276">
        <w:rPr>
          <w:lang w:val="fr-FR"/>
        </w:rPr>
        <w:t>il faudrait prévoir suffisamment de temps pour assurer le passage à la norme</w:t>
      </w:r>
      <w:r w:rsidR="00432F5D" w:rsidRPr="00A75276">
        <w:rPr>
          <w:lang w:val="fr-FR"/>
        </w:rPr>
        <w:t> </w:t>
      </w:r>
      <w:r w:rsidRPr="00A75276">
        <w:rPr>
          <w:lang w:val="fr-FR"/>
        </w:rPr>
        <w:t>ST.26 compte tenu des changements à apporter aux systèmes informatiques.</w:t>
      </w:r>
    </w:p>
    <w:p w:rsidR="002E5DCA" w:rsidRPr="00A75276" w:rsidRDefault="0028704B" w:rsidP="0028704B">
      <w:pPr>
        <w:pStyle w:val="ONUMFS"/>
        <w:rPr>
          <w:lang w:val="fr-FR"/>
        </w:rPr>
      </w:pPr>
      <w:r w:rsidRPr="00A75276">
        <w:rPr>
          <w:lang w:val="fr-FR"/>
        </w:rPr>
        <w:t>En réponse à la question d</w:t>
      </w:r>
      <w:r w:rsidR="009C53EC" w:rsidRPr="00A75276">
        <w:rPr>
          <w:lang w:val="fr-FR"/>
        </w:rPr>
        <w:t>’</w:t>
      </w:r>
      <w:r w:rsidRPr="00A75276">
        <w:rPr>
          <w:lang w:val="fr-FR"/>
        </w:rPr>
        <w:t>une administration sur l</w:t>
      </w:r>
      <w:r w:rsidR="009C53EC" w:rsidRPr="00A75276">
        <w:rPr>
          <w:lang w:val="fr-FR"/>
        </w:rPr>
        <w:t>’</w:t>
      </w:r>
      <w:r w:rsidRPr="00A75276">
        <w:rPr>
          <w:lang w:val="fr-FR"/>
        </w:rPr>
        <w:t>état d</w:t>
      </w:r>
      <w:r w:rsidR="009C53EC" w:rsidRPr="00A75276">
        <w:rPr>
          <w:lang w:val="fr-FR"/>
        </w:rPr>
        <w:t>’</w:t>
      </w:r>
      <w:r w:rsidRPr="00A75276">
        <w:rPr>
          <w:lang w:val="fr-FR"/>
        </w:rPr>
        <w:t>avancement des discussions informelles relatives à l</w:t>
      </w:r>
      <w:r w:rsidR="009C53EC" w:rsidRPr="00A75276">
        <w:rPr>
          <w:lang w:val="fr-FR"/>
        </w:rPr>
        <w:t>’</w:t>
      </w:r>
      <w:r w:rsidRPr="00A75276">
        <w:rPr>
          <w:lang w:val="fr-FR"/>
        </w:rPr>
        <w:t>ordre du jour de la quatrième</w:t>
      </w:r>
      <w:r w:rsidR="00432F5D" w:rsidRPr="00A75276">
        <w:rPr>
          <w:lang w:val="fr-FR"/>
        </w:rPr>
        <w:t> </w:t>
      </w:r>
      <w:r w:rsidRPr="00A75276">
        <w:rPr>
          <w:lang w:val="fr-FR"/>
        </w:rPr>
        <w:t>session du Comité des normes de l</w:t>
      </w:r>
      <w:r w:rsidR="009C53EC" w:rsidRPr="00A75276">
        <w:rPr>
          <w:lang w:val="fr-FR"/>
        </w:rPr>
        <w:t>’</w:t>
      </w:r>
      <w:r w:rsidRPr="00A75276">
        <w:rPr>
          <w:lang w:val="fr-FR"/>
        </w:rPr>
        <w:t>OMPI, le Bureau international a informé la réunion que ces discussions étaient toujours en cours et qu</w:t>
      </w:r>
      <w:r w:rsidR="009C53EC" w:rsidRPr="00A75276">
        <w:rPr>
          <w:lang w:val="fr-FR"/>
        </w:rPr>
        <w:t>’</w:t>
      </w:r>
      <w:r w:rsidRPr="00A75276">
        <w:rPr>
          <w:lang w:val="fr-FR"/>
        </w:rPr>
        <w:t>aucun accord n</w:t>
      </w:r>
      <w:r w:rsidR="009C53EC" w:rsidRPr="00A75276">
        <w:rPr>
          <w:lang w:val="fr-FR"/>
        </w:rPr>
        <w:t>’</w:t>
      </w:r>
      <w:r w:rsidRPr="00A75276">
        <w:rPr>
          <w:lang w:val="fr-FR"/>
        </w:rPr>
        <w:t>avait encore été trouvé.</w:t>
      </w:r>
    </w:p>
    <w:p w:rsidR="00715135" w:rsidRPr="00A75276" w:rsidRDefault="00910CD0" w:rsidP="00910CD0">
      <w:pPr>
        <w:pStyle w:val="ONUMFS"/>
        <w:ind w:left="567"/>
        <w:rPr>
          <w:lang w:val="fr-FR"/>
        </w:rPr>
      </w:pPr>
      <w:r w:rsidRPr="00A75276">
        <w:rPr>
          <w:lang w:val="fr-FR"/>
        </w:rPr>
        <w:t>La réunion a pris note du contenu du document PCT/MIA/23/7.</w:t>
      </w:r>
    </w:p>
    <w:p w:rsidR="00715135" w:rsidRPr="00A75276" w:rsidRDefault="00910CD0" w:rsidP="00910CD0">
      <w:pPr>
        <w:pStyle w:val="Heading1"/>
        <w:rPr>
          <w:lang w:val="fr-FR"/>
        </w:rPr>
      </w:pPr>
      <w:r w:rsidRPr="00A75276">
        <w:rPr>
          <w:lang w:val="fr-FR"/>
        </w:rPr>
        <w:t>Point</w:t>
      </w:r>
      <w:r w:rsidR="007B783B" w:rsidRPr="00A75276">
        <w:rPr>
          <w:lang w:val="fr-FR"/>
        </w:rPr>
        <w:t> </w:t>
      </w:r>
      <w:r w:rsidRPr="00A75276">
        <w:rPr>
          <w:lang w:val="fr-FR"/>
        </w:rPr>
        <w:t>16 de l</w:t>
      </w:r>
      <w:r w:rsidR="009C53EC" w:rsidRPr="00A75276">
        <w:rPr>
          <w:lang w:val="fr-FR"/>
        </w:rPr>
        <w:t>’</w:t>
      </w:r>
      <w:r w:rsidRPr="00A75276">
        <w:rPr>
          <w:lang w:val="fr-FR"/>
        </w:rPr>
        <w:t>ordre du jour</w:t>
      </w:r>
      <w:r w:rsidR="00432F5D" w:rsidRPr="00A75276">
        <w:rPr>
          <w:lang w:val="fr-FR"/>
        </w:rPr>
        <w:t> </w:t>
      </w:r>
      <w:r w:rsidRPr="00A75276">
        <w:rPr>
          <w:lang w:val="fr-FR"/>
        </w:rPr>
        <w:t>: révision de la norme</w:t>
      </w:r>
      <w:r w:rsidR="00432F5D" w:rsidRPr="00A75276">
        <w:rPr>
          <w:lang w:val="fr-FR"/>
        </w:rPr>
        <w:t> </w:t>
      </w:r>
      <w:r w:rsidRPr="00A75276">
        <w:rPr>
          <w:lang w:val="fr-FR"/>
        </w:rPr>
        <w:t>ST.14</w:t>
      </w:r>
    </w:p>
    <w:p w:rsidR="00715135" w:rsidRPr="00A75276" w:rsidRDefault="00910CD0" w:rsidP="00910CD0">
      <w:pPr>
        <w:pStyle w:val="ONUMFS"/>
        <w:rPr>
          <w:lang w:val="fr-FR"/>
        </w:rPr>
      </w:pPr>
      <w:r w:rsidRPr="00A75276">
        <w:rPr>
          <w:lang w:val="fr-FR"/>
        </w:rPr>
        <w:t>Les délibérations ont eu lieu sur la base du document PCT/MIA/23/11.</w:t>
      </w:r>
    </w:p>
    <w:p w:rsidR="00715135" w:rsidRPr="00A75276" w:rsidRDefault="0028704B" w:rsidP="0028704B">
      <w:pPr>
        <w:pStyle w:val="ONUMFS"/>
        <w:rPr>
          <w:lang w:val="fr-FR"/>
        </w:rPr>
      </w:pPr>
      <w:r w:rsidRPr="00A75276">
        <w:rPr>
          <w:lang w:val="fr-FR"/>
        </w:rPr>
        <w:t>Toutes les administrations qui ont pris la parole sur cette question ont appuyé la décision de l</w:t>
      </w:r>
      <w:r w:rsidR="009C53EC" w:rsidRPr="00A75276">
        <w:rPr>
          <w:lang w:val="fr-FR"/>
        </w:rPr>
        <w:t>’</w:t>
      </w:r>
      <w:r w:rsidRPr="00A75276">
        <w:rPr>
          <w:lang w:val="fr-FR"/>
        </w:rPr>
        <w:t>équipe d</w:t>
      </w:r>
      <w:r w:rsidR="009C53EC" w:rsidRPr="00A75276">
        <w:rPr>
          <w:lang w:val="fr-FR"/>
        </w:rPr>
        <w:t>’</w:t>
      </w:r>
      <w:r w:rsidRPr="00A75276">
        <w:rPr>
          <w:lang w:val="fr-FR"/>
        </w:rPr>
        <w:t xml:space="preserve">experts de laisser la catégorie </w:t>
      </w:r>
      <w:r w:rsidR="00E874A5" w:rsidRPr="00A75276">
        <w:rPr>
          <w:lang w:val="fr-FR"/>
        </w:rPr>
        <w:t>“</w:t>
      </w:r>
      <w:r w:rsidRPr="00A75276">
        <w:rPr>
          <w:lang w:val="fr-FR"/>
        </w:rPr>
        <w:t>X</w:t>
      </w:r>
      <w:r w:rsidR="00E874A5" w:rsidRPr="00A75276">
        <w:rPr>
          <w:lang w:val="fr-FR"/>
        </w:rPr>
        <w:t>”</w:t>
      </w:r>
      <w:r w:rsidRPr="00A75276">
        <w:rPr>
          <w:lang w:val="fr-FR"/>
        </w:rPr>
        <w:t xml:space="preserve"> en l</w:t>
      </w:r>
      <w:r w:rsidR="009C53EC" w:rsidRPr="00A75276">
        <w:rPr>
          <w:lang w:val="fr-FR"/>
        </w:rPr>
        <w:t>’</w:t>
      </w:r>
      <w:r w:rsidRPr="00A75276">
        <w:rPr>
          <w:lang w:val="fr-FR"/>
        </w:rPr>
        <w:t xml:space="preserve">état, mais ont exprimé des vues divergentes sur la manière dont les catégories </w:t>
      </w:r>
      <w:r w:rsidR="00E874A5" w:rsidRPr="00A75276">
        <w:rPr>
          <w:lang w:val="fr-FR"/>
        </w:rPr>
        <w:t>“</w:t>
      </w:r>
      <w:r w:rsidRPr="00A75276">
        <w:rPr>
          <w:lang w:val="fr-FR"/>
        </w:rPr>
        <w:t>E</w:t>
      </w:r>
      <w:r w:rsidR="00E874A5" w:rsidRPr="00A75276">
        <w:rPr>
          <w:lang w:val="fr-FR"/>
        </w:rPr>
        <w:t>”</w:t>
      </w:r>
      <w:r w:rsidRPr="00A75276">
        <w:rPr>
          <w:lang w:val="fr-FR"/>
        </w:rPr>
        <w:t xml:space="preserve"> et </w:t>
      </w:r>
      <w:r w:rsidR="00E874A5" w:rsidRPr="00A75276">
        <w:rPr>
          <w:lang w:val="fr-FR"/>
        </w:rPr>
        <w:t>“</w:t>
      </w:r>
      <w:r w:rsidRPr="00A75276">
        <w:rPr>
          <w:lang w:val="fr-FR"/>
        </w:rPr>
        <w:t>O</w:t>
      </w:r>
      <w:r w:rsidR="00E874A5" w:rsidRPr="00A75276">
        <w:rPr>
          <w:lang w:val="fr-FR"/>
        </w:rPr>
        <w:t>”</w:t>
      </w:r>
      <w:r w:rsidRPr="00A75276">
        <w:rPr>
          <w:lang w:val="fr-FR"/>
        </w:rPr>
        <w:t xml:space="preserve"> devraient être combinées avec les catégories </w:t>
      </w:r>
      <w:r w:rsidR="00E874A5" w:rsidRPr="00A75276">
        <w:rPr>
          <w:lang w:val="fr-FR"/>
        </w:rPr>
        <w:t>“</w:t>
      </w:r>
      <w:r w:rsidRPr="00A75276">
        <w:rPr>
          <w:lang w:val="fr-FR"/>
        </w:rPr>
        <w:t>X</w:t>
      </w:r>
      <w:r w:rsidR="00E874A5" w:rsidRPr="00A75276">
        <w:rPr>
          <w:lang w:val="fr-FR"/>
        </w:rPr>
        <w:t>”</w:t>
      </w:r>
      <w:r w:rsidRPr="00A75276">
        <w:rPr>
          <w:lang w:val="fr-FR"/>
        </w:rPr>
        <w:t xml:space="preserve">, </w:t>
      </w:r>
      <w:r w:rsidR="00E874A5" w:rsidRPr="00A75276">
        <w:rPr>
          <w:lang w:val="fr-FR"/>
        </w:rPr>
        <w:t>“</w:t>
      </w:r>
      <w:r w:rsidRPr="00A75276">
        <w:rPr>
          <w:lang w:val="fr-FR"/>
        </w:rPr>
        <w:t>Y</w:t>
      </w:r>
      <w:r w:rsidR="00E874A5" w:rsidRPr="00A75276">
        <w:rPr>
          <w:lang w:val="fr-FR"/>
        </w:rPr>
        <w:t>”</w:t>
      </w:r>
      <w:r w:rsidRPr="00A75276">
        <w:rPr>
          <w:lang w:val="fr-FR"/>
        </w:rPr>
        <w:t xml:space="preserve"> et </w:t>
      </w:r>
      <w:r w:rsidR="00E874A5" w:rsidRPr="00A75276">
        <w:rPr>
          <w:lang w:val="fr-FR"/>
        </w:rPr>
        <w:t>“</w:t>
      </w:r>
      <w:r w:rsidRPr="00A75276">
        <w:rPr>
          <w:lang w:val="fr-FR"/>
        </w:rPr>
        <w:t>A</w:t>
      </w:r>
      <w:r w:rsidR="00E874A5" w:rsidRPr="00A75276">
        <w:rPr>
          <w:lang w:val="fr-FR"/>
        </w:rPr>
        <w:t>”</w:t>
      </w:r>
      <w:r w:rsidRPr="00A75276">
        <w:rPr>
          <w:lang w:val="fr-FR"/>
        </w:rPr>
        <w:t>.  Une administration s</w:t>
      </w:r>
      <w:r w:rsidR="009C53EC" w:rsidRPr="00A75276">
        <w:rPr>
          <w:lang w:val="fr-FR"/>
        </w:rPr>
        <w:t>’</w:t>
      </w:r>
      <w:r w:rsidRPr="00A75276">
        <w:rPr>
          <w:lang w:val="fr-FR"/>
        </w:rPr>
        <w:t xml:space="preserve">est prononcée en faveur du texte du projet de norme selon lequel la combinaison de ces catégories était préférable;  une autre a déclaré que cette combinaison devrait être obligatoire;  et une troisième a indiqué que la combinaison devrait être obligatoire pour la catégorie </w:t>
      </w:r>
      <w:r w:rsidR="00E874A5" w:rsidRPr="00A75276">
        <w:rPr>
          <w:lang w:val="fr-FR"/>
        </w:rPr>
        <w:t>“</w:t>
      </w:r>
      <w:r w:rsidRPr="00A75276">
        <w:rPr>
          <w:lang w:val="fr-FR"/>
        </w:rPr>
        <w:t>O</w:t>
      </w:r>
      <w:r w:rsidR="00E874A5" w:rsidRPr="00A75276">
        <w:rPr>
          <w:lang w:val="fr-FR"/>
        </w:rPr>
        <w:t>”</w:t>
      </w:r>
      <w:r w:rsidRPr="00A75276">
        <w:rPr>
          <w:lang w:val="fr-FR"/>
        </w:rPr>
        <w:t xml:space="preserve"> mais était opposée à l</w:t>
      </w:r>
      <w:r w:rsidR="009C53EC" w:rsidRPr="00A75276">
        <w:rPr>
          <w:lang w:val="fr-FR"/>
        </w:rPr>
        <w:t>’</w:t>
      </w:r>
      <w:r w:rsidRPr="00A75276">
        <w:rPr>
          <w:lang w:val="fr-FR"/>
        </w:rPr>
        <w:t xml:space="preserve">inclusion de toute exigence ou de tout avis sur la combinaison de la catégorie </w:t>
      </w:r>
      <w:r w:rsidR="00E874A5" w:rsidRPr="00A75276">
        <w:rPr>
          <w:lang w:val="fr-FR"/>
        </w:rPr>
        <w:t>“</w:t>
      </w:r>
      <w:r w:rsidRPr="00A75276">
        <w:rPr>
          <w:lang w:val="fr-FR"/>
        </w:rPr>
        <w:t>E</w:t>
      </w:r>
      <w:r w:rsidR="00E874A5" w:rsidRPr="00A75276">
        <w:rPr>
          <w:lang w:val="fr-FR"/>
        </w:rPr>
        <w:t>”</w:t>
      </w:r>
      <w:r w:rsidRPr="00A75276">
        <w:rPr>
          <w:lang w:val="fr-FR"/>
        </w:rPr>
        <w:t xml:space="preserve"> avec les catégories </w:t>
      </w:r>
      <w:r w:rsidR="00E874A5" w:rsidRPr="00A75276">
        <w:rPr>
          <w:lang w:val="fr-FR"/>
        </w:rPr>
        <w:t>“</w:t>
      </w:r>
      <w:r w:rsidRPr="00A75276">
        <w:rPr>
          <w:lang w:val="fr-FR"/>
        </w:rPr>
        <w:t>X</w:t>
      </w:r>
      <w:r w:rsidR="00E874A5" w:rsidRPr="00A75276">
        <w:rPr>
          <w:lang w:val="fr-FR"/>
        </w:rPr>
        <w:t>”</w:t>
      </w:r>
      <w:r w:rsidRPr="00A75276">
        <w:rPr>
          <w:lang w:val="fr-FR"/>
        </w:rPr>
        <w:t xml:space="preserve">, </w:t>
      </w:r>
      <w:r w:rsidR="00E874A5" w:rsidRPr="00A75276">
        <w:rPr>
          <w:lang w:val="fr-FR"/>
        </w:rPr>
        <w:t>“</w:t>
      </w:r>
      <w:r w:rsidRPr="00A75276">
        <w:rPr>
          <w:lang w:val="fr-FR"/>
        </w:rPr>
        <w:t>Y</w:t>
      </w:r>
      <w:r w:rsidR="00E874A5" w:rsidRPr="00A75276">
        <w:rPr>
          <w:lang w:val="fr-FR"/>
        </w:rPr>
        <w:t>”</w:t>
      </w:r>
      <w:r w:rsidRPr="00A75276">
        <w:rPr>
          <w:lang w:val="fr-FR"/>
        </w:rPr>
        <w:t xml:space="preserve"> et </w:t>
      </w:r>
      <w:r w:rsidR="00E874A5" w:rsidRPr="00A75276">
        <w:rPr>
          <w:lang w:val="fr-FR"/>
        </w:rPr>
        <w:t>“</w:t>
      </w:r>
      <w:r w:rsidRPr="00A75276">
        <w:rPr>
          <w:lang w:val="fr-FR"/>
        </w:rPr>
        <w:t>A</w:t>
      </w:r>
      <w:r w:rsidR="00E874A5" w:rsidRPr="00A75276">
        <w:rPr>
          <w:lang w:val="fr-FR"/>
        </w:rPr>
        <w:t>”</w:t>
      </w:r>
      <w:r w:rsidRPr="00A75276">
        <w:rPr>
          <w:lang w:val="fr-FR"/>
        </w:rPr>
        <w:t>.  Elle a ajouté qu</w:t>
      </w:r>
      <w:r w:rsidR="009C53EC" w:rsidRPr="00A75276">
        <w:rPr>
          <w:lang w:val="fr-FR"/>
        </w:rPr>
        <w:t>’</w:t>
      </w:r>
      <w:r w:rsidRPr="00A75276">
        <w:rPr>
          <w:lang w:val="fr-FR"/>
        </w:rPr>
        <w:t xml:space="preserve">une disposition facultative pour la catégorie </w:t>
      </w:r>
      <w:r w:rsidR="00E874A5" w:rsidRPr="00A75276">
        <w:rPr>
          <w:lang w:val="fr-FR"/>
        </w:rPr>
        <w:t>“</w:t>
      </w:r>
      <w:r w:rsidRPr="00A75276">
        <w:rPr>
          <w:lang w:val="fr-FR"/>
        </w:rPr>
        <w:t>E</w:t>
      </w:r>
      <w:r w:rsidR="00E874A5" w:rsidRPr="00A75276">
        <w:rPr>
          <w:lang w:val="fr-FR"/>
        </w:rPr>
        <w:t>”</w:t>
      </w:r>
      <w:r w:rsidRPr="00A75276">
        <w:rPr>
          <w:lang w:val="fr-FR"/>
        </w:rPr>
        <w:t xml:space="preserve"> serait acceptab</w:t>
      </w:r>
      <w:r w:rsidR="00A16C85" w:rsidRPr="00A75276">
        <w:rPr>
          <w:lang w:val="fr-FR"/>
        </w:rPr>
        <w:t>le.  Po</w:t>
      </w:r>
      <w:r w:rsidRPr="00A75276">
        <w:rPr>
          <w:lang w:val="fr-FR"/>
        </w:rPr>
        <w:t xml:space="preserve">ur la catégorie </w:t>
      </w:r>
      <w:r w:rsidR="00E874A5" w:rsidRPr="00A75276">
        <w:rPr>
          <w:lang w:val="fr-FR"/>
        </w:rPr>
        <w:t>“</w:t>
      </w:r>
      <w:r w:rsidRPr="00A75276">
        <w:rPr>
          <w:lang w:val="fr-FR"/>
        </w:rPr>
        <w:t>E</w:t>
      </w:r>
      <w:r w:rsidR="00E874A5" w:rsidRPr="00A75276">
        <w:rPr>
          <w:lang w:val="fr-FR"/>
        </w:rPr>
        <w:t>”</w:t>
      </w:r>
      <w:r w:rsidRPr="00A75276">
        <w:rPr>
          <w:lang w:val="fr-FR"/>
        </w:rPr>
        <w:t>, cette administration a également fait valoir que la mise à disposition de l</w:t>
      </w:r>
      <w:r w:rsidR="009C53EC" w:rsidRPr="00A75276">
        <w:rPr>
          <w:lang w:val="fr-FR"/>
        </w:rPr>
        <w:t>’</w:t>
      </w:r>
      <w:r w:rsidRPr="00A75276">
        <w:rPr>
          <w:lang w:val="fr-FR"/>
        </w:rPr>
        <w:t>opinion écrite de l</w:t>
      </w:r>
      <w:r w:rsidR="009C53EC" w:rsidRPr="00A75276">
        <w:rPr>
          <w:lang w:val="fr-FR"/>
        </w:rPr>
        <w:t>’</w:t>
      </w:r>
      <w:r w:rsidRPr="00A75276">
        <w:rPr>
          <w:lang w:val="fr-FR"/>
        </w:rPr>
        <w:t xml:space="preserve">administration chargée de la recherche internationale sur le portail PATENTSCOPE en même </w:t>
      </w:r>
      <w:r w:rsidRPr="00A75276">
        <w:rPr>
          <w:lang w:val="fr-FR"/>
        </w:rPr>
        <w:lastRenderedPageBreak/>
        <w:t>temps que la demande internationale donnait des informations suffisantes sur la pertinence des citations de cette catégorie.</w:t>
      </w:r>
    </w:p>
    <w:p w:rsidR="00715135" w:rsidRPr="00A75276" w:rsidRDefault="0028704B" w:rsidP="0028704B">
      <w:pPr>
        <w:pStyle w:val="ONUMFS"/>
        <w:rPr>
          <w:lang w:val="fr-FR"/>
        </w:rPr>
      </w:pPr>
      <w:r w:rsidRPr="00A75276">
        <w:rPr>
          <w:lang w:val="fr-FR"/>
        </w:rPr>
        <w:t>Une administration a indiqué qu</w:t>
      </w:r>
      <w:r w:rsidR="009C53EC" w:rsidRPr="00A75276">
        <w:rPr>
          <w:lang w:val="fr-FR"/>
        </w:rPr>
        <w:t>’</w:t>
      </w:r>
      <w:r w:rsidR="004B2904" w:rsidRPr="00A75276">
        <w:rPr>
          <w:lang w:val="fr-FR"/>
        </w:rPr>
        <w:t>il serait utile de</w:t>
      </w:r>
      <w:r w:rsidRPr="00A75276">
        <w:rPr>
          <w:lang w:val="fr-FR"/>
        </w:rPr>
        <w:t xml:space="preserve"> prévoir dans la norme des traductions informelles pour la littérature non</w:t>
      </w:r>
      <w:r w:rsidR="00A16C85" w:rsidRPr="00A75276">
        <w:rPr>
          <w:lang w:val="fr-FR"/>
        </w:rPr>
        <w:noBreakHyphen/>
      </w:r>
      <w:r w:rsidRPr="00A75276">
        <w:rPr>
          <w:lang w:val="fr-FR"/>
        </w:rPr>
        <w:t>brevet et a également évoqué la charge de travail pour les examinateu</w:t>
      </w:r>
      <w:r w:rsidR="00A16C85" w:rsidRPr="00A75276">
        <w:rPr>
          <w:lang w:val="fr-FR"/>
        </w:rPr>
        <w:t>rs.  Un</w:t>
      </w:r>
      <w:r w:rsidRPr="00A75276">
        <w:rPr>
          <w:lang w:val="fr-FR"/>
        </w:rPr>
        <w:t>e autre administration a déclaré que l</w:t>
      </w:r>
      <w:r w:rsidR="009C53EC" w:rsidRPr="00A75276">
        <w:rPr>
          <w:lang w:val="fr-FR"/>
        </w:rPr>
        <w:t>’</w:t>
      </w:r>
      <w:r w:rsidRPr="00A75276">
        <w:rPr>
          <w:lang w:val="fr-FR"/>
        </w:rPr>
        <w:t>inclusion de texte en caractères non latins dans les rapports de recherche pourrait poser des problèmes pour les documents plus anciens qui n</w:t>
      </w:r>
      <w:r w:rsidR="009C53EC" w:rsidRPr="00A75276">
        <w:rPr>
          <w:lang w:val="fr-FR"/>
        </w:rPr>
        <w:t>’</w:t>
      </w:r>
      <w:r w:rsidRPr="00A75276">
        <w:rPr>
          <w:lang w:val="fr-FR"/>
        </w:rPr>
        <w:t>existaient pas sous forme de texte sélectionnable susceptible d</w:t>
      </w:r>
      <w:r w:rsidR="009C53EC" w:rsidRPr="00A75276">
        <w:rPr>
          <w:lang w:val="fr-FR"/>
        </w:rPr>
        <w:t>’</w:t>
      </w:r>
      <w:r w:rsidRPr="00A75276">
        <w:rPr>
          <w:lang w:val="fr-FR"/>
        </w:rPr>
        <w:t>être copié directement dans le rapport de recherche.</w:t>
      </w:r>
    </w:p>
    <w:p w:rsidR="00715135" w:rsidRPr="00A75276" w:rsidRDefault="00910CD0" w:rsidP="00910CD0">
      <w:pPr>
        <w:pStyle w:val="ONUMFS"/>
        <w:ind w:left="567"/>
        <w:rPr>
          <w:lang w:val="fr-FR"/>
        </w:rPr>
      </w:pPr>
      <w:r w:rsidRPr="00A75276">
        <w:rPr>
          <w:lang w:val="fr-FR"/>
        </w:rPr>
        <w:t>La réunion a pris note du contenu du document PCT/MIA/23/11.</w:t>
      </w:r>
    </w:p>
    <w:p w:rsidR="00715135" w:rsidRPr="00A75276" w:rsidRDefault="007B783B" w:rsidP="00910CD0">
      <w:pPr>
        <w:pStyle w:val="Heading1"/>
        <w:keepLines/>
        <w:rPr>
          <w:lang w:val="fr-FR"/>
        </w:rPr>
      </w:pPr>
      <w:r w:rsidRPr="00A75276">
        <w:rPr>
          <w:lang w:val="fr-FR"/>
        </w:rPr>
        <w:t>Point </w:t>
      </w:r>
      <w:r w:rsidR="00910CD0" w:rsidRPr="00A75276">
        <w:rPr>
          <w:lang w:val="fr-FR"/>
        </w:rPr>
        <w:t>17 de l</w:t>
      </w:r>
      <w:r w:rsidR="009C53EC" w:rsidRPr="00A75276">
        <w:rPr>
          <w:lang w:val="fr-FR"/>
        </w:rPr>
        <w:t>’</w:t>
      </w:r>
      <w:r w:rsidR="00910CD0" w:rsidRPr="00A75276">
        <w:rPr>
          <w:lang w:val="fr-FR"/>
        </w:rPr>
        <w:t>ordre du jour</w:t>
      </w:r>
      <w:r w:rsidR="00432F5D" w:rsidRPr="00A75276">
        <w:rPr>
          <w:lang w:val="fr-FR"/>
        </w:rPr>
        <w:t> </w:t>
      </w:r>
      <w:r w:rsidR="00910CD0" w:rsidRPr="00A75276">
        <w:rPr>
          <w:lang w:val="fr-FR"/>
        </w:rPr>
        <w:t>: travaux futurs</w:t>
      </w:r>
    </w:p>
    <w:p w:rsidR="00715135" w:rsidRPr="00A75276" w:rsidRDefault="00910CD0" w:rsidP="00910CD0">
      <w:pPr>
        <w:pStyle w:val="ONUMFS"/>
        <w:rPr>
          <w:lang w:val="fr-FR"/>
        </w:rPr>
      </w:pPr>
      <w:r w:rsidRPr="00A75276">
        <w:rPr>
          <w:lang w:val="fr-FR"/>
        </w:rPr>
        <w:t>La réunion a noté que la prochaine session devait être convoquée a</w:t>
      </w:r>
      <w:r w:rsidR="007B783B" w:rsidRPr="00A75276">
        <w:rPr>
          <w:lang w:val="fr-FR"/>
        </w:rPr>
        <w:t>u cours du premier trimestre de </w:t>
      </w:r>
      <w:r w:rsidRPr="00A75276">
        <w:rPr>
          <w:lang w:val="fr-FR"/>
        </w:rPr>
        <w:t>2017, immédiat</w:t>
      </w:r>
      <w:r w:rsidR="007B783B" w:rsidRPr="00A75276">
        <w:rPr>
          <w:lang w:val="fr-FR"/>
        </w:rPr>
        <w:t>ement après une ses</w:t>
      </w:r>
      <w:r w:rsidR="00FB12CD" w:rsidRPr="00A75276">
        <w:rPr>
          <w:lang w:val="fr-FR"/>
        </w:rPr>
        <w:t>sion du s</w:t>
      </w:r>
      <w:r w:rsidR="007B783B" w:rsidRPr="00A75276">
        <w:rPr>
          <w:lang w:val="fr-FR"/>
        </w:rPr>
        <w:t>ous</w:t>
      </w:r>
      <w:r w:rsidR="00A16C85" w:rsidRPr="00A75276">
        <w:rPr>
          <w:lang w:val="fr-FR"/>
        </w:rPr>
        <w:noBreakHyphen/>
      </w:r>
      <w:r w:rsidRPr="00A75276">
        <w:rPr>
          <w:lang w:val="fr-FR"/>
        </w:rPr>
        <w:t>groupe chargé de la quali</w:t>
      </w:r>
      <w:r w:rsidR="00A16C85" w:rsidRPr="00A75276">
        <w:rPr>
          <w:lang w:val="fr-FR"/>
        </w:rPr>
        <w:t>té.  La</w:t>
      </w:r>
      <w:r w:rsidR="0028704B" w:rsidRPr="00A75276">
        <w:rPr>
          <w:lang w:val="fr-FR"/>
        </w:rPr>
        <w:t xml:space="preserve"> réunion a accueilli avec satisfaction l</w:t>
      </w:r>
      <w:r w:rsidR="009C53EC" w:rsidRPr="00A75276">
        <w:rPr>
          <w:lang w:val="fr-FR"/>
        </w:rPr>
        <w:t>’</w:t>
      </w:r>
      <w:r w:rsidR="0028704B" w:rsidRPr="00A75276">
        <w:rPr>
          <w:lang w:val="fr-FR"/>
        </w:rPr>
        <w:t>offre du représentant de l</w:t>
      </w:r>
      <w:r w:rsidR="009C53EC" w:rsidRPr="00A75276">
        <w:rPr>
          <w:lang w:val="fr-FR"/>
        </w:rPr>
        <w:t>’</w:t>
      </w:r>
      <w:r w:rsidR="0028704B" w:rsidRPr="00A75276">
        <w:rPr>
          <w:lang w:val="fr-FR"/>
        </w:rPr>
        <w:t>Institut nordique des brevets d</w:t>
      </w:r>
      <w:r w:rsidR="009C53EC" w:rsidRPr="00A75276">
        <w:rPr>
          <w:lang w:val="fr-FR"/>
        </w:rPr>
        <w:t>’</w:t>
      </w:r>
      <w:r w:rsidR="0028704B" w:rsidRPr="00A75276">
        <w:rPr>
          <w:lang w:val="fr-FR"/>
        </w:rPr>
        <w:t>accueillir la Réunion des administrations inte</w:t>
      </w:r>
      <w:r w:rsidR="00FB12CD" w:rsidRPr="00A75276">
        <w:rPr>
          <w:lang w:val="fr-FR"/>
        </w:rPr>
        <w:t>rnationales et les sessions du s</w:t>
      </w:r>
      <w:r w:rsidR="0028704B" w:rsidRPr="00A75276">
        <w:rPr>
          <w:lang w:val="fr-FR"/>
        </w:rPr>
        <w:t>ous</w:t>
      </w:r>
      <w:r w:rsidR="00A16C85" w:rsidRPr="00A75276">
        <w:rPr>
          <w:lang w:val="fr-FR"/>
        </w:rPr>
        <w:noBreakHyphen/>
      </w:r>
      <w:r w:rsidR="0028704B" w:rsidRPr="00A75276">
        <w:rPr>
          <w:lang w:val="fr-FR"/>
        </w:rPr>
        <w:t>groupe chargé de la qualité dans l</w:t>
      </w:r>
      <w:r w:rsidR="009C53EC" w:rsidRPr="00A75276">
        <w:rPr>
          <w:lang w:val="fr-FR"/>
        </w:rPr>
        <w:t>’</w:t>
      </w:r>
      <w:r w:rsidR="0028704B" w:rsidRPr="00A75276">
        <w:rPr>
          <w:lang w:val="fr-FR"/>
        </w:rPr>
        <w:t>un de ses trois</w:t>
      </w:r>
      <w:r w:rsidR="00432F5D" w:rsidRPr="00A75276">
        <w:rPr>
          <w:lang w:val="fr-FR"/>
        </w:rPr>
        <w:t> </w:t>
      </w:r>
      <w:r w:rsidR="0028704B" w:rsidRPr="00A75276">
        <w:rPr>
          <w:lang w:val="fr-FR"/>
        </w:rPr>
        <w:t>États membres en</w:t>
      </w:r>
      <w:r w:rsidR="00432F5D" w:rsidRPr="00A75276">
        <w:rPr>
          <w:lang w:val="fr-FR"/>
        </w:rPr>
        <w:t> </w:t>
      </w:r>
      <w:r w:rsidR="0028704B" w:rsidRPr="00A75276">
        <w:rPr>
          <w:lang w:val="fr-FR"/>
        </w:rPr>
        <w:t>2017.</w:t>
      </w:r>
    </w:p>
    <w:p w:rsidR="00715135" w:rsidRPr="00A75276" w:rsidRDefault="00715135" w:rsidP="004838AB">
      <w:pPr>
        <w:rPr>
          <w:lang w:val="fr-FR"/>
        </w:rPr>
      </w:pPr>
    </w:p>
    <w:p w:rsidR="00715135" w:rsidRPr="00A75276" w:rsidRDefault="000E7357" w:rsidP="000E7357">
      <w:pPr>
        <w:rPr>
          <w:i/>
          <w:lang w:val="fr-FR"/>
        </w:rPr>
      </w:pPr>
      <w:r w:rsidRPr="00A75276">
        <w:rPr>
          <w:i/>
          <w:lang w:val="fr-FR"/>
        </w:rPr>
        <w:t>[L</w:t>
      </w:r>
      <w:r w:rsidR="009C53EC" w:rsidRPr="00A75276">
        <w:rPr>
          <w:i/>
          <w:lang w:val="fr-FR"/>
        </w:rPr>
        <w:t>’</w:t>
      </w:r>
      <w:r w:rsidRPr="00A75276">
        <w:rPr>
          <w:i/>
          <w:lang w:val="fr-FR"/>
        </w:rPr>
        <w:t>annexe I du document PCT/MIA/23/14, qui contient la liste des participants, n</w:t>
      </w:r>
      <w:r w:rsidR="009C53EC" w:rsidRPr="00A75276">
        <w:rPr>
          <w:i/>
          <w:lang w:val="fr-FR"/>
        </w:rPr>
        <w:t>’</w:t>
      </w:r>
      <w:r w:rsidRPr="00A75276">
        <w:rPr>
          <w:i/>
          <w:lang w:val="fr-FR"/>
        </w:rPr>
        <w:t>est pas reproduite ici]</w:t>
      </w:r>
    </w:p>
    <w:p w:rsidR="00715135" w:rsidRPr="00A75276" w:rsidRDefault="00715135" w:rsidP="004838AB">
      <w:pPr>
        <w:rPr>
          <w:lang w:val="fr-FR"/>
        </w:rPr>
      </w:pPr>
    </w:p>
    <w:p w:rsidR="00715135" w:rsidRPr="00A75276" w:rsidRDefault="00715135" w:rsidP="004838AB">
      <w:pPr>
        <w:rPr>
          <w:lang w:val="fr-FR"/>
        </w:rPr>
      </w:pPr>
    </w:p>
    <w:p w:rsidR="004838AB" w:rsidRPr="00A75276" w:rsidRDefault="004838AB" w:rsidP="004838AB">
      <w:pPr>
        <w:ind w:left="5533"/>
        <w:rPr>
          <w:lang w:val="fr-FR"/>
        </w:rPr>
        <w:sectPr w:rsidR="004838AB" w:rsidRPr="00A75276" w:rsidSect="0081387F">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r w:rsidRPr="00A75276">
        <w:rPr>
          <w:lang w:val="fr-FR"/>
        </w:rPr>
        <w:t>[</w:t>
      </w:r>
      <w:r w:rsidR="000E7357" w:rsidRPr="00A75276">
        <w:rPr>
          <w:lang w:val="fr-FR"/>
        </w:rPr>
        <w:t>L</w:t>
      </w:r>
      <w:r w:rsidR="009C53EC" w:rsidRPr="00A75276">
        <w:rPr>
          <w:lang w:val="fr-FR"/>
        </w:rPr>
        <w:t>’</w:t>
      </w:r>
      <w:r w:rsidR="000E7357" w:rsidRPr="00A75276">
        <w:rPr>
          <w:lang w:val="fr-FR"/>
        </w:rPr>
        <w:t>a</w:t>
      </w:r>
      <w:r w:rsidRPr="00A75276">
        <w:rPr>
          <w:lang w:val="fr-FR"/>
        </w:rPr>
        <w:t>nnex</w:t>
      </w:r>
      <w:r w:rsidR="000E7357" w:rsidRPr="00A75276">
        <w:rPr>
          <w:lang w:val="fr-FR"/>
        </w:rPr>
        <w:t>e </w:t>
      </w:r>
      <w:r w:rsidRPr="00A75276">
        <w:rPr>
          <w:lang w:val="fr-FR"/>
        </w:rPr>
        <w:t>II (</w:t>
      </w:r>
      <w:r w:rsidR="000E7357" w:rsidRPr="00A75276">
        <w:rPr>
          <w:lang w:val="fr-FR"/>
        </w:rPr>
        <w:t>du</w:t>
      </w:r>
      <w:r w:rsidRPr="00A75276">
        <w:rPr>
          <w:lang w:val="fr-FR"/>
        </w:rPr>
        <w:t xml:space="preserve"> document PCT/MIA/23/14) s</w:t>
      </w:r>
      <w:r w:rsidR="000E7357" w:rsidRPr="00A75276">
        <w:rPr>
          <w:lang w:val="fr-FR"/>
        </w:rPr>
        <w:t>uit</w:t>
      </w:r>
      <w:r w:rsidRPr="00A75276">
        <w:rPr>
          <w:lang w:val="fr-FR"/>
        </w:rPr>
        <w:t>]</w:t>
      </w:r>
    </w:p>
    <w:p w:rsidR="00715135" w:rsidRPr="00A75276" w:rsidRDefault="00910CD0" w:rsidP="00910CD0">
      <w:pPr>
        <w:pStyle w:val="Heading1"/>
        <w:rPr>
          <w:lang w:val="fr-FR"/>
        </w:rPr>
      </w:pPr>
      <w:r w:rsidRPr="00A75276">
        <w:rPr>
          <w:lang w:val="fr-FR"/>
        </w:rPr>
        <w:lastRenderedPageBreak/>
        <w:t>Ouverture de la session</w:t>
      </w:r>
    </w:p>
    <w:p w:rsidR="00715135" w:rsidRPr="00A75276" w:rsidRDefault="00EB0323" w:rsidP="00F44964">
      <w:pPr>
        <w:pStyle w:val="ONUMFS"/>
        <w:numPr>
          <w:ilvl w:val="0"/>
          <w:numId w:val="12"/>
        </w:numPr>
        <w:rPr>
          <w:lang w:val="fr-FR"/>
        </w:rPr>
      </w:pPr>
      <w:r w:rsidRPr="00A75276">
        <w:rPr>
          <w:lang w:val="fr-FR"/>
        </w:rPr>
        <w:t>M.</w:t>
      </w:r>
      <w:r w:rsidR="00432F5D" w:rsidRPr="00A75276">
        <w:rPr>
          <w:lang w:val="fr-FR"/>
        </w:rPr>
        <w:t> </w:t>
      </w:r>
      <w:r w:rsidRPr="00A75276">
        <w:rPr>
          <w:lang w:val="fr-FR"/>
        </w:rPr>
        <w:t>Maximiliano Santa Cruz, directeur national de l</w:t>
      </w:r>
      <w:r w:rsidR="009C53EC" w:rsidRPr="00A75276">
        <w:rPr>
          <w:lang w:val="fr-FR"/>
        </w:rPr>
        <w:t>’</w:t>
      </w:r>
      <w:r w:rsidRPr="00A75276">
        <w:rPr>
          <w:lang w:val="fr-FR"/>
        </w:rPr>
        <w:t>Institut national de la propriété industrielle du Chili (INAPI), a ouvert la session et souhaité la bienvenue aux participants.  M.</w:t>
      </w:r>
      <w:r w:rsidR="00432F5D" w:rsidRPr="00A75276">
        <w:rPr>
          <w:lang w:val="fr-FR"/>
        </w:rPr>
        <w:t> </w:t>
      </w:r>
      <w:r w:rsidRPr="00A75276">
        <w:rPr>
          <w:lang w:val="fr-FR"/>
        </w:rPr>
        <w:t>Sergio Escudero, directeur du Département des affaires internationales et des politiques publiques de l</w:t>
      </w:r>
      <w:r w:rsidR="009C53EC" w:rsidRPr="00A75276">
        <w:rPr>
          <w:lang w:val="fr-FR"/>
        </w:rPr>
        <w:t>’</w:t>
      </w:r>
      <w:r w:rsidRPr="00A75276">
        <w:rPr>
          <w:lang w:val="fr-FR"/>
        </w:rPr>
        <w:t>INAPI, a présidé la session.</w:t>
      </w:r>
    </w:p>
    <w:p w:rsidR="002E5DCA" w:rsidRPr="00A75276" w:rsidRDefault="00EB0323" w:rsidP="00EB0323">
      <w:pPr>
        <w:pStyle w:val="ONUMFS"/>
        <w:rPr>
          <w:lang w:val="fr-FR"/>
        </w:rPr>
      </w:pPr>
      <w:r w:rsidRPr="00A75276">
        <w:rPr>
          <w:lang w:val="fr-FR"/>
        </w:rPr>
        <w:t>Dans ses observations liminaires, le Secrétariat a rappelé les travaux sur la qualité menés depuis l</w:t>
      </w:r>
      <w:r w:rsidR="009C53EC" w:rsidRPr="00A75276">
        <w:rPr>
          <w:lang w:val="fr-FR"/>
        </w:rPr>
        <w:t>’</w:t>
      </w:r>
      <w:r w:rsidRPr="00A75276">
        <w:rPr>
          <w:lang w:val="fr-FR"/>
        </w:rPr>
        <w:t>ouverture des discussions qui avaient finalement abouti à l</w:t>
      </w:r>
      <w:r w:rsidR="009C53EC" w:rsidRPr="00A75276">
        <w:rPr>
          <w:lang w:val="fr-FR"/>
        </w:rPr>
        <w:t>’</w:t>
      </w:r>
      <w:r w:rsidRPr="00A75276">
        <w:rPr>
          <w:lang w:val="fr-FR"/>
        </w:rPr>
        <w:t>i</w:t>
      </w:r>
      <w:r w:rsidR="009D217C" w:rsidRPr="00A75276">
        <w:rPr>
          <w:lang w:val="fr-FR"/>
        </w:rPr>
        <w:t>ntroduction du chapitre</w:t>
      </w:r>
      <w:r w:rsidR="00432F5D" w:rsidRPr="00A75276">
        <w:rPr>
          <w:lang w:val="fr-FR"/>
        </w:rPr>
        <w:t> </w:t>
      </w:r>
      <w:r w:rsidR="009D217C" w:rsidRPr="00A75276">
        <w:rPr>
          <w:lang w:val="fr-FR"/>
        </w:rPr>
        <w:t>21 des d</w:t>
      </w:r>
      <w:r w:rsidRPr="00A75276">
        <w:rPr>
          <w:lang w:val="fr-FR"/>
        </w:rPr>
        <w:t>irectives concernant la recherche internationale et l</w:t>
      </w:r>
      <w:r w:rsidR="009C53EC" w:rsidRPr="00A75276">
        <w:rPr>
          <w:lang w:val="fr-FR"/>
        </w:rPr>
        <w:t>’</w:t>
      </w:r>
      <w:r w:rsidRPr="00A75276">
        <w:rPr>
          <w:lang w:val="fr-FR"/>
        </w:rPr>
        <w:t>examen préliminaire international (ci</w:t>
      </w:r>
      <w:r w:rsidR="00A16C85" w:rsidRPr="00A75276">
        <w:rPr>
          <w:lang w:val="fr-FR"/>
        </w:rPr>
        <w:noBreakHyphen/>
      </w:r>
      <w:r w:rsidRPr="00A75276">
        <w:rPr>
          <w:lang w:val="fr-FR"/>
        </w:rPr>
        <w:t xml:space="preserve">après dénommées </w:t>
      </w:r>
      <w:r w:rsidR="00E874A5" w:rsidRPr="00A75276">
        <w:rPr>
          <w:lang w:val="fr-FR"/>
        </w:rPr>
        <w:t>“</w:t>
      </w:r>
      <w:r w:rsidR="009D217C" w:rsidRPr="00A75276">
        <w:rPr>
          <w:lang w:val="fr-FR"/>
        </w:rPr>
        <w:t>d</w:t>
      </w:r>
      <w:r w:rsidRPr="00A75276">
        <w:rPr>
          <w:lang w:val="fr-FR"/>
        </w:rPr>
        <w:t>irectives</w:t>
      </w:r>
      <w:r w:rsidR="00E874A5" w:rsidRPr="00A75276">
        <w:rPr>
          <w:lang w:val="fr-FR"/>
        </w:rPr>
        <w:t>”</w:t>
      </w:r>
      <w:r w:rsidRPr="00A75276">
        <w:rPr>
          <w:lang w:val="fr-FR"/>
        </w:rPr>
        <w:t>), qui remontaient à 2004, et l</w:t>
      </w:r>
      <w:r w:rsidR="009C53EC" w:rsidRPr="00A75276">
        <w:rPr>
          <w:lang w:val="fr-FR"/>
        </w:rPr>
        <w:t>’</w:t>
      </w:r>
      <w:r w:rsidRPr="00A75276">
        <w:rPr>
          <w:lang w:val="fr-FR"/>
        </w:rPr>
        <w:t>excellent travail effectué par le sous</w:t>
      </w:r>
      <w:r w:rsidR="00A16C85" w:rsidRPr="00A75276">
        <w:rPr>
          <w:lang w:val="fr-FR"/>
        </w:rPr>
        <w:noBreakHyphen/>
      </w:r>
      <w:r w:rsidRPr="00A75276">
        <w:rPr>
          <w:lang w:val="fr-FR"/>
        </w:rPr>
        <w:t>gr</w:t>
      </w:r>
      <w:r w:rsidR="009D217C" w:rsidRPr="00A75276">
        <w:rPr>
          <w:lang w:val="fr-FR"/>
        </w:rPr>
        <w:t>oupe depuis sa première session</w:t>
      </w:r>
      <w:r w:rsidRPr="00A75276">
        <w:rPr>
          <w:lang w:val="fr-FR"/>
        </w:rPr>
        <w:t xml:space="preserve"> tenue en</w:t>
      </w:r>
      <w:r w:rsidR="00432F5D" w:rsidRPr="00A75276">
        <w:rPr>
          <w:lang w:val="fr-FR"/>
        </w:rPr>
        <w:t> </w:t>
      </w:r>
      <w:r w:rsidRPr="00A75276">
        <w:rPr>
          <w:lang w:val="fr-FR"/>
        </w:rPr>
        <w:t>2010.  Cela étant, il fallait reconnaître qu</w:t>
      </w:r>
      <w:r w:rsidR="009C53EC" w:rsidRPr="00A75276">
        <w:rPr>
          <w:lang w:val="fr-FR"/>
        </w:rPr>
        <w:t>’</w:t>
      </w:r>
      <w:r w:rsidRPr="00A75276">
        <w:rPr>
          <w:lang w:val="fr-FR"/>
        </w:rPr>
        <w:t>il était nécessaire d</w:t>
      </w:r>
      <w:r w:rsidR="009C53EC" w:rsidRPr="00A75276">
        <w:rPr>
          <w:lang w:val="fr-FR"/>
        </w:rPr>
        <w:t>’</w:t>
      </w:r>
      <w:r w:rsidRPr="00A75276">
        <w:rPr>
          <w:lang w:val="fr-FR"/>
        </w:rPr>
        <w:t>améliorer le processus d</w:t>
      </w:r>
      <w:r w:rsidR="009C53EC" w:rsidRPr="00A75276">
        <w:rPr>
          <w:lang w:val="fr-FR"/>
        </w:rPr>
        <w:t>’</w:t>
      </w:r>
      <w:r w:rsidRPr="00A75276">
        <w:rPr>
          <w:lang w:val="fr-FR"/>
        </w:rPr>
        <w:t>avancement des discussions sur les questions relatives à la qualité entre les réunions physiques du sous</w:t>
      </w:r>
      <w:r w:rsidR="00A16C85" w:rsidRPr="00A75276">
        <w:rPr>
          <w:lang w:val="fr-FR"/>
        </w:rPr>
        <w:noBreakHyphen/>
      </w:r>
      <w:r w:rsidRPr="00A75276">
        <w:rPr>
          <w:lang w:val="fr-FR"/>
        </w:rPr>
        <w:t>grou</w:t>
      </w:r>
      <w:r w:rsidR="00A16C85" w:rsidRPr="00A75276">
        <w:rPr>
          <w:lang w:val="fr-FR"/>
        </w:rPr>
        <w:t>pe.  En</w:t>
      </w:r>
      <w:r w:rsidRPr="00A75276">
        <w:rPr>
          <w:lang w:val="fr-FR"/>
        </w:rPr>
        <w:t xml:space="preserve"> ce qui concerne le point de l</w:t>
      </w:r>
      <w:r w:rsidR="009C53EC" w:rsidRPr="00A75276">
        <w:rPr>
          <w:lang w:val="fr-FR"/>
        </w:rPr>
        <w:t>’</w:t>
      </w:r>
      <w:r w:rsidRPr="00A75276">
        <w:rPr>
          <w:lang w:val="fr-FR"/>
        </w:rPr>
        <w:t>ordre du jour consacré aux systèmes de gestion de la qualité, des efforts dev</w:t>
      </w:r>
      <w:r w:rsidR="00BB056C" w:rsidRPr="00A75276">
        <w:rPr>
          <w:lang w:val="fr-FR"/>
        </w:rPr>
        <w:t>raient être faits pour passer du</w:t>
      </w:r>
      <w:r w:rsidRPr="00A75276">
        <w:rPr>
          <w:lang w:val="fr-FR"/>
        </w:rPr>
        <w:t xml:space="preserve"> mécanisme désormais routinier d</w:t>
      </w:r>
      <w:r w:rsidR="009C53EC" w:rsidRPr="00A75276">
        <w:rPr>
          <w:lang w:val="fr-FR"/>
        </w:rPr>
        <w:t>’</w:t>
      </w:r>
      <w:r w:rsidRPr="00A75276">
        <w:rPr>
          <w:lang w:val="fr-FR"/>
        </w:rPr>
        <w:t>établissement de rapports sur les systèmes actuels de gestion de la qualité à l</w:t>
      </w:r>
      <w:r w:rsidR="009C53EC" w:rsidRPr="00A75276">
        <w:rPr>
          <w:lang w:val="fr-FR"/>
        </w:rPr>
        <w:t>’</w:t>
      </w:r>
      <w:r w:rsidRPr="00A75276">
        <w:rPr>
          <w:lang w:val="fr-FR"/>
        </w:rPr>
        <w:t>examen d</w:t>
      </w:r>
      <w:r w:rsidR="009C53EC" w:rsidRPr="00A75276">
        <w:rPr>
          <w:lang w:val="fr-FR"/>
        </w:rPr>
        <w:t>’</w:t>
      </w:r>
      <w:r w:rsidRPr="00A75276">
        <w:rPr>
          <w:lang w:val="fr-FR"/>
        </w:rPr>
        <w:t>activités spécifiques en la matière en vue d</w:t>
      </w:r>
      <w:r w:rsidR="009C53EC" w:rsidRPr="00A75276">
        <w:rPr>
          <w:lang w:val="fr-FR"/>
        </w:rPr>
        <w:t>’</w:t>
      </w:r>
      <w:r w:rsidRPr="00A75276">
        <w:rPr>
          <w:lang w:val="fr-FR"/>
        </w:rPr>
        <w:t xml:space="preserve">élaborer des </w:t>
      </w:r>
      <w:r w:rsidR="00E874A5" w:rsidRPr="00A75276">
        <w:rPr>
          <w:lang w:val="fr-FR"/>
        </w:rPr>
        <w:t>“</w:t>
      </w:r>
      <w:r w:rsidRPr="00A75276">
        <w:rPr>
          <w:lang w:val="fr-FR"/>
        </w:rPr>
        <w:t>pratiques recommandées</w:t>
      </w:r>
      <w:r w:rsidR="00E874A5" w:rsidRPr="00A75276">
        <w:rPr>
          <w:lang w:val="fr-FR"/>
        </w:rPr>
        <w:t>”</w:t>
      </w:r>
      <w:r w:rsidRPr="00A75276">
        <w:rPr>
          <w:lang w:val="fr-FR"/>
        </w:rPr>
        <w:t xml:space="preserve"> sur les moyens </w:t>
      </w:r>
      <w:r w:rsidR="00E874A5" w:rsidRPr="00A75276">
        <w:rPr>
          <w:lang w:val="fr-FR"/>
        </w:rPr>
        <w:t>“</w:t>
      </w:r>
      <w:r w:rsidRPr="00A75276">
        <w:rPr>
          <w:lang w:val="fr-FR"/>
        </w:rPr>
        <w:t>d</w:t>
      </w:r>
      <w:r w:rsidR="009C53EC" w:rsidRPr="00A75276">
        <w:rPr>
          <w:lang w:val="fr-FR"/>
        </w:rPr>
        <w:t>’</w:t>
      </w:r>
      <w:r w:rsidRPr="00A75276">
        <w:rPr>
          <w:lang w:val="fr-FR"/>
        </w:rPr>
        <w:t>activer l</w:t>
      </w:r>
      <w:r w:rsidR="009C53EC" w:rsidRPr="00A75276">
        <w:rPr>
          <w:lang w:val="fr-FR"/>
        </w:rPr>
        <w:t>’</w:t>
      </w:r>
      <w:r w:rsidRPr="00A75276">
        <w:rPr>
          <w:lang w:val="fr-FR"/>
        </w:rPr>
        <w:t>approche quant à la qualité prévue au chapitre 21</w:t>
      </w:r>
      <w:r w:rsidR="00E874A5" w:rsidRPr="00A75276">
        <w:rPr>
          <w:lang w:val="fr-FR"/>
        </w:rPr>
        <w:t>”</w:t>
      </w:r>
      <w:r w:rsidRPr="00A75276">
        <w:rPr>
          <w:lang w:val="fr-FR"/>
        </w:rPr>
        <w:t>.  De même, en ce qui concerne le point de l</w:t>
      </w:r>
      <w:r w:rsidR="009C53EC" w:rsidRPr="00A75276">
        <w:rPr>
          <w:lang w:val="fr-FR"/>
        </w:rPr>
        <w:t>’</w:t>
      </w:r>
      <w:r w:rsidRPr="00A75276">
        <w:rPr>
          <w:lang w:val="fr-FR"/>
        </w:rPr>
        <w:t xml:space="preserve">ordre du jour consacré aux paramètres de qualité, des efforts devraient être déployés en vue de passer du simple établissement de rapports sur la recherche internationale à la recherche </w:t>
      </w:r>
      <w:r w:rsidR="009D217C" w:rsidRPr="00A75276">
        <w:rPr>
          <w:lang w:val="fr-FR"/>
        </w:rPr>
        <w:t>d</w:t>
      </w:r>
      <w:r w:rsidR="009C53EC" w:rsidRPr="00A75276">
        <w:rPr>
          <w:lang w:val="fr-FR"/>
        </w:rPr>
        <w:t>’</w:t>
      </w:r>
      <w:r w:rsidR="009D217C" w:rsidRPr="00A75276">
        <w:rPr>
          <w:lang w:val="fr-FR"/>
        </w:rPr>
        <w:t>indicateurs</w:t>
      </w:r>
      <w:r w:rsidRPr="00A75276">
        <w:rPr>
          <w:lang w:val="fr-FR"/>
        </w:rPr>
        <w:t xml:space="preserve"> directement liés à la qualité des produits de la phase internationale, comme cela avait été envisagé au début des discussions sur ces </w:t>
      </w:r>
      <w:r w:rsidR="009D217C" w:rsidRPr="00A75276">
        <w:rPr>
          <w:lang w:val="fr-FR"/>
        </w:rPr>
        <w:t>indicateurs</w:t>
      </w:r>
      <w:r w:rsidRPr="00A75276">
        <w:rPr>
          <w:lang w:val="fr-FR"/>
        </w:rPr>
        <w:t xml:space="preserve"> lorsque le rapport sur les caractéristiques était considéré comme la première étape d</w:t>
      </w:r>
      <w:r w:rsidR="009C53EC" w:rsidRPr="00A75276">
        <w:rPr>
          <w:lang w:val="fr-FR"/>
        </w:rPr>
        <w:t>’</w:t>
      </w:r>
      <w:r w:rsidRPr="00A75276">
        <w:rPr>
          <w:lang w:val="fr-FR"/>
        </w:rPr>
        <w:t>un processus qui devait en compter tro</w:t>
      </w:r>
      <w:r w:rsidR="00A16C85" w:rsidRPr="00A75276">
        <w:rPr>
          <w:lang w:val="fr-FR"/>
        </w:rPr>
        <w:t>is.  En</w:t>
      </w:r>
      <w:r w:rsidRPr="00A75276">
        <w:rPr>
          <w:lang w:val="fr-FR"/>
        </w:rPr>
        <w:t>fin, le Secrétariat a encouragé les administrations à présenter de nouvelles propositions sur d</w:t>
      </w:r>
      <w:r w:rsidR="009C53EC" w:rsidRPr="00A75276">
        <w:rPr>
          <w:lang w:val="fr-FR"/>
        </w:rPr>
        <w:t>’</w:t>
      </w:r>
      <w:r w:rsidRPr="00A75276">
        <w:rPr>
          <w:lang w:val="fr-FR"/>
        </w:rPr>
        <w:t>autres mesures possibles d</w:t>
      </w:r>
      <w:r w:rsidR="009C53EC" w:rsidRPr="00A75276">
        <w:rPr>
          <w:lang w:val="fr-FR"/>
        </w:rPr>
        <w:t>’</w:t>
      </w:r>
      <w:r w:rsidRPr="00A75276">
        <w:rPr>
          <w:lang w:val="fr-FR"/>
        </w:rPr>
        <w:t>amélioration de la qualité pour examen par le sous</w:t>
      </w:r>
      <w:r w:rsidR="00A16C85" w:rsidRPr="00A75276">
        <w:rPr>
          <w:lang w:val="fr-FR"/>
        </w:rPr>
        <w:noBreakHyphen/>
      </w:r>
      <w:r w:rsidRPr="00A75276">
        <w:rPr>
          <w:lang w:val="fr-FR"/>
        </w:rPr>
        <w:t>groupe lors de futures sessions.</w:t>
      </w:r>
    </w:p>
    <w:p w:rsidR="00715135" w:rsidRPr="00A75276" w:rsidRDefault="00910CD0" w:rsidP="00910CD0">
      <w:pPr>
        <w:pStyle w:val="Heading1"/>
        <w:rPr>
          <w:lang w:val="fr-FR"/>
        </w:rPr>
      </w:pPr>
      <w:r w:rsidRPr="00A75276">
        <w:rPr>
          <w:lang w:val="fr-FR"/>
        </w:rPr>
        <w:t>1.</w:t>
      </w:r>
      <w:r w:rsidRPr="00A75276">
        <w:rPr>
          <w:b w:val="0"/>
          <w:lang w:val="fr-FR"/>
        </w:rPr>
        <w:tab/>
      </w:r>
      <w:r w:rsidRPr="00A75276">
        <w:rPr>
          <w:lang w:val="fr-FR"/>
        </w:rPr>
        <w:t>Systèmes de gestion de la qualité</w:t>
      </w:r>
    </w:p>
    <w:p w:rsidR="00715135" w:rsidRPr="00A75276" w:rsidRDefault="0021308B" w:rsidP="0021308B">
      <w:pPr>
        <w:pStyle w:val="Heading2"/>
        <w:rPr>
          <w:lang w:val="fr-FR"/>
        </w:rPr>
      </w:pPr>
      <w:r w:rsidRPr="00A75276">
        <w:rPr>
          <w:lang w:val="fr-FR"/>
        </w:rPr>
        <w:t>A)</w:t>
      </w:r>
      <w:r w:rsidRPr="00A75276">
        <w:rPr>
          <w:lang w:val="fr-FR"/>
        </w:rPr>
        <w:tab/>
        <w:t xml:space="preserve">Rapports sur les systèmes de gestion de la qualité </w:t>
      </w:r>
      <w:r w:rsidR="009D217C" w:rsidRPr="00A75276">
        <w:rPr>
          <w:lang w:val="fr-FR"/>
        </w:rPr>
        <w:t>visés au</w:t>
      </w:r>
      <w:r w:rsidRPr="00A75276">
        <w:rPr>
          <w:lang w:val="fr-FR"/>
        </w:rPr>
        <w:t xml:space="preserve"> chapitre 21 des Directives concernant la recherche et l</w:t>
      </w:r>
      <w:r w:rsidR="009C53EC" w:rsidRPr="00A75276">
        <w:rPr>
          <w:lang w:val="fr-FR"/>
        </w:rPr>
        <w:t>’</w:t>
      </w:r>
      <w:r w:rsidR="007B783B" w:rsidRPr="00A75276">
        <w:rPr>
          <w:lang w:val="fr-FR"/>
        </w:rPr>
        <w:t>examen selon le </w:t>
      </w:r>
      <w:r w:rsidRPr="00A75276">
        <w:rPr>
          <w:lang w:val="fr-FR"/>
        </w:rPr>
        <w:t>PCT</w:t>
      </w:r>
    </w:p>
    <w:p w:rsidR="00715135" w:rsidRPr="00A75276" w:rsidRDefault="00EB0323" w:rsidP="00EB0323">
      <w:pPr>
        <w:pStyle w:val="ONUMFS"/>
        <w:rPr>
          <w:lang w:val="fr-FR"/>
        </w:rPr>
      </w:pPr>
      <w:r w:rsidRPr="00A75276">
        <w:rPr>
          <w:lang w:val="fr-FR"/>
        </w:rPr>
        <w:t>Les administrations ont accueilli avec satisfaction la compilation et le résumé de la collection complète de rapports sur les systèmes de gestion de la qualité pour</w:t>
      </w:r>
      <w:r w:rsidR="00432F5D" w:rsidRPr="00A75276">
        <w:rPr>
          <w:lang w:val="fr-FR"/>
        </w:rPr>
        <w:t> </w:t>
      </w:r>
      <w:r w:rsidRPr="00A75276">
        <w:rPr>
          <w:lang w:val="fr-FR"/>
        </w:rPr>
        <w:t>2015.  Le sous</w:t>
      </w:r>
      <w:r w:rsidR="00A16C85" w:rsidRPr="00A75276">
        <w:rPr>
          <w:lang w:val="fr-FR"/>
        </w:rPr>
        <w:noBreakHyphen/>
      </w:r>
      <w:r w:rsidRPr="00A75276">
        <w:rPr>
          <w:lang w:val="fr-FR"/>
        </w:rPr>
        <w:t>groupe souhaitait poursuivre selon le mécanisme actuel d</w:t>
      </w:r>
      <w:r w:rsidR="009C53EC" w:rsidRPr="00A75276">
        <w:rPr>
          <w:lang w:val="fr-FR"/>
        </w:rPr>
        <w:t>’</w:t>
      </w:r>
      <w:r w:rsidRPr="00A75276">
        <w:rPr>
          <w:lang w:val="fr-FR"/>
        </w:rPr>
        <w:t>établissement de rapports, en fixant au 3</w:t>
      </w:r>
      <w:r w:rsidR="002E5DCA" w:rsidRPr="00A75276">
        <w:rPr>
          <w:lang w:val="fr-FR"/>
        </w:rPr>
        <w:t>0 novembre</w:t>
      </w:r>
      <w:r w:rsidRPr="00A75276">
        <w:rPr>
          <w:lang w:val="fr-FR"/>
        </w:rPr>
        <w:t xml:space="preserve"> le délai pour leur soumission au Bureau internation</w:t>
      </w:r>
      <w:r w:rsidR="00A16C85" w:rsidRPr="00A75276">
        <w:rPr>
          <w:lang w:val="fr-FR"/>
        </w:rPr>
        <w:t>al.  Ce</w:t>
      </w:r>
      <w:r w:rsidRPr="00A75276">
        <w:rPr>
          <w:lang w:val="fr-FR"/>
        </w:rPr>
        <w:t>rtaines administrations ont toutefois déploré que la programmation anticipée de la réunion ait laissé peu de temps pour étudier en détail les rapports et les documents résumant les systèmes de gestion de la qualité et ont exprimé une préférence générale pour que, à l</w:t>
      </w:r>
      <w:r w:rsidR="009C53EC" w:rsidRPr="00A75276">
        <w:rPr>
          <w:lang w:val="fr-FR"/>
        </w:rPr>
        <w:t>’</w:t>
      </w:r>
      <w:r w:rsidRPr="00A75276">
        <w:rPr>
          <w:lang w:val="fr-FR"/>
        </w:rPr>
        <w:t>avenir, les réunions du sous</w:t>
      </w:r>
      <w:r w:rsidR="00A16C85" w:rsidRPr="00A75276">
        <w:rPr>
          <w:lang w:val="fr-FR"/>
        </w:rPr>
        <w:noBreakHyphen/>
      </w:r>
      <w:r w:rsidRPr="00A75276">
        <w:rPr>
          <w:lang w:val="fr-FR"/>
        </w:rPr>
        <w:t>groupe et des administrations internationales soient convoquées au mois de févri</w:t>
      </w:r>
      <w:r w:rsidR="00A16C85" w:rsidRPr="00A75276">
        <w:rPr>
          <w:lang w:val="fr-FR"/>
        </w:rPr>
        <w:t>er.  Un</w:t>
      </w:r>
      <w:r w:rsidRPr="00A75276">
        <w:rPr>
          <w:lang w:val="fr-FR"/>
        </w:rPr>
        <w:t>e administration a ajouté que, bien qu</w:t>
      </w:r>
      <w:r w:rsidR="009C53EC" w:rsidRPr="00A75276">
        <w:rPr>
          <w:lang w:val="fr-FR"/>
        </w:rPr>
        <w:t>’</w:t>
      </w:r>
      <w:r w:rsidRPr="00A75276">
        <w:rPr>
          <w:lang w:val="fr-FR"/>
        </w:rPr>
        <w:t>il n</w:t>
      </w:r>
      <w:r w:rsidR="009C53EC" w:rsidRPr="00A75276">
        <w:rPr>
          <w:lang w:val="fr-FR"/>
        </w:rPr>
        <w:t>’</w:t>
      </w:r>
      <w:r w:rsidRPr="00A75276">
        <w:rPr>
          <w:lang w:val="fr-FR"/>
        </w:rPr>
        <w:t>y ait généralement pas suffisamment de temps pour analyser de manière exhaustive les rapports des autres administrations avant la réunion, elle l</w:t>
      </w:r>
      <w:r w:rsidR="009C53EC" w:rsidRPr="00A75276">
        <w:rPr>
          <w:lang w:val="fr-FR"/>
        </w:rPr>
        <w:t>’</w:t>
      </w:r>
      <w:r w:rsidRPr="00A75276">
        <w:rPr>
          <w:lang w:val="fr-FR"/>
        </w:rPr>
        <w:t>avait souvent fait par le passé en cours d</w:t>
      </w:r>
      <w:r w:rsidR="009C53EC" w:rsidRPr="00A75276">
        <w:rPr>
          <w:lang w:val="fr-FR"/>
        </w:rPr>
        <w:t>’</w:t>
      </w:r>
      <w:r w:rsidRPr="00A75276">
        <w:rPr>
          <w:lang w:val="fr-FR"/>
        </w:rPr>
        <w:t>année, soulevant les questions pertinentes à l</w:t>
      </w:r>
      <w:r w:rsidR="009C53EC" w:rsidRPr="00A75276">
        <w:rPr>
          <w:lang w:val="fr-FR"/>
        </w:rPr>
        <w:t>’</w:t>
      </w:r>
      <w:r w:rsidRPr="00A75276">
        <w:rPr>
          <w:lang w:val="fr-FR"/>
        </w:rPr>
        <w:t>interne et de façon bilatérale avec les autres offic</w:t>
      </w:r>
      <w:r w:rsidR="00A16C85" w:rsidRPr="00A75276">
        <w:rPr>
          <w:lang w:val="fr-FR"/>
        </w:rPr>
        <w:t>es.  Ce</w:t>
      </w:r>
      <w:r w:rsidRPr="00A75276">
        <w:rPr>
          <w:lang w:val="fr-FR"/>
        </w:rPr>
        <w:t xml:space="preserve">s rapports </w:t>
      </w:r>
      <w:r w:rsidR="00BB056C" w:rsidRPr="00A75276">
        <w:rPr>
          <w:lang w:val="fr-FR"/>
        </w:rPr>
        <w:t>constituaient</w:t>
      </w:r>
      <w:r w:rsidRPr="00A75276">
        <w:rPr>
          <w:lang w:val="fr-FR"/>
        </w:rPr>
        <w:t xml:space="preserve"> donc </w:t>
      </w:r>
      <w:r w:rsidR="004F4458" w:rsidRPr="00A75276">
        <w:rPr>
          <w:lang w:val="fr-FR"/>
        </w:rPr>
        <w:t>une</w:t>
      </w:r>
      <w:r w:rsidRPr="00A75276">
        <w:rPr>
          <w:lang w:val="fr-FR"/>
        </w:rPr>
        <w:t xml:space="preserve"> source d</w:t>
      </w:r>
      <w:r w:rsidR="009C53EC" w:rsidRPr="00A75276">
        <w:rPr>
          <w:lang w:val="fr-FR"/>
        </w:rPr>
        <w:t>’</w:t>
      </w:r>
      <w:r w:rsidRPr="00A75276">
        <w:rPr>
          <w:lang w:val="fr-FR"/>
        </w:rPr>
        <w:t>information précieuse et étaient plus utiles qu</w:t>
      </w:r>
      <w:r w:rsidR="009C53EC" w:rsidRPr="00A75276">
        <w:rPr>
          <w:lang w:val="fr-FR"/>
        </w:rPr>
        <w:t>’</w:t>
      </w:r>
      <w:r w:rsidRPr="00A75276">
        <w:rPr>
          <w:lang w:val="fr-FR"/>
        </w:rPr>
        <w:t>on aurait pu le penser de prime abord.</w:t>
      </w:r>
    </w:p>
    <w:p w:rsidR="002E5DCA" w:rsidRPr="00A75276" w:rsidRDefault="00EB0323" w:rsidP="00EB0323">
      <w:pPr>
        <w:pStyle w:val="ONUMFS"/>
        <w:rPr>
          <w:lang w:val="fr-FR"/>
        </w:rPr>
      </w:pPr>
      <w:r w:rsidRPr="00A75276">
        <w:rPr>
          <w:lang w:val="fr-FR"/>
        </w:rPr>
        <w:lastRenderedPageBreak/>
        <w:t>S</w:t>
      </w:r>
      <w:r w:rsidR="009C53EC" w:rsidRPr="00A75276">
        <w:rPr>
          <w:lang w:val="fr-FR"/>
        </w:rPr>
        <w:t>’</w:t>
      </w:r>
      <w:r w:rsidRPr="00A75276">
        <w:rPr>
          <w:lang w:val="fr-FR"/>
        </w:rPr>
        <w:t>agissant de l</w:t>
      </w:r>
      <w:r w:rsidR="009C53EC" w:rsidRPr="00A75276">
        <w:rPr>
          <w:lang w:val="fr-FR"/>
        </w:rPr>
        <w:t>’</w:t>
      </w:r>
      <w:r w:rsidRPr="00A75276">
        <w:rPr>
          <w:lang w:val="fr-FR"/>
        </w:rPr>
        <w:t>examen des systèmes de gestion de la qualité des administrations internationales entre les réunions physiques du sous</w:t>
      </w:r>
      <w:r w:rsidR="00A16C85" w:rsidRPr="00A75276">
        <w:rPr>
          <w:lang w:val="fr-FR"/>
        </w:rPr>
        <w:noBreakHyphen/>
      </w:r>
      <w:r w:rsidRPr="00A75276">
        <w:rPr>
          <w:lang w:val="fr-FR"/>
        </w:rPr>
        <w:t>groupe, le Bureau international a soulevé la question générale de l</w:t>
      </w:r>
      <w:r w:rsidR="009C53EC" w:rsidRPr="00A75276">
        <w:rPr>
          <w:lang w:val="fr-FR"/>
        </w:rPr>
        <w:t>’</w:t>
      </w:r>
      <w:r w:rsidRPr="00A75276">
        <w:rPr>
          <w:lang w:val="fr-FR"/>
        </w:rPr>
        <w:t>effic</w:t>
      </w:r>
      <w:r w:rsidR="00D07DAB" w:rsidRPr="00A75276">
        <w:rPr>
          <w:lang w:val="fr-FR"/>
        </w:rPr>
        <w:t>acité du forum électronique du s</w:t>
      </w:r>
      <w:r w:rsidRPr="00A75276">
        <w:rPr>
          <w:lang w:val="fr-FR"/>
        </w:rPr>
        <w:t>ous</w:t>
      </w:r>
      <w:r w:rsidR="00A16C85" w:rsidRPr="00A75276">
        <w:rPr>
          <w:lang w:val="fr-FR"/>
        </w:rPr>
        <w:noBreakHyphen/>
      </w:r>
      <w:r w:rsidRPr="00A75276">
        <w:rPr>
          <w:lang w:val="fr-FR"/>
        </w:rPr>
        <w:t>groupe chargé de la qualité sur le wiki en tant que vecteur de communicati</w:t>
      </w:r>
      <w:r w:rsidR="00A16C85" w:rsidRPr="00A75276">
        <w:rPr>
          <w:lang w:val="fr-FR"/>
        </w:rPr>
        <w:t>on.  Le</w:t>
      </w:r>
      <w:r w:rsidRPr="00A75276">
        <w:rPr>
          <w:lang w:val="fr-FR"/>
        </w:rPr>
        <w:t>s publications informelles sur le wiki suscitaient généralement la réponse d</w:t>
      </w:r>
      <w:r w:rsidR="009C53EC" w:rsidRPr="00A75276">
        <w:rPr>
          <w:lang w:val="fr-FR"/>
        </w:rPr>
        <w:t>’</w:t>
      </w:r>
      <w:r w:rsidRPr="00A75276">
        <w:rPr>
          <w:lang w:val="fr-FR"/>
        </w:rPr>
        <w:t>un nombre très restreint d</w:t>
      </w:r>
      <w:r w:rsidR="009C53EC" w:rsidRPr="00A75276">
        <w:rPr>
          <w:lang w:val="fr-FR"/>
        </w:rPr>
        <w:t>’</w:t>
      </w:r>
      <w:r w:rsidRPr="00A75276">
        <w:rPr>
          <w:lang w:val="fr-FR"/>
        </w:rPr>
        <w:t>administratio</w:t>
      </w:r>
      <w:r w:rsidR="00A16C85" w:rsidRPr="00A75276">
        <w:rPr>
          <w:lang w:val="fr-FR"/>
        </w:rPr>
        <w:t>ns.  Le</w:t>
      </w:r>
      <w:r w:rsidRPr="00A75276">
        <w:rPr>
          <w:lang w:val="fr-FR"/>
        </w:rPr>
        <w:t xml:space="preserve"> Bureau international se demandait par conséquent si des voies de communication plus officielles, telles que des circulaires PCT, donneraient lieu à davantage de réponses de la part des administratio</w:t>
      </w:r>
      <w:r w:rsidR="00A16C85" w:rsidRPr="00A75276">
        <w:rPr>
          <w:lang w:val="fr-FR"/>
        </w:rPr>
        <w:t>ns.  Le</w:t>
      </w:r>
      <w:r w:rsidRPr="00A75276">
        <w:rPr>
          <w:lang w:val="fr-FR"/>
        </w:rPr>
        <w:t xml:space="preserve"> sous</w:t>
      </w:r>
      <w:r w:rsidR="00A16C85" w:rsidRPr="00A75276">
        <w:rPr>
          <w:lang w:val="fr-FR"/>
        </w:rPr>
        <w:noBreakHyphen/>
      </w:r>
      <w:r w:rsidRPr="00A75276">
        <w:rPr>
          <w:lang w:val="fr-FR"/>
        </w:rPr>
        <w:t>groupe est convenu que, dans certaines situations, des délais plus formels et une invitation plus claire à donner suite à tel ou tel problème ou question seraient plus indiqués, pour autant que ces modes de communication plus officiels ne remplacent pas les moyens informels, en particulier le forum électronique du sous</w:t>
      </w:r>
      <w:r w:rsidR="00A16C85" w:rsidRPr="00A75276">
        <w:rPr>
          <w:lang w:val="fr-FR"/>
        </w:rPr>
        <w:noBreakHyphen/>
      </w:r>
      <w:r w:rsidRPr="00A75276">
        <w:rPr>
          <w:lang w:val="fr-FR"/>
        </w:rPr>
        <w:t>groupe, mais les complètent (</w:t>
      </w:r>
      <w:r w:rsidR="00E874A5" w:rsidRPr="00A75276">
        <w:rPr>
          <w:lang w:val="fr-FR"/>
        </w:rPr>
        <w:t>“</w:t>
      </w:r>
      <w:r w:rsidRPr="00A75276">
        <w:rPr>
          <w:lang w:val="fr-FR"/>
        </w:rPr>
        <w:t>mode mixte</w:t>
      </w:r>
      <w:r w:rsidR="00E874A5" w:rsidRPr="00A75276">
        <w:rPr>
          <w:lang w:val="fr-FR"/>
        </w:rPr>
        <w:t>”</w:t>
      </w:r>
      <w:r w:rsidRPr="00A75276">
        <w:rPr>
          <w:lang w:val="fr-FR"/>
        </w:rPr>
        <w:t>).</w:t>
      </w:r>
    </w:p>
    <w:p w:rsidR="002E5DCA" w:rsidRPr="00A75276" w:rsidRDefault="00EB0323" w:rsidP="00EB0323">
      <w:pPr>
        <w:pStyle w:val="ONUMFS"/>
        <w:rPr>
          <w:lang w:val="fr-FR"/>
        </w:rPr>
      </w:pPr>
      <w:r w:rsidRPr="00A75276">
        <w:rPr>
          <w:lang w:val="fr-FR"/>
        </w:rPr>
        <w:t>En réponse à la question d</w:t>
      </w:r>
      <w:r w:rsidR="009C53EC" w:rsidRPr="00A75276">
        <w:rPr>
          <w:lang w:val="fr-FR"/>
        </w:rPr>
        <w:t>’</w:t>
      </w:r>
      <w:r w:rsidRPr="00A75276">
        <w:rPr>
          <w:lang w:val="fr-FR"/>
        </w:rPr>
        <w:t xml:space="preserve">une </w:t>
      </w:r>
      <w:r w:rsidR="00BB056C" w:rsidRPr="00A75276">
        <w:rPr>
          <w:lang w:val="fr-FR"/>
        </w:rPr>
        <w:t>administration</w:t>
      </w:r>
      <w:r w:rsidRPr="00A75276">
        <w:rPr>
          <w:lang w:val="fr-FR"/>
        </w:rPr>
        <w:t xml:space="preserve"> qui souhaitait savoir s</w:t>
      </w:r>
      <w:r w:rsidR="009C53EC" w:rsidRPr="00A75276">
        <w:rPr>
          <w:lang w:val="fr-FR"/>
        </w:rPr>
        <w:t>’</w:t>
      </w:r>
      <w:r w:rsidRPr="00A75276">
        <w:rPr>
          <w:lang w:val="fr-FR"/>
        </w:rPr>
        <w:t>il serait possible de consulter les réponses des autres offices aux circulaires</w:t>
      </w:r>
      <w:r w:rsidR="002E5DCA" w:rsidRPr="00A75276">
        <w:rPr>
          <w:lang w:val="fr-FR"/>
        </w:rPr>
        <w:t xml:space="preserve"> du PCT</w:t>
      </w:r>
      <w:r w:rsidRPr="00A75276">
        <w:rPr>
          <w:lang w:val="fr-FR"/>
        </w:rPr>
        <w:t>, le Bureau international a répondu qu</w:t>
      </w:r>
      <w:r w:rsidR="009C53EC" w:rsidRPr="00A75276">
        <w:rPr>
          <w:lang w:val="fr-FR"/>
        </w:rPr>
        <w:t>’</w:t>
      </w:r>
      <w:r w:rsidRPr="00A75276">
        <w:rPr>
          <w:lang w:val="fr-FR"/>
        </w:rPr>
        <w:t>il avait déjà examiné en interne la question de la publication des réponses des offices par le pas</w:t>
      </w:r>
      <w:r w:rsidR="00A16C85" w:rsidRPr="00A75276">
        <w:rPr>
          <w:lang w:val="fr-FR"/>
        </w:rPr>
        <w:t>sé.  Si</w:t>
      </w:r>
      <w:r w:rsidRPr="00A75276">
        <w:rPr>
          <w:lang w:val="fr-FR"/>
        </w:rPr>
        <w:t xml:space="preserve"> cela ne semblai</w:t>
      </w:r>
      <w:r w:rsidR="00A8690A" w:rsidRPr="00A75276">
        <w:rPr>
          <w:lang w:val="fr-FR"/>
        </w:rPr>
        <w:t>t</w:t>
      </w:r>
      <w:r w:rsidRPr="00A75276">
        <w:rPr>
          <w:lang w:val="fr-FR"/>
        </w:rPr>
        <w:t xml:space="preserve"> pas indiqué pour toutes les circulaires, compte tenu de l</w:t>
      </w:r>
      <w:r w:rsidR="009C53EC" w:rsidRPr="00A75276">
        <w:rPr>
          <w:lang w:val="fr-FR"/>
        </w:rPr>
        <w:t>’</w:t>
      </w:r>
      <w:r w:rsidRPr="00A75276">
        <w:rPr>
          <w:lang w:val="fr-FR"/>
        </w:rPr>
        <w:t>incidence que cette publication pouvait avoir sur les réponses des offices, s</w:t>
      </w:r>
      <w:r w:rsidR="009C53EC" w:rsidRPr="00A75276">
        <w:rPr>
          <w:lang w:val="fr-FR"/>
        </w:rPr>
        <w:t>’</w:t>
      </w:r>
      <w:r w:rsidRPr="00A75276">
        <w:rPr>
          <w:lang w:val="fr-FR"/>
        </w:rPr>
        <w:t>agissant des circulaires envoyées à un groupe restreint d</w:t>
      </w:r>
      <w:r w:rsidR="009C53EC" w:rsidRPr="00A75276">
        <w:rPr>
          <w:lang w:val="fr-FR"/>
        </w:rPr>
        <w:t>’</w:t>
      </w:r>
      <w:r w:rsidRPr="00A75276">
        <w:rPr>
          <w:lang w:val="fr-FR"/>
        </w:rPr>
        <w:t>offices tels que les administrations internationales, on pouvait envisager de publier toutes les réponses reçues à l</w:t>
      </w:r>
      <w:r w:rsidR="009C53EC" w:rsidRPr="00A75276">
        <w:rPr>
          <w:lang w:val="fr-FR"/>
        </w:rPr>
        <w:t>’</w:t>
      </w:r>
      <w:r w:rsidRPr="00A75276">
        <w:rPr>
          <w:lang w:val="fr-FR"/>
        </w:rPr>
        <w:t>intention de ce seul groupe restreint, par exemple sur le forum électronique du sous</w:t>
      </w:r>
      <w:r w:rsidR="00A16C85" w:rsidRPr="00A75276">
        <w:rPr>
          <w:lang w:val="fr-FR"/>
        </w:rPr>
        <w:noBreakHyphen/>
      </w:r>
      <w:r w:rsidRPr="00A75276">
        <w:rPr>
          <w:lang w:val="fr-FR"/>
        </w:rPr>
        <w:t>groupe, pour autant qu</w:t>
      </w:r>
      <w:r w:rsidR="009C53EC" w:rsidRPr="00A75276">
        <w:rPr>
          <w:lang w:val="fr-FR"/>
        </w:rPr>
        <w:t>’</w:t>
      </w:r>
      <w:r w:rsidRPr="00A75276">
        <w:rPr>
          <w:lang w:val="fr-FR"/>
        </w:rPr>
        <w:t>il ait été clairement annoncé dès le départ que les réponses seraient publié</w:t>
      </w:r>
      <w:r w:rsidR="00A16C85" w:rsidRPr="00A75276">
        <w:rPr>
          <w:lang w:val="fr-FR"/>
        </w:rPr>
        <w:t>es.  D’u</w:t>
      </w:r>
      <w:r w:rsidRPr="00A75276">
        <w:rPr>
          <w:lang w:val="fr-FR"/>
        </w:rPr>
        <w:t>ne manière générale, le Bureau international encourageait toutes les administrations à se montrer plus actives sur le wiki entre les réunions, par exemple en portant des questions émanant de discussions bilatérales à l</w:t>
      </w:r>
      <w:r w:rsidR="009C53EC" w:rsidRPr="00A75276">
        <w:rPr>
          <w:lang w:val="fr-FR"/>
        </w:rPr>
        <w:t>’</w:t>
      </w:r>
      <w:r w:rsidRPr="00A75276">
        <w:rPr>
          <w:lang w:val="fr-FR"/>
        </w:rPr>
        <w:t>attention du sous</w:t>
      </w:r>
      <w:r w:rsidR="00A16C85" w:rsidRPr="00A75276">
        <w:rPr>
          <w:lang w:val="fr-FR"/>
        </w:rPr>
        <w:noBreakHyphen/>
      </w:r>
      <w:r w:rsidRPr="00A75276">
        <w:rPr>
          <w:lang w:val="fr-FR"/>
        </w:rPr>
        <w:t xml:space="preserve">groupe dans son ensemble et en tenant </w:t>
      </w:r>
      <w:r w:rsidR="00BB056C" w:rsidRPr="00A75276">
        <w:rPr>
          <w:lang w:val="fr-FR"/>
        </w:rPr>
        <w:t>informées</w:t>
      </w:r>
      <w:r w:rsidRPr="00A75276">
        <w:rPr>
          <w:lang w:val="fr-FR"/>
        </w:rPr>
        <w:t xml:space="preserve"> les autres administrations des changements apportés aux systèmes de gestion de la qualité en cours d</w:t>
      </w:r>
      <w:r w:rsidR="009C53EC" w:rsidRPr="00A75276">
        <w:rPr>
          <w:lang w:val="fr-FR"/>
        </w:rPr>
        <w:t>’</w:t>
      </w:r>
      <w:r w:rsidRPr="00A75276">
        <w:rPr>
          <w:lang w:val="fr-FR"/>
        </w:rPr>
        <w:t>année.</w:t>
      </w:r>
    </w:p>
    <w:p w:rsidR="00715135" w:rsidRPr="00A75276" w:rsidRDefault="007B783B" w:rsidP="0021308B">
      <w:pPr>
        <w:pStyle w:val="ONUMFS"/>
        <w:ind w:left="567"/>
        <w:rPr>
          <w:lang w:val="fr-FR"/>
        </w:rPr>
      </w:pPr>
      <w:r w:rsidRPr="00A75276">
        <w:rPr>
          <w:lang w:val="fr-FR"/>
        </w:rPr>
        <w:t>Le sous</w:t>
      </w:r>
      <w:r w:rsidR="00A16C85" w:rsidRPr="00A75276">
        <w:rPr>
          <w:lang w:val="fr-FR"/>
        </w:rPr>
        <w:noBreakHyphen/>
      </w:r>
      <w:r w:rsidRPr="00A75276">
        <w:rPr>
          <w:lang w:val="fr-FR"/>
        </w:rPr>
        <w:t>groupe a recommandé</w:t>
      </w:r>
    </w:p>
    <w:p w:rsidR="00715135" w:rsidRPr="00A75276" w:rsidRDefault="00EB0323" w:rsidP="00EB0323">
      <w:pPr>
        <w:pStyle w:val="ONUMFS"/>
        <w:numPr>
          <w:ilvl w:val="1"/>
          <w:numId w:val="6"/>
        </w:numPr>
        <w:ind w:left="1134"/>
        <w:rPr>
          <w:lang w:val="fr-FR"/>
        </w:rPr>
      </w:pPr>
      <w:r w:rsidRPr="00A75276">
        <w:rPr>
          <w:lang w:val="fr-FR"/>
        </w:rPr>
        <w:t>de poursuivre l</w:t>
      </w:r>
      <w:r w:rsidR="009C53EC" w:rsidRPr="00A75276">
        <w:rPr>
          <w:lang w:val="fr-FR"/>
        </w:rPr>
        <w:t>’</w:t>
      </w:r>
      <w:r w:rsidRPr="00A75276">
        <w:rPr>
          <w:lang w:val="fr-FR"/>
        </w:rPr>
        <w:t>établissement de rapports sur les systèmes de gestion de la qualité des administrations selon le mécanisme actuel en signalant les changements apportés pendant l</w:t>
      </w:r>
      <w:r w:rsidR="009C53EC" w:rsidRPr="00A75276">
        <w:rPr>
          <w:lang w:val="fr-FR"/>
        </w:rPr>
        <w:t>’</w:t>
      </w:r>
      <w:r w:rsidRPr="00A75276">
        <w:rPr>
          <w:lang w:val="fr-FR"/>
        </w:rPr>
        <w:t>année, le délai pour la soumission de ces rapports au Bureau international étant fixé au 3</w:t>
      </w:r>
      <w:r w:rsidR="002E5DCA" w:rsidRPr="00A75276">
        <w:rPr>
          <w:lang w:val="fr-FR"/>
        </w:rPr>
        <w:t>0 novembre</w:t>
      </w:r>
      <w:r w:rsidRPr="00A75276">
        <w:rPr>
          <w:lang w:val="fr-FR"/>
        </w:rPr>
        <w:t>;</w:t>
      </w:r>
    </w:p>
    <w:p w:rsidR="00715135" w:rsidRPr="00A75276" w:rsidRDefault="00EB0323" w:rsidP="00EB0323">
      <w:pPr>
        <w:pStyle w:val="ONUMFS"/>
        <w:numPr>
          <w:ilvl w:val="1"/>
          <w:numId w:val="6"/>
        </w:numPr>
        <w:ind w:left="1134"/>
        <w:rPr>
          <w:lang w:val="fr-FR"/>
        </w:rPr>
      </w:pPr>
      <w:r w:rsidRPr="00A75276">
        <w:rPr>
          <w:lang w:val="fr-FR"/>
        </w:rPr>
        <w:t>que le Bureau international devrait envisager la possibilité de communiquer avec les administrations de manière plus officielle au moyen de circulaires PCT à titre de complément au forum électronique;  par ailleurs, il conviendrait d</w:t>
      </w:r>
      <w:r w:rsidR="009C53EC" w:rsidRPr="00A75276">
        <w:rPr>
          <w:lang w:val="fr-FR"/>
        </w:rPr>
        <w:t>’</w:t>
      </w:r>
      <w:r w:rsidRPr="00A75276">
        <w:rPr>
          <w:lang w:val="fr-FR"/>
        </w:rPr>
        <w:t>explorer la mesure dans laquelle le forum électronique pourrait être utilisé pour partager les réponses des administrations à ces circulaires.</w:t>
      </w:r>
    </w:p>
    <w:p w:rsidR="00715135" w:rsidRPr="00A75276" w:rsidRDefault="001A5167" w:rsidP="001A5167">
      <w:pPr>
        <w:pStyle w:val="Heading2"/>
        <w:rPr>
          <w:lang w:val="fr-FR"/>
        </w:rPr>
      </w:pPr>
      <w:r w:rsidRPr="00A75276">
        <w:rPr>
          <w:lang w:val="fr-FR"/>
        </w:rPr>
        <w:t>b)</w:t>
      </w:r>
      <w:r w:rsidRPr="00A75276">
        <w:rPr>
          <w:lang w:val="fr-FR"/>
        </w:rPr>
        <w:tab/>
      </w:r>
      <w:r w:rsidR="00EB0323" w:rsidRPr="00A75276">
        <w:rPr>
          <w:lang w:val="fr-FR"/>
        </w:rPr>
        <w:t>partage des politiques et directives en matière de qualité, de l</w:t>
      </w:r>
      <w:r w:rsidR="009C53EC" w:rsidRPr="00A75276">
        <w:rPr>
          <w:lang w:val="fr-FR"/>
        </w:rPr>
        <w:t>’</w:t>
      </w:r>
      <w:r w:rsidR="00EB0323" w:rsidRPr="00A75276">
        <w:rPr>
          <w:lang w:val="fr-FR"/>
        </w:rPr>
        <w:t>information rélative à l</w:t>
      </w:r>
      <w:r w:rsidR="009C53EC" w:rsidRPr="00A75276">
        <w:rPr>
          <w:lang w:val="fr-FR"/>
        </w:rPr>
        <w:t>’</w:t>
      </w:r>
      <w:r w:rsidR="00EB0323" w:rsidRPr="00A75276">
        <w:rPr>
          <w:lang w:val="fr-FR"/>
        </w:rPr>
        <w:t xml:space="preserve">échantillonnage dans les processus </w:t>
      </w:r>
      <w:r w:rsidR="006E3CBA" w:rsidRPr="00A75276">
        <w:rPr>
          <w:lang w:val="fr-FR"/>
        </w:rPr>
        <w:t>de contrôle de</w:t>
      </w:r>
      <w:r w:rsidR="00EB0323" w:rsidRPr="00A75276">
        <w:rPr>
          <w:lang w:val="fr-FR"/>
        </w:rPr>
        <w:t xml:space="preserve"> qualité et des listes de points à vérifier dans le cadre de ces processus</w:t>
      </w:r>
    </w:p>
    <w:p w:rsidR="00715135" w:rsidRPr="00A75276" w:rsidRDefault="00EB0323" w:rsidP="00EB0323">
      <w:pPr>
        <w:pStyle w:val="ONUMFS"/>
        <w:rPr>
          <w:lang w:val="fr-FR"/>
        </w:rPr>
      </w:pPr>
      <w:r w:rsidRPr="00A75276">
        <w:rPr>
          <w:lang w:val="fr-FR"/>
        </w:rPr>
        <w:t>Si les pages de discussion du forum électronique consacrées aux questions relatives au partage des politiques et directives en matière de qualité, de l</w:t>
      </w:r>
      <w:r w:rsidR="009C53EC" w:rsidRPr="00A75276">
        <w:rPr>
          <w:lang w:val="fr-FR"/>
        </w:rPr>
        <w:t>’</w:t>
      </w:r>
      <w:r w:rsidRPr="00A75276">
        <w:rPr>
          <w:lang w:val="fr-FR"/>
        </w:rPr>
        <w:t>information sur l</w:t>
      </w:r>
      <w:r w:rsidR="009C53EC" w:rsidRPr="00A75276">
        <w:rPr>
          <w:lang w:val="fr-FR"/>
        </w:rPr>
        <w:t>’</w:t>
      </w:r>
      <w:r w:rsidRPr="00A75276">
        <w:rPr>
          <w:lang w:val="fr-FR"/>
        </w:rPr>
        <w:t>échantillonnage dans les processus de contrôle de qualité et des listes de points à vérifier dans le cadre de ces processus ont soulevé relativement peu d</w:t>
      </w:r>
      <w:r w:rsidR="009C53EC" w:rsidRPr="00A75276">
        <w:rPr>
          <w:lang w:val="fr-FR"/>
        </w:rPr>
        <w:t>’</w:t>
      </w:r>
      <w:r w:rsidRPr="00A75276">
        <w:rPr>
          <w:lang w:val="fr-FR"/>
        </w:rPr>
        <w:t>intérêt pendant l</w:t>
      </w:r>
      <w:r w:rsidR="009C53EC" w:rsidRPr="00A75276">
        <w:rPr>
          <w:lang w:val="fr-FR"/>
        </w:rPr>
        <w:t>’</w:t>
      </w:r>
      <w:r w:rsidRPr="00A75276">
        <w:rPr>
          <w:lang w:val="fr-FR"/>
        </w:rPr>
        <w:t>année écoulée, le sous</w:t>
      </w:r>
      <w:r w:rsidR="00A16C85" w:rsidRPr="00A75276">
        <w:rPr>
          <w:lang w:val="fr-FR"/>
        </w:rPr>
        <w:noBreakHyphen/>
      </w:r>
      <w:r w:rsidRPr="00A75276">
        <w:rPr>
          <w:lang w:val="fr-FR"/>
        </w:rPr>
        <w:t>groupe considérait néanmoins que le Bureau international devrait lancer un dernier appel à contributions à l</w:t>
      </w:r>
      <w:r w:rsidR="009C53EC" w:rsidRPr="00A75276">
        <w:rPr>
          <w:lang w:val="fr-FR"/>
        </w:rPr>
        <w:t>’</w:t>
      </w:r>
      <w:r w:rsidRPr="00A75276">
        <w:rPr>
          <w:lang w:val="fr-FR"/>
        </w:rPr>
        <w:t>intention des administrations en fixant un délai pour les réponses avant de clôturer les discussions sur l</w:t>
      </w:r>
      <w:r w:rsidR="009C53EC" w:rsidRPr="00A75276">
        <w:rPr>
          <w:lang w:val="fr-FR"/>
        </w:rPr>
        <w:t>’</w:t>
      </w:r>
      <w:r w:rsidRPr="00A75276">
        <w:rPr>
          <w:lang w:val="fr-FR"/>
        </w:rPr>
        <w:t>un ou l</w:t>
      </w:r>
      <w:r w:rsidR="009C53EC" w:rsidRPr="00A75276">
        <w:rPr>
          <w:lang w:val="fr-FR"/>
        </w:rPr>
        <w:t>’</w:t>
      </w:r>
      <w:r w:rsidRPr="00A75276">
        <w:rPr>
          <w:lang w:val="fr-FR"/>
        </w:rPr>
        <w:t>autre de ces suje</w:t>
      </w:r>
      <w:r w:rsidR="00A16C85" w:rsidRPr="00A75276">
        <w:rPr>
          <w:lang w:val="fr-FR"/>
        </w:rPr>
        <w:t>ts.  Il</w:t>
      </w:r>
      <w:r w:rsidRPr="00A75276">
        <w:rPr>
          <w:lang w:val="fr-FR"/>
        </w:rPr>
        <w:t xml:space="preserve"> faudrait peut</w:t>
      </w:r>
      <w:r w:rsidR="00A16C85" w:rsidRPr="00A75276">
        <w:rPr>
          <w:lang w:val="fr-FR"/>
        </w:rPr>
        <w:noBreakHyphen/>
      </w:r>
      <w:r w:rsidRPr="00A75276">
        <w:rPr>
          <w:lang w:val="fr-FR"/>
        </w:rPr>
        <w:t>être également poursuivre la discussion sur l</w:t>
      </w:r>
      <w:r w:rsidR="009C53EC" w:rsidRPr="00A75276">
        <w:rPr>
          <w:lang w:val="fr-FR"/>
        </w:rPr>
        <w:t>’</w:t>
      </w:r>
      <w:r w:rsidRPr="00A75276">
        <w:rPr>
          <w:lang w:val="fr-FR"/>
        </w:rPr>
        <w:t>une ou l</w:t>
      </w:r>
      <w:r w:rsidR="009C53EC" w:rsidRPr="00A75276">
        <w:rPr>
          <w:lang w:val="fr-FR"/>
        </w:rPr>
        <w:t>’</w:t>
      </w:r>
      <w:r w:rsidRPr="00A75276">
        <w:rPr>
          <w:lang w:val="fr-FR"/>
        </w:rPr>
        <w:t>autre de ces questions s</w:t>
      </w:r>
      <w:r w:rsidR="009C53EC" w:rsidRPr="00A75276">
        <w:rPr>
          <w:lang w:val="fr-FR"/>
        </w:rPr>
        <w:t>’</w:t>
      </w:r>
      <w:r w:rsidRPr="00A75276">
        <w:rPr>
          <w:lang w:val="fr-FR"/>
        </w:rPr>
        <w:t>il devait être décidé de renforcer les exigences prévues par le chapitre</w:t>
      </w:r>
      <w:r w:rsidR="00432F5D" w:rsidRPr="00A75276">
        <w:rPr>
          <w:lang w:val="fr-FR"/>
        </w:rPr>
        <w:t> </w:t>
      </w:r>
      <w:r w:rsidRPr="00A75276">
        <w:rPr>
          <w:lang w:val="fr-FR"/>
        </w:rPr>
        <w:t>21 des directives concernant la recherche internationale et l</w:t>
      </w:r>
      <w:r w:rsidR="009C53EC" w:rsidRPr="00A75276">
        <w:rPr>
          <w:lang w:val="fr-FR"/>
        </w:rPr>
        <w:t>’</w:t>
      </w:r>
      <w:r w:rsidRPr="00A75276">
        <w:rPr>
          <w:lang w:val="fr-FR"/>
        </w:rPr>
        <w:t>examen préliminaire international selon</w:t>
      </w:r>
      <w:r w:rsidR="002E5DCA" w:rsidRPr="00A75276">
        <w:rPr>
          <w:lang w:val="fr-FR"/>
        </w:rPr>
        <w:t xml:space="preserve"> le PCT</w:t>
      </w:r>
      <w:r w:rsidRPr="00A75276">
        <w:rPr>
          <w:lang w:val="fr-FR"/>
        </w:rPr>
        <w:t xml:space="preserve"> en vue de rendre certaines de ces exigences, comme l</w:t>
      </w:r>
      <w:r w:rsidR="009C53EC" w:rsidRPr="00A75276">
        <w:rPr>
          <w:lang w:val="fr-FR"/>
        </w:rPr>
        <w:t>’</w:t>
      </w:r>
      <w:r w:rsidRPr="00A75276">
        <w:rPr>
          <w:lang w:val="fr-FR"/>
        </w:rPr>
        <w:t>établissement de politiques en matière de qualité, obligatoir</w:t>
      </w:r>
      <w:r w:rsidR="00A16C85" w:rsidRPr="00A75276">
        <w:rPr>
          <w:lang w:val="fr-FR"/>
        </w:rPr>
        <w:t>es.  S’a</w:t>
      </w:r>
      <w:r w:rsidRPr="00A75276">
        <w:rPr>
          <w:lang w:val="fr-FR"/>
        </w:rPr>
        <w:t xml:space="preserve">gissant </w:t>
      </w:r>
      <w:r w:rsidRPr="00A75276">
        <w:rPr>
          <w:lang w:val="fr-FR"/>
        </w:rPr>
        <w:lastRenderedPageBreak/>
        <w:t>des taux d</w:t>
      </w:r>
      <w:r w:rsidR="009C53EC" w:rsidRPr="00A75276">
        <w:rPr>
          <w:lang w:val="fr-FR"/>
        </w:rPr>
        <w:t>’</w:t>
      </w:r>
      <w:r w:rsidRPr="00A75276">
        <w:rPr>
          <w:lang w:val="fr-FR"/>
        </w:rPr>
        <w:t>échantillonnage dans les processus de contrôle de qualité, certaines administrations ont indiqué qu</w:t>
      </w:r>
      <w:r w:rsidR="009C53EC" w:rsidRPr="00A75276">
        <w:rPr>
          <w:lang w:val="fr-FR"/>
        </w:rPr>
        <w:t>’</w:t>
      </w:r>
      <w:r w:rsidRPr="00A75276">
        <w:rPr>
          <w:lang w:val="fr-FR"/>
        </w:rPr>
        <w:t>ils dépendaient des ressources disponibles et qu</w:t>
      </w:r>
      <w:r w:rsidR="009C53EC" w:rsidRPr="00A75276">
        <w:rPr>
          <w:lang w:val="fr-FR"/>
        </w:rPr>
        <w:t>’</w:t>
      </w:r>
      <w:r w:rsidRPr="00A75276">
        <w:rPr>
          <w:lang w:val="fr-FR"/>
        </w:rPr>
        <w:t>ils variaient selon les années, de sorte qu</w:t>
      </w:r>
      <w:r w:rsidR="009C53EC" w:rsidRPr="00A75276">
        <w:rPr>
          <w:lang w:val="fr-FR"/>
        </w:rPr>
        <w:t>’</w:t>
      </w:r>
      <w:r w:rsidRPr="00A75276">
        <w:rPr>
          <w:lang w:val="fr-FR"/>
        </w:rPr>
        <w:t>elles ne voyaient guère d</w:t>
      </w:r>
      <w:r w:rsidR="009C53EC" w:rsidRPr="00A75276">
        <w:rPr>
          <w:lang w:val="fr-FR"/>
        </w:rPr>
        <w:t>’</w:t>
      </w:r>
      <w:r w:rsidRPr="00A75276">
        <w:rPr>
          <w:lang w:val="fr-FR"/>
        </w:rPr>
        <w:t>i</w:t>
      </w:r>
      <w:r w:rsidR="006E3CBA" w:rsidRPr="00A75276">
        <w:rPr>
          <w:lang w:val="fr-FR"/>
        </w:rPr>
        <w:t>ntérêt à continuer de partager c</w:t>
      </w:r>
      <w:r w:rsidRPr="00A75276">
        <w:rPr>
          <w:lang w:val="fr-FR"/>
        </w:rPr>
        <w:t>es informatio</w:t>
      </w:r>
      <w:r w:rsidR="00A16C85" w:rsidRPr="00A75276">
        <w:rPr>
          <w:lang w:val="fr-FR"/>
        </w:rPr>
        <w:t>ns.  Un</w:t>
      </w:r>
      <w:r w:rsidRPr="00A75276">
        <w:rPr>
          <w:lang w:val="fr-FR"/>
        </w:rPr>
        <w:t>e administration a souligné qu</w:t>
      </w:r>
      <w:r w:rsidR="009C53EC" w:rsidRPr="00A75276">
        <w:rPr>
          <w:lang w:val="fr-FR"/>
        </w:rPr>
        <w:t>’</w:t>
      </w:r>
      <w:r w:rsidRPr="00A75276">
        <w:rPr>
          <w:lang w:val="fr-FR"/>
        </w:rPr>
        <w:t xml:space="preserve">elle avait publié sa politique en matière de qualité sur son site Web afin </w:t>
      </w:r>
      <w:r w:rsidR="006E3CBA" w:rsidRPr="00A75276">
        <w:rPr>
          <w:lang w:val="fr-FR"/>
        </w:rPr>
        <w:t>de</w:t>
      </w:r>
      <w:r w:rsidRPr="00A75276">
        <w:rPr>
          <w:lang w:val="fr-FR"/>
        </w:rPr>
        <w:t xml:space="preserve"> donner un aperçu de ses indicateurs de qualité généraux, mais qu</w:t>
      </w:r>
      <w:r w:rsidR="009C53EC" w:rsidRPr="00A75276">
        <w:rPr>
          <w:lang w:val="fr-FR"/>
        </w:rPr>
        <w:t>’</w:t>
      </w:r>
      <w:r w:rsidRPr="00A75276">
        <w:rPr>
          <w:lang w:val="fr-FR"/>
        </w:rPr>
        <w:t>elle ne diffusait pas d</w:t>
      </w:r>
      <w:r w:rsidR="009C53EC" w:rsidRPr="00A75276">
        <w:rPr>
          <w:lang w:val="fr-FR"/>
        </w:rPr>
        <w:t>’</w:t>
      </w:r>
      <w:r w:rsidRPr="00A75276">
        <w:rPr>
          <w:lang w:val="fr-FR"/>
        </w:rPr>
        <w:t>informations détaillées sur sa stratégie en matière de quali</w:t>
      </w:r>
      <w:r w:rsidR="00A16C85" w:rsidRPr="00A75276">
        <w:rPr>
          <w:lang w:val="fr-FR"/>
        </w:rPr>
        <w:t>té.  Un</w:t>
      </w:r>
      <w:r w:rsidRPr="00A75276">
        <w:rPr>
          <w:lang w:val="fr-FR"/>
        </w:rPr>
        <w:t>e autre administration a déclaré qu</w:t>
      </w:r>
      <w:r w:rsidR="00FB12CD" w:rsidRPr="00A75276">
        <w:rPr>
          <w:lang w:val="fr-FR"/>
        </w:rPr>
        <w:t>’</w:t>
      </w:r>
      <w:r w:rsidRPr="00A75276">
        <w:rPr>
          <w:lang w:val="fr-FR"/>
        </w:rPr>
        <w:t>elle contribuait aux discussions sur les trois</w:t>
      </w:r>
      <w:r w:rsidR="00432F5D" w:rsidRPr="00A75276">
        <w:rPr>
          <w:lang w:val="fr-FR"/>
        </w:rPr>
        <w:t> </w:t>
      </w:r>
      <w:r w:rsidRPr="00A75276">
        <w:rPr>
          <w:lang w:val="fr-FR"/>
        </w:rPr>
        <w:t>questions depuis</w:t>
      </w:r>
      <w:r w:rsidR="00432F5D" w:rsidRPr="00A75276">
        <w:rPr>
          <w:lang w:val="fr-FR"/>
        </w:rPr>
        <w:t> </w:t>
      </w:r>
      <w:r w:rsidRPr="00A75276">
        <w:rPr>
          <w:lang w:val="fr-FR"/>
        </w:rPr>
        <w:t>2013 et que, même si l</w:t>
      </w:r>
      <w:r w:rsidR="009C53EC" w:rsidRPr="00A75276">
        <w:rPr>
          <w:lang w:val="fr-FR"/>
        </w:rPr>
        <w:t>’</w:t>
      </w:r>
      <w:r w:rsidRPr="00A75276">
        <w:rPr>
          <w:lang w:val="fr-FR"/>
        </w:rPr>
        <w:t xml:space="preserve">activité était réduite, elle estimait que les informations qui avaient </w:t>
      </w:r>
      <w:r w:rsidR="00BB056C" w:rsidRPr="00A75276">
        <w:rPr>
          <w:lang w:val="fr-FR"/>
        </w:rPr>
        <w:t>été</w:t>
      </w:r>
      <w:r w:rsidRPr="00A75276">
        <w:rPr>
          <w:lang w:val="fr-FR"/>
        </w:rPr>
        <w:t xml:space="preserve"> publiées s</w:t>
      </w:r>
      <w:r w:rsidR="009C53EC" w:rsidRPr="00A75276">
        <w:rPr>
          <w:lang w:val="fr-FR"/>
        </w:rPr>
        <w:t>’</w:t>
      </w:r>
      <w:r w:rsidRPr="00A75276">
        <w:rPr>
          <w:lang w:val="fr-FR"/>
        </w:rPr>
        <w:t>étaient révélées très utiles;  elle a encouragé davantage d</w:t>
      </w:r>
      <w:r w:rsidR="009C53EC" w:rsidRPr="00A75276">
        <w:rPr>
          <w:lang w:val="fr-FR"/>
        </w:rPr>
        <w:t>’</w:t>
      </w:r>
      <w:r w:rsidRPr="00A75276">
        <w:rPr>
          <w:lang w:val="fr-FR"/>
        </w:rPr>
        <w:t>administrations à fournir et partager des données sur ces questions.</w:t>
      </w:r>
    </w:p>
    <w:p w:rsidR="00715135" w:rsidRPr="00A75276" w:rsidRDefault="00EB0323" w:rsidP="00EB0323">
      <w:pPr>
        <w:pStyle w:val="ONUMFS"/>
        <w:ind w:left="567"/>
        <w:rPr>
          <w:lang w:val="fr-FR"/>
        </w:rPr>
      </w:pPr>
      <w:r w:rsidRPr="00A75276">
        <w:rPr>
          <w:lang w:val="fr-FR"/>
        </w:rPr>
        <w:t>Le sous</w:t>
      </w:r>
      <w:r w:rsidR="00A16C85" w:rsidRPr="00A75276">
        <w:rPr>
          <w:lang w:val="fr-FR"/>
        </w:rPr>
        <w:noBreakHyphen/>
      </w:r>
      <w:r w:rsidRPr="00A75276">
        <w:rPr>
          <w:lang w:val="fr-FR"/>
        </w:rPr>
        <w:t>groupe a recommandé que le Bureau international invite une dernière fois les administrations à contribuer aux pages de discussion sur le partage des politiques et directives en matière de qualité, de l</w:t>
      </w:r>
      <w:r w:rsidR="009C53EC" w:rsidRPr="00A75276">
        <w:rPr>
          <w:lang w:val="fr-FR"/>
        </w:rPr>
        <w:t>’</w:t>
      </w:r>
      <w:r w:rsidRPr="00A75276">
        <w:rPr>
          <w:lang w:val="fr-FR"/>
        </w:rPr>
        <w:t>information relative à l</w:t>
      </w:r>
      <w:r w:rsidR="009C53EC" w:rsidRPr="00A75276">
        <w:rPr>
          <w:lang w:val="fr-FR"/>
        </w:rPr>
        <w:t>’</w:t>
      </w:r>
      <w:r w:rsidRPr="00A75276">
        <w:rPr>
          <w:lang w:val="fr-FR"/>
        </w:rPr>
        <w:t>échantillonnage dans les processus de contrôle de qualité et des listes de points à vérifier dans le cadre de ces processus.</w:t>
      </w:r>
    </w:p>
    <w:p w:rsidR="00715135" w:rsidRPr="00A75276" w:rsidRDefault="001A5167" w:rsidP="001A5167">
      <w:pPr>
        <w:pStyle w:val="Heading2"/>
        <w:rPr>
          <w:lang w:val="fr-FR"/>
        </w:rPr>
      </w:pPr>
      <w:r w:rsidRPr="00A75276">
        <w:rPr>
          <w:lang w:val="fr-FR"/>
        </w:rPr>
        <w:t>c)</w:t>
      </w:r>
      <w:r w:rsidRPr="00A75276">
        <w:rPr>
          <w:lang w:val="fr-FR"/>
        </w:rPr>
        <w:tab/>
      </w:r>
      <w:r w:rsidR="00EB0323" w:rsidRPr="00A75276">
        <w:rPr>
          <w:lang w:val="fr-FR"/>
        </w:rPr>
        <w:t>buts et objectifs quantatitfs en matière de qualité</w:t>
      </w:r>
    </w:p>
    <w:p w:rsidR="00715135" w:rsidRPr="00A75276" w:rsidRDefault="00EB0323" w:rsidP="00EB0323">
      <w:pPr>
        <w:pStyle w:val="ONUMFS"/>
        <w:rPr>
          <w:lang w:val="fr-FR"/>
        </w:rPr>
      </w:pPr>
      <w:r w:rsidRPr="00A75276">
        <w:rPr>
          <w:lang w:val="fr-FR"/>
        </w:rPr>
        <w:t>L</w:t>
      </w:r>
      <w:r w:rsidR="009C53EC" w:rsidRPr="00A75276">
        <w:rPr>
          <w:lang w:val="fr-FR"/>
        </w:rPr>
        <w:t>’</w:t>
      </w:r>
      <w:r w:rsidRPr="00A75276">
        <w:rPr>
          <w:lang w:val="fr-FR"/>
        </w:rPr>
        <w:t>Office des brevets du Japon a indiqué qu</w:t>
      </w:r>
      <w:r w:rsidR="009C53EC" w:rsidRPr="00A75276">
        <w:rPr>
          <w:lang w:val="fr-FR"/>
        </w:rPr>
        <w:t>’</w:t>
      </w:r>
      <w:r w:rsidRPr="00A75276">
        <w:rPr>
          <w:lang w:val="fr-FR"/>
        </w:rPr>
        <w:t>il prenait note avec satisfaction des informations publiées par les administrations sur la page de discussion créée à la suite de la session du sous</w:t>
      </w:r>
      <w:r w:rsidR="00A16C85" w:rsidRPr="00A75276">
        <w:rPr>
          <w:lang w:val="fr-FR"/>
        </w:rPr>
        <w:noBreakHyphen/>
      </w:r>
      <w:r w:rsidRPr="00A75276">
        <w:rPr>
          <w:lang w:val="fr-FR"/>
        </w:rPr>
        <w:t>groupe de</w:t>
      </w:r>
      <w:r w:rsidR="00432F5D" w:rsidRPr="00A75276">
        <w:rPr>
          <w:lang w:val="fr-FR"/>
        </w:rPr>
        <w:t> </w:t>
      </w:r>
      <w:r w:rsidRPr="00A75276">
        <w:rPr>
          <w:lang w:val="fr-FR"/>
        </w:rPr>
        <w:t>2015 et a informé les membres du sous</w:t>
      </w:r>
      <w:r w:rsidR="00A16C85" w:rsidRPr="00A75276">
        <w:rPr>
          <w:lang w:val="fr-FR"/>
        </w:rPr>
        <w:noBreakHyphen/>
      </w:r>
      <w:r w:rsidRPr="00A75276">
        <w:rPr>
          <w:lang w:val="fr-FR"/>
        </w:rPr>
        <w:t>groupe qu</w:t>
      </w:r>
      <w:r w:rsidR="009C53EC" w:rsidRPr="00A75276">
        <w:rPr>
          <w:lang w:val="fr-FR"/>
        </w:rPr>
        <w:t>’</w:t>
      </w:r>
      <w:r w:rsidRPr="00A75276">
        <w:rPr>
          <w:lang w:val="fr-FR"/>
        </w:rPr>
        <w:t>il avait commandé à un cabinet privé une étude sur l</w:t>
      </w:r>
      <w:r w:rsidR="009C53EC" w:rsidRPr="00A75276">
        <w:rPr>
          <w:lang w:val="fr-FR"/>
        </w:rPr>
        <w:t>’</w:t>
      </w:r>
      <w:r w:rsidRPr="00A75276">
        <w:rPr>
          <w:lang w:val="fr-FR"/>
        </w:rPr>
        <w:t>utilisation des critères quantitatifs sur la qualité de l</w:t>
      </w:r>
      <w:r w:rsidR="009C53EC" w:rsidRPr="00A75276">
        <w:rPr>
          <w:lang w:val="fr-FR"/>
        </w:rPr>
        <w:t>’</w:t>
      </w:r>
      <w:r w:rsidRPr="00A75276">
        <w:rPr>
          <w:lang w:val="fr-FR"/>
        </w:rPr>
        <w:t>examen des demandes de brev</w:t>
      </w:r>
      <w:r w:rsidR="00A16C85" w:rsidRPr="00A75276">
        <w:rPr>
          <w:lang w:val="fr-FR"/>
        </w:rPr>
        <w:t>et.  Un</w:t>
      </w:r>
      <w:r w:rsidRPr="00A75276">
        <w:rPr>
          <w:lang w:val="fr-FR"/>
        </w:rPr>
        <w:t xml:space="preserve">e seule administration avait partagé des informations sur la manière dont elle utilisait les critères </w:t>
      </w:r>
      <w:r w:rsidR="00BB056C" w:rsidRPr="00A75276">
        <w:rPr>
          <w:lang w:val="fr-FR"/>
        </w:rPr>
        <w:t>quantitatifs</w:t>
      </w:r>
      <w:r w:rsidRPr="00A75276">
        <w:rPr>
          <w:lang w:val="fr-FR"/>
        </w:rPr>
        <w:t xml:space="preserve"> sur une base bilatérale avec les offic</w:t>
      </w:r>
      <w:r w:rsidR="00A16C85" w:rsidRPr="00A75276">
        <w:rPr>
          <w:lang w:val="fr-FR"/>
        </w:rPr>
        <w:t>es.  Co</w:t>
      </w:r>
      <w:r w:rsidRPr="00A75276">
        <w:rPr>
          <w:lang w:val="fr-FR"/>
        </w:rPr>
        <w:t>mpte te</w:t>
      </w:r>
      <w:r w:rsidR="00FB12CD" w:rsidRPr="00A75276">
        <w:rPr>
          <w:lang w:val="fr-FR"/>
        </w:rPr>
        <w:t>nu du manque</w:t>
      </w:r>
      <w:r w:rsidRPr="00A75276">
        <w:rPr>
          <w:lang w:val="fr-FR"/>
        </w:rPr>
        <w:t xml:space="preserve"> d</w:t>
      </w:r>
      <w:r w:rsidR="009C53EC" w:rsidRPr="00A75276">
        <w:rPr>
          <w:lang w:val="fr-FR"/>
        </w:rPr>
        <w:t>’</w:t>
      </w:r>
      <w:r w:rsidRPr="00A75276">
        <w:rPr>
          <w:lang w:val="fr-FR"/>
        </w:rPr>
        <w:t>intérêt des administrations pour partager davantage d</w:t>
      </w:r>
      <w:r w:rsidR="009C53EC" w:rsidRPr="00A75276">
        <w:rPr>
          <w:lang w:val="fr-FR"/>
        </w:rPr>
        <w:t>’</w:t>
      </w:r>
      <w:r w:rsidRPr="00A75276">
        <w:rPr>
          <w:lang w:val="fr-FR"/>
        </w:rPr>
        <w:t>informations, le sous</w:t>
      </w:r>
      <w:r w:rsidR="00A16C85" w:rsidRPr="00A75276">
        <w:rPr>
          <w:lang w:val="fr-FR"/>
        </w:rPr>
        <w:noBreakHyphen/>
      </w:r>
      <w:r w:rsidRPr="00A75276">
        <w:rPr>
          <w:lang w:val="fr-FR"/>
        </w:rPr>
        <w:t>groupe est convenu de mettre un terme aux discussions sur ce sujet.</w:t>
      </w:r>
    </w:p>
    <w:p w:rsidR="002E5DCA" w:rsidRPr="00A75276" w:rsidRDefault="00EB0323" w:rsidP="00EB0323">
      <w:pPr>
        <w:pStyle w:val="ONUMFS"/>
        <w:ind w:left="567"/>
        <w:rPr>
          <w:lang w:val="fr-FR"/>
        </w:rPr>
      </w:pPr>
      <w:r w:rsidRPr="00A75276">
        <w:rPr>
          <w:lang w:val="fr-FR"/>
        </w:rPr>
        <w:t>Le sous</w:t>
      </w:r>
      <w:r w:rsidR="00A16C85" w:rsidRPr="00A75276">
        <w:rPr>
          <w:lang w:val="fr-FR"/>
        </w:rPr>
        <w:noBreakHyphen/>
      </w:r>
      <w:r w:rsidRPr="00A75276">
        <w:rPr>
          <w:lang w:val="fr-FR"/>
        </w:rPr>
        <w:t>groupe a recommandé de fermer la page de discussion sur les buts et objectifs quantitatifs en matière de qualité.</w:t>
      </w:r>
    </w:p>
    <w:p w:rsidR="00715135" w:rsidRPr="00A75276" w:rsidRDefault="001A5167" w:rsidP="001A5167">
      <w:pPr>
        <w:pStyle w:val="Heading2"/>
        <w:rPr>
          <w:lang w:val="fr-FR"/>
        </w:rPr>
      </w:pPr>
      <w:r w:rsidRPr="00A75276">
        <w:rPr>
          <w:lang w:val="fr-FR"/>
        </w:rPr>
        <w:t>d)</w:t>
      </w:r>
      <w:r w:rsidRPr="00A75276">
        <w:rPr>
          <w:lang w:val="fr-FR"/>
        </w:rPr>
        <w:tab/>
      </w:r>
      <w:r w:rsidR="00EB0323" w:rsidRPr="00A75276">
        <w:rPr>
          <w:lang w:val="fr-FR"/>
        </w:rPr>
        <w:t>Méthodes de collecte du retour d</w:t>
      </w:r>
      <w:r w:rsidR="009C53EC" w:rsidRPr="00A75276">
        <w:rPr>
          <w:lang w:val="fr-FR"/>
        </w:rPr>
        <w:t>’</w:t>
      </w:r>
      <w:r w:rsidR="00EB0323" w:rsidRPr="00A75276">
        <w:rPr>
          <w:lang w:val="fr-FR"/>
        </w:rPr>
        <w:t>information des utilisateurs à l</w:t>
      </w:r>
      <w:r w:rsidR="009C53EC" w:rsidRPr="00A75276">
        <w:rPr>
          <w:lang w:val="fr-FR"/>
        </w:rPr>
        <w:t>’</w:t>
      </w:r>
      <w:r w:rsidR="00EB0323" w:rsidRPr="00A75276">
        <w:rPr>
          <w:lang w:val="fr-FR"/>
        </w:rPr>
        <w:t>OFFICE EUROPÉEN DES BREVETS</w:t>
      </w:r>
    </w:p>
    <w:p w:rsidR="00715135" w:rsidRPr="00A75276" w:rsidRDefault="00EB0323" w:rsidP="00EB0323">
      <w:pPr>
        <w:pStyle w:val="ONUMFS"/>
        <w:rPr>
          <w:lang w:val="fr-FR"/>
        </w:rPr>
      </w:pPr>
      <w:r w:rsidRPr="00A75276">
        <w:rPr>
          <w:lang w:val="fr-FR"/>
        </w:rPr>
        <w:t>Conformément à l</w:t>
      </w:r>
      <w:r w:rsidR="009C53EC" w:rsidRPr="00A75276">
        <w:rPr>
          <w:lang w:val="fr-FR"/>
        </w:rPr>
        <w:t>’</w:t>
      </w:r>
      <w:r w:rsidRPr="00A75276">
        <w:rPr>
          <w:lang w:val="fr-FR"/>
        </w:rPr>
        <w:t>accord auquel était parvenu le sous</w:t>
      </w:r>
      <w:r w:rsidR="00A16C85" w:rsidRPr="00A75276">
        <w:rPr>
          <w:lang w:val="fr-FR"/>
        </w:rPr>
        <w:noBreakHyphen/>
      </w:r>
      <w:r w:rsidRPr="00A75276">
        <w:rPr>
          <w:lang w:val="fr-FR"/>
        </w:rPr>
        <w:t>groupe à sa cinquième</w:t>
      </w:r>
      <w:r w:rsidR="00432F5D" w:rsidRPr="00A75276">
        <w:rPr>
          <w:lang w:val="fr-FR"/>
        </w:rPr>
        <w:t> </w:t>
      </w:r>
      <w:r w:rsidRPr="00A75276">
        <w:rPr>
          <w:lang w:val="fr-FR"/>
        </w:rPr>
        <w:t>session selon lequel les discussions entre les administrations sur les systèmes actuels de gestion de la qualité devraient désormais aller au</w:t>
      </w:r>
      <w:r w:rsidR="00A16C85" w:rsidRPr="00A75276">
        <w:rPr>
          <w:lang w:val="fr-FR"/>
        </w:rPr>
        <w:noBreakHyphen/>
      </w:r>
      <w:r w:rsidRPr="00A75276">
        <w:rPr>
          <w:lang w:val="fr-FR"/>
        </w:rPr>
        <w:t>delà du simple établissement de rapports sur leurs systèmes existants et se concentrer sur les activités spécifiques qu</w:t>
      </w:r>
      <w:r w:rsidR="009C53EC" w:rsidRPr="00A75276">
        <w:rPr>
          <w:lang w:val="fr-FR"/>
        </w:rPr>
        <w:t>’</w:t>
      </w:r>
      <w:r w:rsidRPr="00A75276">
        <w:rPr>
          <w:lang w:val="fr-FR"/>
        </w:rPr>
        <w:t>elles mènent en matière de gestion de la qualité en vue de tirer les enseignements de l</w:t>
      </w:r>
      <w:r w:rsidR="009C53EC" w:rsidRPr="00A75276">
        <w:rPr>
          <w:lang w:val="fr-FR"/>
        </w:rPr>
        <w:t>’</w:t>
      </w:r>
      <w:r w:rsidR="00BB056C" w:rsidRPr="00A75276">
        <w:rPr>
          <w:lang w:val="fr-FR"/>
        </w:rPr>
        <w:t>expérience</w:t>
      </w:r>
      <w:r w:rsidRPr="00A75276">
        <w:rPr>
          <w:lang w:val="fr-FR"/>
        </w:rPr>
        <w:t xml:space="preserve"> des unes et des autres, l</w:t>
      </w:r>
      <w:r w:rsidR="009C53EC" w:rsidRPr="00A75276">
        <w:rPr>
          <w:lang w:val="fr-FR"/>
        </w:rPr>
        <w:t>’</w:t>
      </w:r>
      <w:r w:rsidRPr="00A75276">
        <w:rPr>
          <w:lang w:val="fr-FR"/>
        </w:rPr>
        <w:t>Office européen des brevets (OEB) a présenté un exposé sur les méthodes de collecte du retour d</w:t>
      </w:r>
      <w:r w:rsidR="009C53EC" w:rsidRPr="00A75276">
        <w:rPr>
          <w:lang w:val="fr-FR"/>
        </w:rPr>
        <w:t>’</w:t>
      </w:r>
      <w:r w:rsidRPr="00A75276">
        <w:rPr>
          <w:lang w:val="fr-FR"/>
        </w:rPr>
        <w:t>information des utilisateurs qui faisaient partie intégrante du système de gestion de la qualité de l</w:t>
      </w:r>
      <w:r w:rsidR="009C53EC" w:rsidRPr="00A75276">
        <w:rPr>
          <w:lang w:val="fr-FR"/>
        </w:rPr>
        <w:t>’</w:t>
      </w:r>
      <w:r w:rsidR="00A16C85" w:rsidRPr="00A75276">
        <w:rPr>
          <w:lang w:val="fr-FR"/>
        </w:rPr>
        <w:t>OEB.  Le</w:t>
      </w:r>
      <w:r w:rsidRPr="00A75276">
        <w:rPr>
          <w:lang w:val="fr-FR"/>
        </w:rPr>
        <w:t>s commentaires des utilisateurs étaient recueillis tout au long de la pr</w:t>
      </w:r>
      <w:r w:rsidR="00BB056C" w:rsidRPr="00A75276">
        <w:rPr>
          <w:lang w:val="fr-FR"/>
        </w:rPr>
        <w:t>océdure (dépôt, recherche, exam</w:t>
      </w:r>
      <w:r w:rsidRPr="00A75276">
        <w:rPr>
          <w:lang w:val="fr-FR"/>
        </w:rPr>
        <w:t>en, délivrance et opposition) au moyen d</w:t>
      </w:r>
      <w:r w:rsidR="009C53EC" w:rsidRPr="00A75276">
        <w:rPr>
          <w:lang w:val="fr-FR"/>
        </w:rPr>
        <w:t>’</w:t>
      </w:r>
      <w:r w:rsidRPr="00A75276">
        <w:rPr>
          <w:lang w:val="fr-FR"/>
        </w:rPr>
        <w:t>enquêtes de satisfaction couvrant à la fois la recherche et l</w:t>
      </w:r>
      <w:r w:rsidR="009C53EC" w:rsidRPr="00A75276">
        <w:rPr>
          <w:lang w:val="fr-FR"/>
        </w:rPr>
        <w:t>’</w:t>
      </w:r>
      <w:r w:rsidRPr="00A75276">
        <w:rPr>
          <w:lang w:val="fr-FR"/>
        </w:rPr>
        <w:t>examen et l</w:t>
      </w:r>
      <w:r w:rsidR="009C53EC" w:rsidRPr="00A75276">
        <w:rPr>
          <w:lang w:val="fr-FR"/>
        </w:rPr>
        <w:t>’</w:t>
      </w:r>
      <w:r w:rsidRPr="00A75276">
        <w:rPr>
          <w:lang w:val="fr-FR"/>
        </w:rPr>
        <w:t xml:space="preserve">administration du brevet, de consultations des déposants, de réunions avec les </w:t>
      </w:r>
      <w:r w:rsidR="00BB056C" w:rsidRPr="00A75276">
        <w:rPr>
          <w:lang w:val="fr-FR"/>
        </w:rPr>
        <w:t>milieux</w:t>
      </w:r>
      <w:r w:rsidRPr="00A75276">
        <w:rPr>
          <w:lang w:val="fr-FR"/>
        </w:rPr>
        <w:t xml:space="preserve"> d</w:t>
      </w:r>
      <w:r w:rsidR="009C53EC" w:rsidRPr="00A75276">
        <w:rPr>
          <w:lang w:val="fr-FR"/>
        </w:rPr>
        <w:t>’</w:t>
      </w:r>
      <w:r w:rsidRPr="00A75276">
        <w:rPr>
          <w:lang w:val="fr-FR"/>
        </w:rPr>
        <w:t>affaires et les professionnels (</w:t>
      </w:r>
      <w:r w:rsidR="00E874A5" w:rsidRPr="00A75276">
        <w:rPr>
          <w:lang w:val="fr-FR"/>
        </w:rPr>
        <w:t>“</w:t>
      </w:r>
      <w:r w:rsidRPr="00A75276">
        <w:rPr>
          <w:lang w:val="fr-FR"/>
        </w:rPr>
        <w:t>partenariat pour la qualité</w:t>
      </w:r>
      <w:r w:rsidR="00E874A5" w:rsidRPr="00A75276">
        <w:rPr>
          <w:lang w:val="fr-FR"/>
        </w:rPr>
        <w:t>”</w:t>
      </w:r>
      <w:r w:rsidRPr="00A75276">
        <w:rPr>
          <w:lang w:val="fr-FR"/>
        </w:rPr>
        <w:t>) et de procédures détaillées de traitement des doléances.</w:t>
      </w:r>
    </w:p>
    <w:p w:rsidR="00715135" w:rsidRPr="00A75276" w:rsidRDefault="00EB0323" w:rsidP="00EB0323">
      <w:pPr>
        <w:pStyle w:val="ONUMFS"/>
        <w:rPr>
          <w:lang w:val="fr-FR"/>
        </w:rPr>
      </w:pPr>
      <w:r w:rsidRPr="00A75276">
        <w:rPr>
          <w:lang w:val="fr-FR"/>
        </w:rPr>
        <w:t>Les questions posées au cours des discussions qui ont suivi ont notamment porté sur des questions telles que la préférence de l</w:t>
      </w:r>
      <w:r w:rsidR="009C53EC" w:rsidRPr="00A75276">
        <w:rPr>
          <w:lang w:val="fr-FR"/>
        </w:rPr>
        <w:t>’</w:t>
      </w:r>
      <w:r w:rsidRPr="00A75276">
        <w:rPr>
          <w:lang w:val="fr-FR"/>
        </w:rPr>
        <w:t>OEB pour les entretiens par téléphone par rapport aux enquêtes écrites, la nature exacte des questions posées au cours de ces entretiens et leur durée moyenne, le rôle des examinateurs et celui des services centralisés de contrôle de qualité et de traitement des réclamations dans les procédures d</w:t>
      </w:r>
      <w:r w:rsidR="009C53EC" w:rsidRPr="00A75276">
        <w:rPr>
          <w:lang w:val="fr-FR"/>
        </w:rPr>
        <w:t>’</w:t>
      </w:r>
      <w:r w:rsidRPr="00A75276">
        <w:rPr>
          <w:lang w:val="fr-FR"/>
        </w:rPr>
        <w:t>instruction des plaintes, et le retour d</w:t>
      </w:r>
      <w:r w:rsidR="009C53EC" w:rsidRPr="00A75276">
        <w:rPr>
          <w:lang w:val="fr-FR"/>
        </w:rPr>
        <w:t>’</w:t>
      </w:r>
      <w:r w:rsidRPr="00A75276">
        <w:rPr>
          <w:lang w:val="fr-FR"/>
        </w:rPr>
        <w:t>utilisation des utilisateurs propre</w:t>
      </w:r>
      <w:r w:rsidR="002E5DCA" w:rsidRPr="00A75276">
        <w:rPr>
          <w:lang w:val="fr-FR"/>
        </w:rPr>
        <w:t xml:space="preserve"> au </w:t>
      </w:r>
      <w:r w:rsidR="00A16C85" w:rsidRPr="00A75276">
        <w:rPr>
          <w:lang w:val="fr-FR"/>
        </w:rPr>
        <w:t>PCT.  Pl</w:t>
      </w:r>
      <w:r w:rsidRPr="00A75276">
        <w:rPr>
          <w:lang w:val="fr-FR"/>
        </w:rPr>
        <w:t xml:space="preserve">usieurs administrations ont </w:t>
      </w:r>
      <w:r w:rsidR="00BB056C" w:rsidRPr="00A75276">
        <w:rPr>
          <w:lang w:val="fr-FR"/>
        </w:rPr>
        <w:t>saisi</w:t>
      </w:r>
      <w:r w:rsidRPr="00A75276">
        <w:rPr>
          <w:lang w:val="fr-FR"/>
        </w:rPr>
        <w:t xml:space="preserve"> cette occasion pour informer le sous</w:t>
      </w:r>
      <w:r w:rsidR="00A16C85" w:rsidRPr="00A75276">
        <w:rPr>
          <w:lang w:val="fr-FR"/>
        </w:rPr>
        <w:noBreakHyphen/>
      </w:r>
      <w:r w:rsidRPr="00A75276">
        <w:rPr>
          <w:lang w:val="fr-FR"/>
        </w:rPr>
        <w:t>groupe de leurs propres méthodes de collecte du retour d</w:t>
      </w:r>
      <w:r w:rsidR="009C53EC" w:rsidRPr="00A75276">
        <w:rPr>
          <w:lang w:val="fr-FR"/>
        </w:rPr>
        <w:t>’</w:t>
      </w:r>
      <w:r w:rsidRPr="00A75276">
        <w:rPr>
          <w:lang w:val="fr-FR"/>
        </w:rPr>
        <w:t>information des utilisateurs.</w:t>
      </w:r>
    </w:p>
    <w:p w:rsidR="00715135" w:rsidRPr="00A75276" w:rsidRDefault="007B783B" w:rsidP="0021308B">
      <w:pPr>
        <w:pStyle w:val="ONUMFS"/>
        <w:ind w:left="567"/>
        <w:rPr>
          <w:lang w:val="fr-FR"/>
        </w:rPr>
      </w:pPr>
      <w:r w:rsidRPr="00A75276">
        <w:rPr>
          <w:lang w:val="fr-FR"/>
        </w:rPr>
        <w:t>Le sous</w:t>
      </w:r>
      <w:r w:rsidR="00A16C85" w:rsidRPr="00A75276">
        <w:rPr>
          <w:lang w:val="fr-FR"/>
        </w:rPr>
        <w:noBreakHyphen/>
      </w:r>
      <w:r w:rsidRPr="00A75276">
        <w:rPr>
          <w:lang w:val="fr-FR"/>
        </w:rPr>
        <w:t>groupe a recommandé</w:t>
      </w:r>
    </w:p>
    <w:p w:rsidR="00715135" w:rsidRPr="00A75276" w:rsidRDefault="00EB0323" w:rsidP="00EB0323">
      <w:pPr>
        <w:pStyle w:val="ONUMFS"/>
        <w:numPr>
          <w:ilvl w:val="1"/>
          <w:numId w:val="6"/>
        </w:numPr>
        <w:ind w:left="1134"/>
        <w:rPr>
          <w:lang w:val="fr-FR"/>
        </w:rPr>
      </w:pPr>
      <w:r w:rsidRPr="00A75276">
        <w:rPr>
          <w:lang w:val="fr-FR"/>
        </w:rPr>
        <w:lastRenderedPageBreak/>
        <w:t>de poursuivre les discussions sur les méthodes de collecte du retour d</w:t>
      </w:r>
      <w:r w:rsidR="009C53EC" w:rsidRPr="00A75276">
        <w:rPr>
          <w:lang w:val="fr-FR"/>
        </w:rPr>
        <w:t>’</w:t>
      </w:r>
      <w:r w:rsidRPr="00A75276">
        <w:rPr>
          <w:lang w:val="fr-FR"/>
        </w:rPr>
        <w:t>information des utilisateurs sur le forum électronique du sous</w:t>
      </w:r>
      <w:r w:rsidR="00A16C85" w:rsidRPr="00A75276">
        <w:rPr>
          <w:lang w:val="fr-FR"/>
        </w:rPr>
        <w:noBreakHyphen/>
      </w:r>
      <w:r w:rsidRPr="00A75276">
        <w:rPr>
          <w:lang w:val="fr-FR"/>
        </w:rPr>
        <w:t>groupe;</w:t>
      </w:r>
    </w:p>
    <w:p w:rsidR="00715135" w:rsidRPr="00A75276" w:rsidRDefault="00EB0323" w:rsidP="00EB0323">
      <w:pPr>
        <w:pStyle w:val="ONUMFS"/>
        <w:numPr>
          <w:ilvl w:val="1"/>
          <w:numId w:val="6"/>
        </w:numPr>
        <w:ind w:left="1134"/>
        <w:rPr>
          <w:lang w:val="fr-FR"/>
        </w:rPr>
      </w:pPr>
      <w:r w:rsidRPr="00A75276">
        <w:rPr>
          <w:lang w:val="fr-FR"/>
        </w:rPr>
        <w:t>de prier le Secrétariat de créer un sujet spécifique sur le forum électronique et d</w:t>
      </w:r>
      <w:r w:rsidR="009C53EC" w:rsidRPr="00A75276">
        <w:rPr>
          <w:lang w:val="fr-FR"/>
        </w:rPr>
        <w:t>’</w:t>
      </w:r>
      <w:r w:rsidRPr="00A75276">
        <w:rPr>
          <w:lang w:val="fr-FR"/>
        </w:rPr>
        <w:t>inviter les administrations à publier leurs contributions sur ce sujet dans les délais impartis.</w:t>
      </w:r>
    </w:p>
    <w:p w:rsidR="00715135" w:rsidRPr="00A75276" w:rsidRDefault="001A5167" w:rsidP="001A5167">
      <w:pPr>
        <w:pStyle w:val="Heading2"/>
        <w:rPr>
          <w:lang w:val="fr-FR"/>
        </w:rPr>
      </w:pPr>
      <w:r w:rsidRPr="00A75276">
        <w:rPr>
          <w:lang w:val="fr-FR"/>
        </w:rPr>
        <w:t>e)</w:t>
      </w:r>
      <w:r w:rsidRPr="00A75276">
        <w:rPr>
          <w:lang w:val="fr-FR"/>
        </w:rPr>
        <w:tab/>
      </w:r>
      <w:r w:rsidR="00FB12CD" w:rsidRPr="00A75276">
        <w:rPr>
          <w:lang w:val="fr-FR"/>
        </w:rPr>
        <w:t>MéC</w:t>
      </w:r>
      <w:r w:rsidR="00EB0323" w:rsidRPr="00A75276">
        <w:rPr>
          <w:lang w:val="fr-FR"/>
        </w:rPr>
        <w:t>ANISMeS de retour d</w:t>
      </w:r>
      <w:r w:rsidR="009C53EC" w:rsidRPr="00A75276">
        <w:rPr>
          <w:lang w:val="fr-FR"/>
        </w:rPr>
        <w:t>’</w:t>
      </w:r>
      <w:r w:rsidR="00EB0323" w:rsidRPr="00A75276">
        <w:rPr>
          <w:lang w:val="fr-FR"/>
        </w:rPr>
        <w:t>information et d</w:t>
      </w:r>
      <w:r w:rsidR="009C53EC" w:rsidRPr="00A75276">
        <w:rPr>
          <w:lang w:val="fr-FR"/>
        </w:rPr>
        <w:t>’</w:t>
      </w:r>
      <w:r w:rsidR="00EB0323" w:rsidRPr="00A75276">
        <w:rPr>
          <w:lang w:val="fr-FR"/>
        </w:rPr>
        <w:t>analyse sur les rapports de rercherche internationale et les opinions écrites des administrations chargées de la recherche internationale</w:t>
      </w:r>
    </w:p>
    <w:p w:rsidR="00715135" w:rsidRPr="00A75276" w:rsidRDefault="0021308B" w:rsidP="0021308B">
      <w:pPr>
        <w:pStyle w:val="ONUMFS"/>
        <w:rPr>
          <w:lang w:val="fr-FR"/>
        </w:rPr>
      </w:pPr>
      <w:r w:rsidRPr="00A75276">
        <w:rPr>
          <w:lang w:val="fr-FR"/>
        </w:rPr>
        <w:t>L</w:t>
      </w:r>
      <w:r w:rsidR="009C53EC" w:rsidRPr="00A75276">
        <w:rPr>
          <w:lang w:val="fr-FR"/>
        </w:rPr>
        <w:t>’</w:t>
      </w:r>
      <w:r w:rsidRPr="00A75276">
        <w:rPr>
          <w:lang w:val="fr-FR"/>
        </w:rPr>
        <w:t>Office des brevets du Japon a présenté un résumé des résultats préliminaires d</w:t>
      </w:r>
      <w:r w:rsidR="009C53EC" w:rsidRPr="00A75276">
        <w:rPr>
          <w:lang w:val="fr-FR"/>
        </w:rPr>
        <w:t>’</w:t>
      </w:r>
      <w:r w:rsidRPr="00A75276">
        <w:rPr>
          <w:lang w:val="fr-FR"/>
        </w:rPr>
        <w:t>une étude pilote qu</w:t>
      </w:r>
      <w:r w:rsidR="009C53EC" w:rsidRPr="00A75276">
        <w:rPr>
          <w:lang w:val="fr-FR"/>
        </w:rPr>
        <w:t>’</w:t>
      </w:r>
      <w:r w:rsidRPr="00A75276">
        <w:rPr>
          <w:lang w:val="fr-FR"/>
        </w:rPr>
        <w:t>il a</w:t>
      </w:r>
      <w:r w:rsidR="006E3CBA" w:rsidRPr="00A75276">
        <w:rPr>
          <w:lang w:val="fr-FR"/>
        </w:rPr>
        <w:t>vait</w:t>
      </w:r>
      <w:r w:rsidRPr="00A75276">
        <w:rPr>
          <w:lang w:val="fr-FR"/>
        </w:rPr>
        <w:t xml:space="preserve"> menée conjointement avec l</w:t>
      </w:r>
      <w:r w:rsidR="009C53EC" w:rsidRPr="00A75276">
        <w:rPr>
          <w:lang w:val="fr-FR"/>
        </w:rPr>
        <w:t>’</w:t>
      </w:r>
      <w:r w:rsidRPr="00A75276">
        <w:rPr>
          <w:lang w:val="fr-FR"/>
        </w:rPr>
        <w:t>Office suédois des brevets et de l</w:t>
      </w:r>
      <w:r w:rsidR="009C53EC" w:rsidRPr="00A75276">
        <w:rPr>
          <w:lang w:val="fr-FR"/>
        </w:rPr>
        <w:t>’</w:t>
      </w:r>
      <w:r w:rsidRPr="00A75276">
        <w:rPr>
          <w:lang w:val="fr-FR"/>
        </w:rPr>
        <w:t>enregistrement en</w:t>
      </w:r>
      <w:r w:rsidR="00432F5D" w:rsidRPr="00A75276">
        <w:rPr>
          <w:lang w:val="fr-FR"/>
        </w:rPr>
        <w:t> </w:t>
      </w:r>
      <w:r w:rsidRPr="00A75276">
        <w:rPr>
          <w:lang w:val="fr-FR"/>
        </w:rPr>
        <w:t>2015.</w:t>
      </w:r>
      <w:r w:rsidR="001A5167" w:rsidRPr="00A75276">
        <w:rPr>
          <w:lang w:val="fr-FR"/>
        </w:rPr>
        <w:t xml:space="preserve">  </w:t>
      </w:r>
      <w:r w:rsidR="00EB0323" w:rsidRPr="00A75276">
        <w:rPr>
          <w:lang w:val="fr-FR"/>
        </w:rPr>
        <w:t>Cette étude portait sur un cadre de travail dans lequel, à la suite de la première action de l</w:t>
      </w:r>
      <w:r w:rsidR="009C53EC" w:rsidRPr="00A75276">
        <w:rPr>
          <w:lang w:val="fr-FR"/>
        </w:rPr>
        <w:t>’</w:t>
      </w:r>
      <w:r w:rsidR="00EB0323" w:rsidRPr="00A75276">
        <w:rPr>
          <w:lang w:val="fr-FR"/>
        </w:rPr>
        <w:t>office au cours de la phase nationale, l</w:t>
      </w:r>
      <w:r w:rsidR="009C53EC" w:rsidRPr="00A75276">
        <w:rPr>
          <w:lang w:val="fr-FR"/>
        </w:rPr>
        <w:t>’</w:t>
      </w:r>
      <w:r w:rsidR="00EB0323" w:rsidRPr="00A75276">
        <w:rPr>
          <w:lang w:val="fr-FR"/>
        </w:rPr>
        <w:t>office désigné ferait part de ses commentaires sur les opinions écrites et les rapports de recherche internationale établis par l</w:t>
      </w:r>
      <w:r w:rsidR="009C53EC" w:rsidRPr="00A75276">
        <w:rPr>
          <w:lang w:val="fr-FR"/>
        </w:rPr>
        <w:t>’</w:t>
      </w:r>
      <w:r w:rsidR="00EB0323" w:rsidRPr="00A75276">
        <w:rPr>
          <w:lang w:val="fr-FR"/>
        </w:rPr>
        <w:t>administration internationa</w:t>
      </w:r>
      <w:r w:rsidR="00A16C85" w:rsidRPr="00A75276">
        <w:rPr>
          <w:lang w:val="fr-FR"/>
        </w:rPr>
        <w:t>le.  Ce</w:t>
      </w:r>
      <w:r w:rsidRPr="00A75276">
        <w:rPr>
          <w:lang w:val="fr-FR"/>
        </w:rPr>
        <w:t>tte dernière analyserait et utiliserait alors ce retour d</w:t>
      </w:r>
      <w:r w:rsidR="009C53EC" w:rsidRPr="00A75276">
        <w:rPr>
          <w:lang w:val="fr-FR"/>
        </w:rPr>
        <w:t>’</w:t>
      </w:r>
      <w:r w:rsidRPr="00A75276">
        <w:rPr>
          <w:lang w:val="fr-FR"/>
        </w:rPr>
        <w:t>information et partagerait les résultats de son analyse avec l</w:t>
      </w:r>
      <w:r w:rsidR="009C53EC" w:rsidRPr="00A75276">
        <w:rPr>
          <w:lang w:val="fr-FR"/>
        </w:rPr>
        <w:t>’</w:t>
      </w:r>
      <w:r w:rsidRPr="00A75276">
        <w:rPr>
          <w:lang w:val="fr-FR"/>
        </w:rPr>
        <w:t>office désigné.</w:t>
      </w:r>
    </w:p>
    <w:p w:rsidR="00715135" w:rsidRPr="00A75276" w:rsidRDefault="00EB0323" w:rsidP="00EB0323">
      <w:pPr>
        <w:pStyle w:val="ONUMFS"/>
        <w:rPr>
          <w:lang w:val="fr-FR"/>
        </w:rPr>
      </w:pPr>
      <w:r w:rsidRPr="00A75276">
        <w:rPr>
          <w:lang w:val="fr-FR"/>
        </w:rPr>
        <w:t>Sur la base de l</w:t>
      </w:r>
      <w:r w:rsidR="009C53EC" w:rsidRPr="00A75276">
        <w:rPr>
          <w:lang w:val="fr-FR"/>
        </w:rPr>
        <w:t>’</w:t>
      </w:r>
      <w:r w:rsidRPr="00A75276">
        <w:rPr>
          <w:lang w:val="fr-FR"/>
        </w:rPr>
        <w:t>étude pilote antérieure menée en</w:t>
      </w:r>
      <w:r w:rsidR="00432F5D" w:rsidRPr="00A75276">
        <w:rPr>
          <w:lang w:val="fr-FR"/>
        </w:rPr>
        <w:t> </w:t>
      </w:r>
      <w:r w:rsidRPr="00A75276">
        <w:rPr>
          <w:lang w:val="fr-FR"/>
        </w:rPr>
        <w:t>2014, les conclusions avaient montré que, grâce aux améliorations apportées au formulaire normalisé de retour d</w:t>
      </w:r>
      <w:r w:rsidR="009C53EC" w:rsidRPr="00A75276">
        <w:rPr>
          <w:lang w:val="fr-FR"/>
        </w:rPr>
        <w:t>’</w:t>
      </w:r>
      <w:r w:rsidRPr="00A75276">
        <w:rPr>
          <w:lang w:val="fr-FR"/>
        </w:rPr>
        <w:t>information utilisé pour l</w:t>
      </w:r>
      <w:r w:rsidR="009C53EC" w:rsidRPr="00A75276">
        <w:rPr>
          <w:lang w:val="fr-FR"/>
        </w:rPr>
        <w:t>’</w:t>
      </w:r>
      <w:r w:rsidRPr="00A75276">
        <w:rPr>
          <w:lang w:val="fr-FR"/>
        </w:rPr>
        <w:t>étude pilote de</w:t>
      </w:r>
      <w:r w:rsidR="00432F5D" w:rsidRPr="00A75276">
        <w:rPr>
          <w:lang w:val="fr-FR"/>
        </w:rPr>
        <w:t> </w:t>
      </w:r>
      <w:r w:rsidRPr="00A75276">
        <w:rPr>
          <w:lang w:val="fr-FR"/>
        </w:rPr>
        <w:t>2015, il était facile de déterminer les cas dans lesquels il n</w:t>
      </w:r>
      <w:r w:rsidR="009C53EC" w:rsidRPr="00A75276">
        <w:rPr>
          <w:lang w:val="fr-FR"/>
        </w:rPr>
        <w:t>’</w:t>
      </w:r>
      <w:r w:rsidRPr="00A75276">
        <w:rPr>
          <w:lang w:val="fr-FR"/>
        </w:rPr>
        <w:t xml:space="preserve">y avait pas de divergence entre les résultats de la recherche et de </w:t>
      </w:r>
      <w:proofErr w:type="gramStart"/>
      <w:r w:rsidRPr="00A75276">
        <w:rPr>
          <w:lang w:val="fr-FR"/>
        </w:rPr>
        <w:t>l</w:t>
      </w:r>
      <w:r w:rsidR="009C53EC" w:rsidRPr="00A75276">
        <w:rPr>
          <w:lang w:val="fr-FR"/>
        </w:rPr>
        <w:t>’</w:t>
      </w:r>
      <w:r w:rsidRPr="00A75276">
        <w:rPr>
          <w:lang w:val="fr-FR"/>
        </w:rPr>
        <w:t>examen menés</w:t>
      </w:r>
      <w:proofErr w:type="gramEnd"/>
      <w:r w:rsidRPr="00A75276">
        <w:rPr>
          <w:lang w:val="fr-FR"/>
        </w:rPr>
        <w:t xml:space="preserve"> par l</w:t>
      </w:r>
      <w:r w:rsidR="009C53EC" w:rsidRPr="00A75276">
        <w:rPr>
          <w:lang w:val="fr-FR"/>
        </w:rPr>
        <w:t>’</w:t>
      </w:r>
      <w:r w:rsidRPr="00A75276">
        <w:rPr>
          <w:lang w:val="fr-FR"/>
        </w:rPr>
        <w:t>administration et ceux de l</w:t>
      </w:r>
      <w:r w:rsidR="009C53EC" w:rsidRPr="00A75276">
        <w:rPr>
          <w:lang w:val="fr-FR"/>
        </w:rPr>
        <w:t>’</w:t>
      </w:r>
      <w:r w:rsidRPr="00A75276">
        <w:rPr>
          <w:lang w:val="fr-FR"/>
        </w:rPr>
        <w:t>office désigné ainsi que les cas dans lesquels il existait des divergenc</w:t>
      </w:r>
      <w:r w:rsidR="00A16C85" w:rsidRPr="00A75276">
        <w:rPr>
          <w:lang w:val="fr-FR"/>
        </w:rPr>
        <w:t>es.  De</w:t>
      </w:r>
      <w:r w:rsidRPr="00A75276">
        <w:rPr>
          <w:lang w:val="fr-FR"/>
        </w:rPr>
        <w:t xml:space="preserve"> même, il avait été possible d</w:t>
      </w:r>
      <w:r w:rsidR="009C53EC" w:rsidRPr="00A75276">
        <w:rPr>
          <w:lang w:val="fr-FR"/>
        </w:rPr>
        <w:t>’</w:t>
      </w:r>
      <w:r w:rsidRPr="00A75276">
        <w:rPr>
          <w:lang w:val="fr-FR"/>
        </w:rPr>
        <w:t>identifier les raisons pour lesquelles certains documents cités dans le rapport de recherche internationale n</w:t>
      </w:r>
      <w:r w:rsidR="009C53EC" w:rsidRPr="00A75276">
        <w:rPr>
          <w:lang w:val="fr-FR"/>
        </w:rPr>
        <w:t>’</w:t>
      </w:r>
      <w:r w:rsidRPr="00A75276">
        <w:rPr>
          <w:lang w:val="fr-FR"/>
        </w:rPr>
        <w:t>avaient pas été cités par l</w:t>
      </w:r>
      <w:r w:rsidR="009C53EC" w:rsidRPr="00A75276">
        <w:rPr>
          <w:lang w:val="fr-FR"/>
        </w:rPr>
        <w:t>’</w:t>
      </w:r>
      <w:r w:rsidRPr="00A75276">
        <w:rPr>
          <w:lang w:val="fr-FR"/>
        </w:rPr>
        <w:t>office désig</w:t>
      </w:r>
      <w:r w:rsidR="00A16C85" w:rsidRPr="00A75276">
        <w:rPr>
          <w:lang w:val="fr-FR"/>
        </w:rPr>
        <w:t>né.  To</w:t>
      </w:r>
      <w:r w:rsidRPr="00A75276">
        <w:rPr>
          <w:lang w:val="fr-FR"/>
        </w:rPr>
        <w:t>utefois, malgré les améliorations apportées au formulaire, des préoccupations demeuraient quant à la charge de travail additionnelle pour les examinateurs participant à l</w:t>
      </w:r>
      <w:r w:rsidR="009C53EC" w:rsidRPr="00A75276">
        <w:rPr>
          <w:lang w:val="fr-FR"/>
        </w:rPr>
        <w:t>’</w:t>
      </w:r>
      <w:r w:rsidRPr="00A75276">
        <w:rPr>
          <w:lang w:val="fr-FR"/>
        </w:rPr>
        <w:t>étude pilote dans la mesure où, par rapport à l</w:t>
      </w:r>
      <w:r w:rsidR="009C53EC" w:rsidRPr="00A75276">
        <w:rPr>
          <w:lang w:val="fr-FR"/>
        </w:rPr>
        <w:t>’</w:t>
      </w:r>
      <w:r w:rsidRPr="00A75276">
        <w:rPr>
          <w:lang w:val="fr-FR"/>
        </w:rPr>
        <w:t>étude pilote de</w:t>
      </w:r>
      <w:r w:rsidR="00432F5D" w:rsidRPr="00A75276">
        <w:rPr>
          <w:lang w:val="fr-FR"/>
        </w:rPr>
        <w:t> </w:t>
      </w:r>
      <w:r w:rsidRPr="00A75276">
        <w:rPr>
          <w:lang w:val="fr-FR"/>
        </w:rPr>
        <w:t>2014, il n</w:t>
      </w:r>
      <w:r w:rsidR="009C53EC" w:rsidRPr="00A75276">
        <w:rPr>
          <w:lang w:val="fr-FR"/>
        </w:rPr>
        <w:t>’</w:t>
      </w:r>
      <w:r w:rsidRPr="00A75276">
        <w:rPr>
          <w:lang w:val="fr-FR"/>
        </w:rPr>
        <w:t>avait été possible de ramener le temps nécessaire pour remplir le formulaire de retour d</w:t>
      </w:r>
      <w:r w:rsidR="009C53EC" w:rsidRPr="00A75276">
        <w:rPr>
          <w:lang w:val="fr-FR"/>
        </w:rPr>
        <w:t>’</w:t>
      </w:r>
      <w:r w:rsidRPr="00A75276">
        <w:rPr>
          <w:lang w:val="fr-FR"/>
        </w:rPr>
        <w:t>information que de 60 mi</w:t>
      </w:r>
      <w:r w:rsidR="003C60CE" w:rsidRPr="00A75276">
        <w:rPr>
          <w:lang w:val="fr-FR"/>
        </w:rPr>
        <w:t>nutes à 54 </w:t>
      </w:r>
      <w:r w:rsidRPr="00A75276">
        <w:rPr>
          <w:lang w:val="fr-FR"/>
        </w:rPr>
        <w:t>minutes en moyenne en cas de divergen</w:t>
      </w:r>
      <w:r w:rsidR="00A16C85" w:rsidRPr="00A75276">
        <w:rPr>
          <w:lang w:val="fr-FR"/>
        </w:rPr>
        <w:t>ce.  Gl</w:t>
      </w:r>
      <w:r w:rsidRPr="00A75276">
        <w:rPr>
          <w:lang w:val="fr-FR"/>
        </w:rPr>
        <w:t>obalement, l</w:t>
      </w:r>
      <w:r w:rsidR="009C53EC" w:rsidRPr="00A75276">
        <w:rPr>
          <w:lang w:val="fr-FR"/>
        </w:rPr>
        <w:t>’</w:t>
      </w:r>
      <w:r w:rsidRPr="00A75276">
        <w:rPr>
          <w:lang w:val="fr-FR"/>
        </w:rPr>
        <w:t>étude pilote avait néanmoins confirmé l</w:t>
      </w:r>
      <w:r w:rsidR="009C53EC" w:rsidRPr="00A75276">
        <w:rPr>
          <w:lang w:val="fr-FR"/>
        </w:rPr>
        <w:t>’</w:t>
      </w:r>
      <w:r w:rsidRPr="00A75276">
        <w:rPr>
          <w:lang w:val="fr-FR"/>
        </w:rPr>
        <w:t>importance et l</w:t>
      </w:r>
      <w:r w:rsidR="009C53EC" w:rsidRPr="00A75276">
        <w:rPr>
          <w:lang w:val="fr-FR"/>
        </w:rPr>
        <w:t>’</w:t>
      </w:r>
      <w:r w:rsidRPr="00A75276">
        <w:rPr>
          <w:lang w:val="fr-FR"/>
        </w:rPr>
        <w:t>efficacité des systèmes de retour d</w:t>
      </w:r>
      <w:r w:rsidR="009C53EC" w:rsidRPr="00A75276">
        <w:rPr>
          <w:lang w:val="fr-FR"/>
        </w:rPr>
        <w:t>’</w:t>
      </w:r>
      <w:r w:rsidRPr="00A75276">
        <w:rPr>
          <w:lang w:val="fr-FR"/>
        </w:rPr>
        <w:t>information pour la poursuite de l</w:t>
      </w:r>
      <w:r w:rsidR="009C53EC" w:rsidRPr="00A75276">
        <w:rPr>
          <w:lang w:val="fr-FR"/>
        </w:rPr>
        <w:t>’</w:t>
      </w:r>
      <w:r w:rsidRPr="00A75276">
        <w:rPr>
          <w:lang w:val="fr-FR"/>
        </w:rPr>
        <w:t>amélioration de la qualité des produits de la phase internationa</w:t>
      </w:r>
      <w:r w:rsidR="00A16C85" w:rsidRPr="00A75276">
        <w:rPr>
          <w:lang w:val="fr-FR"/>
        </w:rPr>
        <w:t>le.  Po</w:t>
      </w:r>
      <w:r w:rsidRPr="00A75276">
        <w:rPr>
          <w:lang w:val="fr-FR"/>
        </w:rPr>
        <w:t xml:space="preserve">ur approfondir ce concept, la participation </w:t>
      </w:r>
      <w:r w:rsidR="006E3CBA" w:rsidRPr="00A75276">
        <w:rPr>
          <w:lang w:val="fr-FR"/>
        </w:rPr>
        <w:t>d</w:t>
      </w:r>
      <w:r w:rsidR="009C53EC" w:rsidRPr="00A75276">
        <w:rPr>
          <w:lang w:val="fr-FR"/>
        </w:rPr>
        <w:t>’</w:t>
      </w:r>
      <w:r w:rsidR="006E3CBA" w:rsidRPr="00A75276">
        <w:rPr>
          <w:lang w:val="fr-FR"/>
        </w:rPr>
        <w:t>un plus grand nombre d</w:t>
      </w:r>
      <w:r w:rsidR="009C53EC" w:rsidRPr="00A75276">
        <w:rPr>
          <w:lang w:val="fr-FR"/>
        </w:rPr>
        <w:t>’</w:t>
      </w:r>
      <w:r w:rsidR="006E3CBA" w:rsidRPr="00A75276">
        <w:rPr>
          <w:lang w:val="fr-FR"/>
        </w:rPr>
        <w:t>offices en leurs qualités d</w:t>
      </w:r>
      <w:r w:rsidR="009C53EC" w:rsidRPr="00A75276">
        <w:rPr>
          <w:lang w:val="fr-FR"/>
        </w:rPr>
        <w:t>’</w:t>
      </w:r>
      <w:r w:rsidR="006E3CBA" w:rsidRPr="00A75276">
        <w:rPr>
          <w:lang w:val="fr-FR"/>
        </w:rPr>
        <w:t>administrations internationales et d</w:t>
      </w:r>
      <w:r w:rsidR="009C53EC" w:rsidRPr="00A75276">
        <w:rPr>
          <w:lang w:val="fr-FR"/>
        </w:rPr>
        <w:t>’</w:t>
      </w:r>
      <w:r w:rsidR="006E3CBA" w:rsidRPr="00A75276">
        <w:rPr>
          <w:lang w:val="fr-FR"/>
        </w:rPr>
        <w:t xml:space="preserve">offices désignés </w:t>
      </w:r>
      <w:r w:rsidRPr="00A75276">
        <w:rPr>
          <w:lang w:val="fr-FR"/>
        </w:rPr>
        <w:t xml:space="preserve">à une étude pilote de plus </w:t>
      </w:r>
      <w:r w:rsidR="006E3CBA" w:rsidRPr="00A75276">
        <w:rPr>
          <w:lang w:val="fr-FR"/>
        </w:rPr>
        <w:t xml:space="preserve">large </w:t>
      </w:r>
      <w:r w:rsidRPr="00A75276">
        <w:rPr>
          <w:lang w:val="fr-FR"/>
        </w:rPr>
        <w:t>portée serait nécessaire.</w:t>
      </w:r>
    </w:p>
    <w:p w:rsidR="00715135" w:rsidRPr="00A75276" w:rsidRDefault="00EB0323" w:rsidP="00EB0323">
      <w:pPr>
        <w:pStyle w:val="ONUMFS"/>
        <w:rPr>
          <w:lang w:val="fr-FR"/>
        </w:rPr>
      </w:pPr>
      <w:r w:rsidRPr="00A75276">
        <w:rPr>
          <w:lang w:val="fr-FR"/>
        </w:rPr>
        <w:t>Une administration a déclaré qu</w:t>
      </w:r>
      <w:r w:rsidR="009C53EC" w:rsidRPr="00A75276">
        <w:rPr>
          <w:lang w:val="fr-FR"/>
        </w:rPr>
        <w:t>’</w:t>
      </w:r>
      <w:r w:rsidRPr="00A75276">
        <w:rPr>
          <w:lang w:val="fr-FR"/>
        </w:rPr>
        <w:t>elle attendait avec intérêt de recevoir l</w:t>
      </w:r>
      <w:r w:rsidR="009C53EC" w:rsidRPr="00A75276">
        <w:rPr>
          <w:lang w:val="fr-FR"/>
        </w:rPr>
        <w:t>’</w:t>
      </w:r>
      <w:r w:rsidRPr="00A75276">
        <w:rPr>
          <w:lang w:val="fr-FR"/>
        </w:rPr>
        <w:t>analyse plus détaillée de l</w:t>
      </w:r>
      <w:r w:rsidR="009C53EC" w:rsidRPr="00A75276">
        <w:rPr>
          <w:lang w:val="fr-FR"/>
        </w:rPr>
        <w:t>’</w:t>
      </w:r>
      <w:r w:rsidRPr="00A75276">
        <w:rPr>
          <w:lang w:val="fr-FR"/>
        </w:rPr>
        <w:t>étude pilote que l</w:t>
      </w:r>
      <w:r w:rsidR="009C53EC" w:rsidRPr="00A75276">
        <w:rPr>
          <w:lang w:val="fr-FR"/>
        </w:rPr>
        <w:t>’</w:t>
      </w:r>
      <w:r w:rsidRPr="00A75276">
        <w:rPr>
          <w:lang w:val="fr-FR"/>
        </w:rPr>
        <w:t>Office des brevets du Japon et l</w:t>
      </w:r>
      <w:r w:rsidR="009C53EC" w:rsidRPr="00A75276">
        <w:rPr>
          <w:lang w:val="fr-FR"/>
        </w:rPr>
        <w:t>’</w:t>
      </w:r>
      <w:r w:rsidRPr="00A75276">
        <w:rPr>
          <w:lang w:val="fr-FR"/>
        </w:rPr>
        <w:t>Office suédois des brevets et de l</w:t>
      </w:r>
      <w:r w:rsidR="009C53EC" w:rsidRPr="00A75276">
        <w:rPr>
          <w:lang w:val="fr-FR"/>
        </w:rPr>
        <w:t>’</w:t>
      </w:r>
      <w:r w:rsidRPr="00A75276">
        <w:rPr>
          <w:lang w:val="fr-FR"/>
        </w:rPr>
        <w:t>enregistrement envisageaient d</w:t>
      </w:r>
      <w:r w:rsidR="009C53EC" w:rsidRPr="00A75276">
        <w:rPr>
          <w:lang w:val="fr-FR"/>
        </w:rPr>
        <w:t>’</w:t>
      </w:r>
      <w:r w:rsidRPr="00A75276">
        <w:rPr>
          <w:lang w:val="fr-FR"/>
        </w:rPr>
        <w:t>effectu</w:t>
      </w:r>
      <w:r w:rsidR="00A16C85" w:rsidRPr="00A75276">
        <w:rPr>
          <w:lang w:val="fr-FR"/>
        </w:rPr>
        <w:t>er.  Un</w:t>
      </w:r>
      <w:r w:rsidRPr="00A75276">
        <w:rPr>
          <w:lang w:val="fr-FR"/>
        </w:rPr>
        <w:t>e autre administration a suggéré d</w:t>
      </w:r>
      <w:r w:rsidR="009C53EC" w:rsidRPr="00A75276">
        <w:rPr>
          <w:lang w:val="fr-FR"/>
        </w:rPr>
        <w:t>’</w:t>
      </w:r>
      <w:r w:rsidRPr="00A75276">
        <w:rPr>
          <w:lang w:val="fr-FR"/>
        </w:rPr>
        <w:t xml:space="preserve">envisager la </w:t>
      </w:r>
      <w:r w:rsidR="00BB056C" w:rsidRPr="00A75276">
        <w:rPr>
          <w:lang w:val="fr-FR"/>
        </w:rPr>
        <w:t>possibilité</w:t>
      </w:r>
      <w:r w:rsidRPr="00A75276">
        <w:rPr>
          <w:lang w:val="fr-FR"/>
        </w:rPr>
        <w:t xml:space="preserve"> de recourir au personnel administratif pour alléger la tâche des examinateurs s</w:t>
      </w:r>
      <w:r w:rsidR="009C53EC" w:rsidRPr="00A75276">
        <w:rPr>
          <w:lang w:val="fr-FR"/>
        </w:rPr>
        <w:t>’</w:t>
      </w:r>
      <w:r w:rsidRPr="00A75276">
        <w:rPr>
          <w:lang w:val="fr-FR"/>
        </w:rPr>
        <w:t>agissant de remplir les formulaires de retour d</w:t>
      </w:r>
      <w:r w:rsidR="009C53EC" w:rsidRPr="00A75276">
        <w:rPr>
          <w:lang w:val="fr-FR"/>
        </w:rPr>
        <w:t>’</w:t>
      </w:r>
      <w:r w:rsidRPr="00A75276">
        <w:rPr>
          <w:lang w:val="fr-FR"/>
        </w:rPr>
        <w:t>information.</w:t>
      </w:r>
    </w:p>
    <w:p w:rsidR="00715135" w:rsidRPr="00A75276" w:rsidRDefault="00EB0323" w:rsidP="00EB0323">
      <w:pPr>
        <w:pStyle w:val="ONUMFS"/>
        <w:ind w:left="567"/>
        <w:rPr>
          <w:lang w:val="fr-FR"/>
        </w:rPr>
      </w:pPr>
      <w:r w:rsidRPr="00A75276">
        <w:rPr>
          <w:lang w:val="fr-FR"/>
        </w:rPr>
        <w:t>Le sous</w:t>
      </w:r>
      <w:r w:rsidR="00A16C85" w:rsidRPr="00A75276">
        <w:rPr>
          <w:lang w:val="fr-FR"/>
        </w:rPr>
        <w:noBreakHyphen/>
      </w:r>
      <w:r w:rsidRPr="00A75276">
        <w:rPr>
          <w:lang w:val="fr-FR"/>
        </w:rPr>
        <w:t>groupe a accepté l</w:t>
      </w:r>
      <w:r w:rsidR="009C53EC" w:rsidRPr="00A75276">
        <w:rPr>
          <w:lang w:val="fr-FR"/>
        </w:rPr>
        <w:t>’</w:t>
      </w:r>
      <w:r w:rsidRPr="00A75276">
        <w:rPr>
          <w:lang w:val="fr-FR"/>
        </w:rPr>
        <w:t>offre de l</w:t>
      </w:r>
      <w:r w:rsidR="009C53EC" w:rsidRPr="00A75276">
        <w:rPr>
          <w:lang w:val="fr-FR"/>
        </w:rPr>
        <w:t>’</w:t>
      </w:r>
      <w:r w:rsidRPr="00A75276">
        <w:rPr>
          <w:lang w:val="fr-FR"/>
        </w:rPr>
        <w:t>Office des brevets du Japon de rendre compte, sur le forum électronique ainsi qu</w:t>
      </w:r>
      <w:r w:rsidR="009C53EC" w:rsidRPr="00A75276">
        <w:rPr>
          <w:lang w:val="fr-FR"/>
        </w:rPr>
        <w:t>’</w:t>
      </w:r>
      <w:r w:rsidRPr="00A75276">
        <w:rPr>
          <w:lang w:val="fr-FR"/>
        </w:rPr>
        <w:t>à la prochaine session du sous</w:t>
      </w:r>
      <w:r w:rsidR="00A16C85" w:rsidRPr="00A75276">
        <w:rPr>
          <w:lang w:val="fr-FR"/>
        </w:rPr>
        <w:noBreakHyphen/>
      </w:r>
      <w:r w:rsidRPr="00A75276">
        <w:rPr>
          <w:lang w:val="fr-FR"/>
        </w:rPr>
        <w:t>groupe, des possibilités de développer le concept de retour d</w:t>
      </w:r>
      <w:r w:rsidR="009C53EC" w:rsidRPr="00A75276">
        <w:rPr>
          <w:lang w:val="fr-FR"/>
        </w:rPr>
        <w:t>’</w:t>
      </w:r>
      <w:r w:rsidRPr="00A75276">
        <w:rPr>
          <w:lang w:val="fr-FR"/>
        </w:rPr>
        <w:t>information.</w:t>
      </w:r>
    </w:p>
    <w:p w:rsidR="00715135" w:rsidRPr="00A75276" w:rsidRDefault="00EB0323" w:rsidP="00EB0323">
      <w:pPr>
        <w:pStyle w:val="ONUMFS"/>
        <w:ind w:left="567"/>
        <w:rPr>
          <w:lang w:val="fr-FR"/>
        </w:rPr>
      </w:pPr>
      <w:r w:rsidRPr="00A75276">
        <w:rPr>
          <w:lang w:val="fr-FR"/>
        </w:rPr>
        <w:t>Le sous</w:t>
      </w:r>
      <w:r w:rsidR="00A16C85" w:rsidRPr="00A75276">
        <w:rPr>
          <w:lang w:val="fr-FR"/>
        </w:rPr>
        <w:noBreakHyphen/>
      </w:r>
      <w:r w:rsidRPr="00A75276">
        <w:rPr>
          <w:lang w:val="fr-FR"/>
        </w:rPr>
        <w:t>groupe, compte tenu de la nécessité d</w:t>
      </w:r>
      <w:r w:rsidR="009C53EC" w:rsidRPr="00A75276">
        <w:rPr>
          <w:lang w:val="fr-FR"/>
        </w:rPr>
        <w:t>’</w:t>
      </w:r>
      <w:r w:rsidRPr="00A75276">
        <w:rPr>
          <w:lang w:val="fr-FR"/>
        </w:rPr>
        <w:t>associer d</w:t>
      </w:r>
      <w:r w:rsidR="009C53EC" w:rsidRPr="00A75276">
        <w:rPr>
          <w:lang w:val="fr-FR"/>
        </w:rPr>
        <w:t>’</w:t>
      </w:r>
      <w:r w:rsidRPr="00A75276">
        <w:rPr>
          <w:lang w:val="fr-FR"/>
        </w:rPr>
        <w:t>autres offices en leurs qualités d</w:t>
      </w:r>
      <w:r w:rsidR="009C53EC" w:rsidRPr="00A75276">
        <w:rPr>
          <w:lang w:val="fr-FR"/>
        </w:rPr>
        <w:t>’</w:t>
      </w:r>
      <w:r w:rsidRPr="00A75276">
        <w:rPr>
          <w:lang w:val="fr-FR"/>
        </w:rPr>
        <w:t>administrations internationales et d</w:t>
      </w:r>
      <w:r w:rsidR="009C53EC" w:rsidRPr="00A75276">
        <w:rPr>
          <w:lang w:val="fr-FR"/>
        </w:rPr>
        <w:t>’</w:t>
      </w:r>
      <w:r w:rsidRPr="00A75276">
        <w:rPr>
          <w:lang w:val="fr-FR"/>
        </w:rPr>
        <w:t>offices désignés pour poursuivre le développement du concept, a invité les offices intéressés à se mettre en rapport avec l</w:t>
      </w:r>
      <w:r w:rsidR="009C53EC" w:rsidRPr="00A75276">
        <w:rPr>
          <w:lang w:val="fr-FR"/>
        </w:rPr>
        <w:t>’</w:t>
      </w:r>
      <w:r w:rsidRPr="00A75276">
        <w:rPr>
          <w:lang w:val="fr-FR"/>
        </w:rPr>
        <w:t>Office des brevets du Japon.</w:t>
      </w:r>
    </w:p>
    <w:p w:rsidR="00715135" w:rsidRPr="00A75276" w:rsidRDefault="001A5167" w:rsidP="001A5167">
      <w:pPr>
        <w:pStyle w:val="Heading2"/>
        <w:rPr>
          <w:lang w:val="fr-FR"/>
        </w:rPr>
      </w:pPr>
      <w:r w:rsidRPr="00A75276">
        <w:rPr>
          <w:lang w:val="fr-FR"/>
        </w:rPr>
        <w:t>f)</w:t>
      </w:r>
      <w:r w:rsidRPr="00A75276">
        <w:rPr>
          <w:lang w:val="fr-FR"/>
        </w:rPr>
        <w:tab/>
      </w:r>
      <w:r w:rsidR="006E3CBA" w:rsidRPr="00A75276">
        <w:rPr>
          <w:lang w:val="fr-FR"/>
        </w:rPr>
        <w:t>indicateurs</w:t>
      </w:r>
      <w:r w:rsidR="00EB0323" w:rsidRPr="00A75276">
        <w:rPr>
          <w:lang w:val="fr-FR"/>
        </w:rPr>
        <w:t xml:space="preserve"> de qualité à l</w:t>
      </w:r>
      <w:r w:rsidR="009C53EC" w:rsidRPr="00A75276">
        <w:rPr>
          <w:lang w:val="fr-FR"/>
        </w:rPr>
        <w:t>’</w:t>
      </w:r>
      <w:r w:rsidR="00EB0323" w:rsidRPr="00A75276">
        <w:rPr>
          <w:lang w:val="fr-FR"/>
        </w:rPr>
        <w:t>OFFICE EUROPÉEN DES BREVETS</w:t>
      </w:r>
    </w:p>
    <w:p w:rsidR="00715135" w:rsidRPr="00A75276" w:rsidRDefault="00EB0323" w:rsidP="00EB0323">
      <w:pPr>
        <w:pStyle w:val="ONUMFS"/>
        <w:rPr>
          <w:lang w:val="fr-FR"/>
        </w:rPr>
      </w:pPr>
      <w:r w:rsidRPr="00A75276">
        <w:rPr>
          <w:lang w:val="fr-FR"/>
        </w:rPr>
        <w:t>Conformément à l</w:t>
      </w:r>
      <w:r w:rsidR="009C53EC" w:rsidRPr="00A75276">
        <w:rPr>
          <w:lang w:val="fr-FR"/>
        </w:rPr>
        <w:t>’</w:t>
      </w:r>
      <w:r w:rsidRPr="00A75276">
        <w:rPr>
          <w:lang w:val="fr-FR"/>
        </w:rPr>
        <w:t>accord auquel était parvenu le sous</w:t>
      </w:r>
      <w:r w:rsidR="00A16C85" w:rsidRPr="00A75276">
        <w:rPr>
          <w:lang w:val="fr-FR"/>
        </w:rPr>
        <w:noBreakHyphen/>
      </w:r>
      <w:r w:rsidRPr="00A75276">
        <w:rPr>
          <w:lang w:val="fr-FR"/>
        </w:rPr>
        <w:t>groupe à sa cinquième</w:t>
      </w:r>
      <w:r w:rsidR="00432F5D" w:rsidRPr="00A75276">
        <w:rPr>
          <w:lang w:val="fr-FR"/>
        </w:rPr>
        <w:t> </w:t>
      </w:r>
      <w:r w:rsidRPr="00A75276">
        <w:rPr>
          <w:lang w:val="fr-FR"/>
        </w:rPr>
        <w:t>session selon lequel les discussions entre les administrations sur les systèmes actuels de gestion de la qualité devraient désormais aller au</w:t>
      </w:r>
      <w:r w:rsidR="00A16C85" w:rsidRPr="00A75276">
        <w:rPr>
          <w:lang w:val="fr-FR"/>
        </w:rPr>
        <w:noBreakHyphen/>
      </w:r>
      <w:r w:rsidRPr="00A75276">
        <w:rPr>
          <w:lang w:val="fr-FR"/>
        </w:rPr>
        <w:t>delà du simple établissement de rapports sur leurs systèmes existants et se concentrer sur les activités spécifiques qu</w:t>
      </w:r>
      <w:r w:rsidR="009C53EC" w:rsidRPr="00A75276">
        <w:rPr>
          <w:lang w:val="fr-FR"/>
        </w:rPr>
        <w:t>’</w:t>
      </w:r>
      <w:r w:rsidRPr="00A75276">
        <w:rPr>
          <w:lang w:val="fr-FR"/>
        </w:rPr>
        <w:t>elles mènent en matière de gestion de la qualité en vue de tirer les enseignements de l</w:t>
      </w:r>
      <w:r w:rsidR="009C53EC" w:rsidRPr="00A75276">
        <w:rPr>
          <w:lang w:val="fr-FR"/>
        </w:rPr>
        <w:t>’</w:t>
      </w:r>
      <w:r w:rsidR="00BB056C" w:rsidRPr="00A75276">
        <w:rPr>
          <w:lang w:val="fr-FR"/>
        </w:rPr>
        <w:t>expérience</w:t>
      </w:r>
      <w:r w:rsidRPr="00A75276">
        <w:rPr>
          <w:lang w:val="fr-FR"/>
        </w:rPr>
        <w:t xml:space="preserve"> des unes et des autres, </w:t>
      </w:r>
      <w:r w:rsidRPr="00A75276">
        <w:rPr>
          <w:lang w:val="fr-FR"/>
        </w:rPr>
        <w:lastRenderedPageBreak/>
        <w:t>l</w:t>
      </w:r>
      <w:r w:rsidR="009C53EC" w:rsidRPr="00A75276">
        <w:rPr>
          <w:lang w:val="fr-FR"/>
        </w:rPr>
        <w:t>’</w:t>
      </w:r>
      <w:r w:rsidRPr="00A75276">
        <w:rPr>
          <w:lang w:val="fr-FR"/>
        </w:rPr>
        <w:t>Office européen des brevets (OEB) a présenté un exposé sur l</w:t>
      </w:r>
      <w:r w:rsidR="009C53EC" w:rsidRPr="00A75276">
        <w:rPr>
          <w:lang w:val="fr-FR"/>
        </w:rPr>
        <w:t>’</w:t>
      </w:r>
      <w:r w:rsidRPr="00A75276">
        <w:rPr>
          <w:lang w:val="fr-FR"/>
        </w:rPr>
        <w:t>utilisation des paramètres qualitatifs dans les processus de contrôle de qualité de l</w:t>
      </w:r>
      <w:r w:rsidR="009C53EC" w:rsidRPr="00A75276">
        <w:rPr>
          <w:lang w:val="fr-FR"/>
        </w:rPr>
        <w:t>’</w:t>
      </w:r>
      <w:r w:rsidR="00A16C85" w:rsidRPr="00A75276">
        <w:rPr>
          <w:lang w:val="fr-FR"/>
        </w:rPr>
        <w:t>OEB.  Il</w:t>
      </w:r>
      <w:r w:rsidRPr="00A75276">
        <w:rPr>
          <w:lang w:val="fr-FR"/>
        </w:rPr>
        <w:t xml:space="preserve"> a souligné le rôle de son rapport annuel interne sur la qualité, qu</w:t>
      </w:r>
      <w:r w:rsidR="009C53EC" w:rsidRPr="00A75276">
        <w:rPr>
          <w:lang w:val="fr-FR"/>
        </w:rPr>
        <w:t>’</w:t>
      </w:r>
      <w:r w:rsidRPr="00A75276">
        <w:rPr>
          <w:lang w:val="fr-FR"/>
        </w:rPr>
        <w:t>il considérait comme un instrument essentiel pour aider les gestionnaires à prendre des décisions en connaissance de cause, le rôle de ses tableaux de bord internes qui favorisaient l</w:t>
      </w:r>
      <w:r w:rsidR="009C53EC" w:rsidRPr="00A75276">
        <w:rPr>
          <w:lang w:val="fr-FR"/>
        </w:rPr>
        <w:t>’</w:t>
      </w:r>
      <w:r w:rsidRPr="00A75276">
        <w:rPr>
          <w:lang w:val="fr-FR"/>
        </w:rPr>
        <w:t>accent mis sur la qualité par les gestionnaires et les fonctionnaires, ainsi que l</w:t>
      </w:r>
      <w:r w:rsidR="009C53EC" w:rsidRPr="00A75276">
        <w:rPr>
          <w:lang w:val="fr-FR"/>
        </w:rPr>
        <w:t>’</w:t>
      </w:r>
      <w:r w:rsidRPr="00A75276">
        <w:rPr>
          <w:lang w:val="fr-FR"/>
        </w:rPr>
        <w:t>importance des paramètres de mesure, qui étaient fondamentalement à la base de tous les efforts visant à améliorer la qualité de la production, des processus, des services et des produits.</w:t>
      </w:r>
    </w:p>
    <w:p w:rsidR="00715135" w:rsidRPr="00A75276" w:rsidRDefault="00EB0323" w:rsidP="00EB0323">
      <w:pPr>
        <w:pStyle w:val="ONUMFS"/>
        <w:rPr>
          <w:lang w:val="fr-FR"/>
        </w:rPr>
      </w:pPr>
      <w:r w:rsidRPr="00A75276">
        <w:rPr>
          <w:lang w:val="fr-FR"/>
        </w:rPr>
        <w:t>Les questions posées au cours des discussions qui ont suivi ont porté en particulier sur la fixation des objectifs en matière de qualité, la forme sous laquelle se présentaient les tableaux de bord et l</w:t>
      </w:r>
      <w:r w:rsidR="009C53EC" w:rsidRPr="00A75276">
        <w:rPr>
          <w:lang w:val="fr-FR"/>
        </w:rPr>
        <w:t>’</w:t>
      </w:r>
      <w:r w:rsidRPr="00A75276">
        <w:rPr>
          <w:lang w:val="fr-FR"/>
        </w:rPr>
        <w:t xml:space="preserve">inclusion </w:t>
      </w:r>
      <w:r w:rsidR="006E3CBA" w:rsidRPr="00A75276">
        <w:rPr>
          <w:lang w:val="fr-FR"/>
        </w:rPr>
        <w:t>d</w:t>
      </w:r>
      <w:r w:rsidR="009C53EC" w:rsidRPr="00A75276">
        <w:rPr>
          <w:lang w:val="fr-FR"/>
        </w:rPr>
        <w:t>’</w:t>
      </w:r>
      <w:r w:rsidR="006E3CBA" w:rsidRPr="00A75276">
        <w:rPr>
          <w:lang w:val="fr-FR"/>
        </w:rPr>
        <w:t>indicateurs</w:t>
      </w:r>
      <w:r w:rsidRPr="00A75276">
        <w:rPr>
          <w:lang w:val="fr-FR"/>
        </w:rPr>
        <w:t xml:space="preserve"> propres</w:t>
      </w:r>
      <w:r w:rsidR="002E5DCA" w:rsidRPr="00A75276">
        <w:rPr>
          <w:lang w:val="fr-FR"/>
        </w:rPr>
        <w:t xml:space="preserve"> au PCT</w:t>
      </w:r>
      <w:r w:rsidRPr="00A75276">
        <w:rPr>
          <w:lang w:val="fr-FR"/>
        </w:rPr>
        <w:t xml:space="preserve"> dans les processus internes de contrôle de qualité de l</w:t>
      </w:r>
      <w:r w:rsidR="009C53EC" w:rsidRPr="00A75276">
        <w:rPr>
          <w:lang w:val="fr-FR"/>
        </w:rPr>
        <w:t>’</w:t>
      </w:r>
      <w:r w:rsidRPr="00A75276">
        <w:rPr>
          <w:lang w:val="fr-FR"/>
        </w:rPr>
        <w:t>OEB.</w:t>
      </w:r>
    </w:p>
    <w:p w:rsidR="002E5DCA" w:rsidRPr="00A75276" w:rsidRDefault="00EB0323" w:rsidP="00EB0323">
      <w:pPr>
        <w:pStyle w:val="ONUMFS"/>
        <w:ind w:left="567"/>
        <w:rPr>
          <w:lang w:val="fr-FR"/>
        </w:rPr>
      </w:pPr>
      <w:r w:rsidRPr="00A75276">
        <w:rPr>
          <w:lang w:val="fr-FR"/>
        </w:rPr>
        <w:t>Le sous</w:t>
      </w:r>
      <w:r w:rsidR="00A16C85" w:rsidRPr="00A75276">
        <w:rPr>
          <w:lang w:val="fr-FR"/>
        </w:rPr>
        <w:noBreakHyphen/>
      </w:r>
      <w:r w:rsidRPr="00A75276">
        <w:rPr>
          <w:lang w:val="fr-FR"/>
        </w:rPr>
        <w:t>groupe a recommandé de poursuivre les discussions sur les paramètres de contrôle de qualité sur son forum électroniq</w:t>
      </w:r>
      <w:r w:rsidR="00A16C85" w:rsidRPr="00A75276">
        <w:rPr>
          <w:lang w:val="fr-FR"/>
        </w:rPr>
        <w:t>ue.  Il</w:t>
      </w:r>
      <w:r w:rsidRPr="00A75276">
        <w:rPr>
          <w:lang w:val="fr-FR"/>
        </w:rPr>
        <w:t xml:space="preserve"> a accueilli avec satisfaction les annonces de l</w:t>
      </w:r>
      <w:r w:rsidR="009C53EC" w:rsidRPr="00A75276">
        <w:rPr>
          <w:lang w:val="fr-FR"/>
        </w:rPr>
        <w:t>’</w:t>
      </w:r>
      <w:r w:rsidRPr="00A75276">
        <w:rPr>
          <w:lang w:val="fr-FR"/>
        </w:rPr>
        <w:t>Office de la propriété intellectuelle du Canada et de l</w:t>
      </w:r>
      <w:r w:rsidR="009C53EC" w:rsidRPr="00A75276">
        <w:rPr>
          <w:lang w:val="fr-FR"/>
        </w:rPr>
        <w:t>’</w:t>
      </w:r>
      <w:r w:rsidRPr="00A75276">
        <w:rPr>
          <w:lang w:val="fr-FR"/>
        </w:rPr>
        <w:t>Office espagnol des brevets et des marques de présenter des exposés semblables à celui de l</w:t>
      </w:r>
      <w:r w:rsidR="009C53EC" w:rsidRPr="00A75276">
        <w:rPr>
          <w:lang w:val="fr-FR"/>
        </w:rPr>
        <w:t>’</w:t>
      </w:r>
      <w:r w:rsidRPr="00A75276">
        <w:rPr>
          <w:lang w:val="fr-FR"/>
        </w:rPr>
        <w:t>OEB, notamment du point de vue d</w:t>
      </w:r>
      <w:r w:rsidR="009C53EC" w:rsidRPr="00A75276">
        <w:rPr>
          <w:lang w:val="fr-FR"/>
        </w:rPr>
        <w:t>’</w:t>
      </w:r>
      <w:r w:rsidRPr="00A75276">
        <w:rPr>
          <w:lang w:val="fr-FR"/>
        </w:rPr>
        <w:t>offices de plus petite taille ayant moins de ressources à consacrer aux processus de contrôle de qualité, soit sur le forum électronique du sous</w:t>
      </w:r>
      <w:r w:rsidR="00A16C85" w:rsidRPr="00A75276">
        <w:rPr>
          <w:lang w:val="fr-FR"/>
        </w:rPr>
        <w:noBreakHyphen/>
      </w:r>
      <w:r w:rsidRPr="00A75276">
        <w:rPr>
          <w:lang w:val="fr-FR"/>
        </w:rPr>
        <w:t>groupe, soit à la prochaine session du sous</w:t>
      </w:r>
      <w:r w:rsidR="00A16C85" w:rsidRPr="00A75276">
        <w:rPr>
          <w:lang w:val="fr-FR"/>
        </w:rPr>
        <w:noBreakHyphen/>
      </w:r>
      <w:r w:rsidRPr="00A75276">
        <w:rPr>
          <w:lang w:val="fr-FR"/>
        </w:rPr>
        <w:t>groupe.</w:t>
      </w:r>
    </w:p>
    <w:p w:rsidR="00715135" w:rsidRPr="00A75276" w:rsidRDefault="001A5167" w:rsidP="001A5167">
      <w:pPr>
        <w:pStyle w:val="Heading2"/>
        <w:rPr>
          <w:lang w:val="fr-FR"/>
        </w:rPr>
      </w:pPr>
      <w:r w:rsidRPr="00A75276">
        <w:rPr>
          <w:lang w:val="fr-FR"/>
        </w:rPr>
        <w:t>g)</w:t>
      </w:r>
      <w:r w:rsidRPr="00A75276">
        <w:rPr>
          <w:lang w:val="fr-FR"/>
        </w:rPr>
        <w:tab/>
      </w:r>
      <w:r w:rsidR="00EB0323" w:rsidRPr="00A75276">
        <w:rPr>
          <w:lang w:val="fr-FR"/>
        </w:rPr>
        <w:t>contrôle de qualité au sein de la division des opérations</w:t>
      </w:r>
      <w:r w:rsidR="002E5DCA" w:rsidRPr="00A75276">
        <w:rPr>
          <w:lang w:val="fr-FR"/>
        </w:rPr>
        <w:t xml:space="preserve"> du PCT</w:t>
      </w:r>
      <w:r w:rsidR="00EB0323" w:rsidRPr="00A75276">
        <w:rPr>
          <w:lang w:val="fr-FR"/>
        </w:rPr>
        <w:t xml:space="preserve"> du bureau international</w:t>
      </w:r>
    </w:p>
    <w:p w:rsidR="00715135" w:rsidRPr="00A75276" w:rsidRDefault="00EB0323" w:rsidP="00EB0323">
      <w:pPr>
        <w:pStyle w:val="ONUMFS"/>
        <w:rPr>
          <w:lang w:val="fr-FR"/>
        </w:rPr>
      </w:pPr>
      <w:r w:rsidRPr="00A75276">
        <w:rPr>
          <w:lang w:val="fr-FR"/>
        </w:rPr>
        <w:t>Le Bureau international a présenté un exposé sur la gestion de la qualité au sein de sa Division des opérations</w:t>
      </w:r>
      <w:r w:rsidR="002E5DCA" w:rsidRPr="00A75276">
        <w:rPr>
          <w:lang w:val="fr-FR"/>
        </w:rPr>
        <w:t xml:space="preserve"> du PCT</w:t>
      </w:r>
      <w:r w:rsidRPr="00A75276">
        <w:rPr>
          <w:lang w:val="fr-FR"/>
        </w:rPr>
        <w:t>, qui était axé sur les principaux processus de contrôle de qualité concernant les tâches des offices récepteurs, du Bureau international (agissant à la fois en tant qu</w:t>
      </w:r>
      <w:r w:rsidR="009C53EC" w:rsidRPr="00A75276">
        <w:rPr>
          <w:lang w:val="fr-FR"/>
        </w:rPr>
        <w:t>’</w:t>
      </w:r>
      <w:r w:rsidRPr="00A75276">
        <w:rPr>
          <w:lang w:val="fr-FR"/>
        </w:rPr>
        <w:t xml:space="preserve">office récepteur et </w:t>
      </w:r>
      <w:r w:rsidR="00E874A5" w:rsidRPr="00A75276">
        <w:rPr>
          <w:lang w:val="fr-FR"/>
        </w:rPr>
        <w:t>“</w:t>
      </w:r>
      <w:r w:rsidRPr="00A75276">
        <w:rPr>
          <w:lang w:val="fr-FR"/>
        </w:rPr>
        <w:t>Bureau international proprement dit</w:t>
      </w:r>
      <w:r w:rsidR="00E874A5" w:rsidRPr="00A75276">
        <w:rPr>
          <w:lang w:val="fr-FR"/>
        </w:rPr>
        <w:t>”</w:t>
      </w:r>
      <w:r w:rsidRPr="00A75276">
        <w:rPr>
          <w:lang w:val="fr-FR"/>
        </w:rPr>
        <w:t xml:space="preserve"> et concernant les tâches qu</w:t>
      </w:r>
      <w:r w:rsidR="009C53EC" w:rsidRPr="00A75276">
        <w:rPr>
          <w:lang w:val="fr-FR"/>
        </w:rPr>
        <w:t>’</w:t>
      </w:r>
      <w:r w:rsidRPr="00A75276">
        <w:rPr>
          <w:lang w:val="fr-FR"/>
        </w:rPr>
        <w:t xml:space="preserve">il exécutait </w:t>
      </w:r>
      <w:r w:rsidR="00BB056C" w:rsidRPr="00A75276">
        <w:rPr>
          <w:lang w:val="fr-FR"/>
        </w:rPr>
        <w:t>directement</w:t>
      </w:r>
      <w:r w:rsidRPr="00A75276">
        <w:rPr>
          <w:lang w:val="fr-FR"/>
        </w:rPr>
        <w:t xml:space="preserve"> et celles confiées à des sous</w:t>
      </w:r>
      <w:r w:rsidR="00A16C85" w:rsidRPr="00A75276">
        <w:rPr>
          <w:lang w:val="fr-FR"/>
        </w:rPr>
        <w:noBreakHyphen/>
      </w:r>
      <w:r w:rsidRPr="00A75276">
        <w:rPr>
          <w:lang w:val="fr-FR"/>
        </w:rPr>
        <w:t>traitants extérieurs) et des administrations internationales;  la documentation des processus du Bureau international;  l</w:t>
      </w:r>
      <w:r w:rsidR="009C53EC" w:rsidRPr="00A75276">
        <w:rPr>
          <w:lang w:val="fr-FR"/>
        </w:rPr>
        <w:t>’</w:t>
      </w:r>
      <w:r w:rsidRPr="00A75276">
        <w:rPr>
          <w:lang w:val="fr-FR"/>
        </w:rPr>
        <w:t>incidence de l</w:t>
      </w:r>
      <w:r w:rsidR="009C53EC" w:rsidRPr="00A75276">
        <w:rPr>
          <w:lang w:val="fr-FR"/>
        </w:rPr>
        <w:t>’</w:t>
      </w:r>
      <w:r w:rsidRPr="00A75276">
        <w:rPr>
          <w:lang w:val="fr-FR"/>
        </w:rPr>
        <w:t>automatisation sur l</w:t>
      </w:r>
      <w:r w:rsidR="009C53EC" w:rsidRPr="00A75276">
        <w:rPr>
          <w:lang w:val="fr-FR"/>
        </w:rPr>
        <w:t>’</w:t>
      </w:r>
      <w:r w:rsidRPr="00A75276">
        <w:rPr>
          <w:lang w:val="fr-FR"/>
        </w:rPr>
        <w:t>examen quant à la forme et le contrôle de qualité;  les critères appliqués;  et les questions en cours d</w:t>
      </w:r>
      <w:r w:rsidR="009C53EC" w:rsidRPr="00A75276">
        <w:rPr>
          <w:lang w:val="fr-FR"/>
        </w:rPr>
        <w:t>’</w:t>
      </w:r>
      <w:r w:rsidRPr="00A75276">
        <w:rPr>
          <w:lang w:val="fr-FR"/>
        </w:rPr>
        <w:t>examen concernant la qualité, dont la nécessité de rapprocher la documentation, l</w:t>
      </w:r>
      <w:r w:rsidR="009C53EC" w:rsidRPr="00A75276">
        <w:rPr>
          <w:lang w:val="fr-FR"/>
        </w:rPr>
        <w:t>’</w:t>
      </w:r>
      <w:r w:rsidRPr="00A75276">
        <w:rPr>
          <w:lang w:val="fr-FR"/>
        </w:rPr>
        <w:t>établissement de systèmes de gestion de la qualité et l</w:t>
      </w:r>
      <w:r w:rsidR="009C53EC" w:rsidRPr="00A75276">
        <w:rPr>
          <w:lang w:val="fr-FR"/>
        </w:rPr>
        <w:t>’</w:t>
      </w:r>
      <w:r w:rsidRPr="00A75276">
        <w:rPr>
          <w:lang w:val="fr-FR"/>
        </w:rPr>
        <w:t>élaboration d</w:t>
      </w:r>
      <w:r w:rsidR="009C53EC" w:rsidRPr="00A75276">
        <w:rPr>
          <w:lang w:val="fr-FR"/>
        </w:rPr>
        <w:t>’</w:t>
      </w:r>
      <w:r w:rsidRPr="00A75276">
        <w:rPr>
          <w:lang w:val="fr-FR"/>
        </w:rPr>
        <w:t>une politique en matière de quali</w:t>
      </w:r>
      <w:r w:rsidR="00A16C85" w:rsidRPr="00A75276">
        <w:rPr>
          <w:lang w:val="fr-FR"/>
        </w:rPr>
        <w:t>té.  Le</w:t>
      </w:r>
      <w:r w:rsidRPr="00A75276">
        <w:rPr>
          <w:lang w:val="fr-FR"/>
        </w:rPr>
        <w:t xml:space="preserve"> Bureau international a indiqué que l</w:t>
      </w:r>
      <w:r w:rsidR="009C53EC" w:rsidRPr="00A75276">
        <w:rPr>
          <w:lang w:val="fr-FR"/>
        </w:rPr>
        <w:t>’</w:t>
      </w:r>
      <w:r w:rsidRPr="00A75276">
        <w:rPr>
          <w:lang w:val="fr-FR"/>
        </w:rPr>
        <w:t>exposé se voulait une contribution aux discussions sur l</w:t>
      </w:r>
      <w:r w:rsidR="009C53EC" w:rsidRPr="00A75276">
        <w:rPr>
          <w:lang w:val="fr-FR"/>
        </w:rPr>
        <w:t>’</w:t>
      </w:r>
      <w:r w:rsidRPr="00A75276">
        <w:rPr>
          <w:lang w:val="fr-FR"/>
        </w:rPr>
        <w:t>établissement d</w:t>
      </w:r>
      <w:r w:rsidR="009C53EC" w:rsidRPr="00A75276">
        <w:rPr>
          <w:lang w:val="fr-FR"/>
        </w:rPr>
        <w:t>’</w:t>
      </w:r>
      <w:r w:rsidRPr="00A75276">
        <w:rPr>
          <w:lang w:val="fr-FR"/>
        </w:rPr>
        <w:t>une approche commune quant à la qualité plus large pour l</w:t>
      </w:r>
      <w:r w:rsidR="009C53EC" w:rsidRPr="00A75276">
        <w:rPr>
          <w:lang w:val="fr-FR"/>
        </w:rPr>
        <w:t>’</w:t>
      </w:r>
      <w:r w:rsidRPr="00A75276">
        <w:rPr>
          <w:lang w:val="fr-FR"/>
        </w:rPr>
        <w:t>ensemble du système</w:t>
      </w:r>
      <w:r w:rsidR="002E5DCA" w:rsidRPr="00A75276">
        <w:rPr>
          <w:lang w:val="fr-FR"/>
        </w:rPr>
        <w:t xml:space="preserve"> du PCT</w:t>
      </w:r>
      <w:r w:rsidRPr="00A75276">
        <w:rPr>
          <w:lang w:val="fr-FR"/>
        </w:rPr>
        <w:t>, dans la mesure où il traitait de questions allant au</w:t>
      </w:r>
      <w:r w:rsidR="00A16C85" w:rsidRPr="00A75276">
        <w:rPr>
          <w:lang w:val="fr-FR"/>
        </w:rPr>
        <w:noBreakHyphen/>
      </w:r>
      <w:r w:rsidRPr="00A75276">
        <w:rPr>
          <w:lang w:val="fr-FR"/>
        </w:rPr>
        <w:t>delà des travaux menés par les administrations internationales, et a fait part de son intention de soulever ces questions plus larges avec toutes les parties</w:t>
      </w:r>
      <w:r w:rsidR="002E5DCA" w:rsidRPr="00A75276">
        <w:rPr>
          <w:lang w:val="fr-FR"/>
        </w:rPr>
        <w:t xml:space="preserve"> du PCT</w:t>
      </w:r>
      <w:r w:rsidRPr="00A75276">
        <w:rPr>
          <w:lang w:val="fr-FR"/>
        </w:rPr>
        <w:t>, au moyen soit d</w:t>
      </w:r>
      <w:r w:rsidR="009C53EC" w:rsidRPr="00A75276">
        <w:rPr>
          <w:lang w:val="fr-FR"/>
        </w:rPr>
        <w:t>’</w:t>
      </w:r>
      <w:r w:rsidRPr="00A75276">
        <w:rPr>
          <w:lang w:val="fr-FR"/>
        </w:rPr>
        <w:t>un document de travail à l</w:t>
      </w:r>
      <w:r w:rsidR="009C53EC" w:rsidRPr="00A75276">
        <w:rPr>
          <w:lang w:val="fr-FR"/>
        </w:rPr>
        <w:t>’</w:t>
      </w:r>
      <w:r w:rsidRPr="00A75276">
        <w:rPr>
          <w:lang w:val="fr-FR"/>
        </w:rPr>
        <w:t>intention du Groupe de travail</w:t>
      </w:r>
      <w:r w:rsidR="002E5DCA" w:rsidRPr="00A75276">
        <w:rPr>
          <w:lang w:val="fr-FR"/>
        </w:rPr>
        <w:t xml:space="preserve"> du PCT</w:t>
      </w:r>
      <w:r w:rsidRPr="00A75276">
        <w:rPr>
          <w:lang w:val="fr-FR"/>
        </w:rPr>
        <w:t xml:space="preserve"> soit de circulaires.</w:t>
      </w:r>
    </w:p>
    <w:p w:rsidR="00715135" w:rsidRPr="00A75276" w:rsidRDefault="00EB0323" w:rsidP="00EB0323">
      <w:pPr>
        <w:pStyle w:val="ONUMFS"/>
        <w:rPr>
          <w:lang w:val="fr-FR"/>
        </w:rPr>
      </w:pPr>
      <w:r w:rsidRPr="00A75276">
        <w:rPr>
          <w:lang w:val="fr-FR"/>
        </w:rPr>
        <w:t>Une administration a demandé s</w:t>
      </w:r>
      <w:r w:rsidR="009C53EC" w:rsidRPr="00A75276">
        <w:rPr>
          <w:lang w:val="fr-FR"/>
        </w:rPr>
        <w:t>’</w:t>
      </w:r>
      <w:r w:rsidRPr="00A75276">
        <w:rPr>
          <w:lang w:val="fr-FR"/>
        </w:rPr>
        <w:t xml:space="preserve">il serait possible que le Bureau international partage avec les offices récepteurs ses directives </w:t>
      </w:r>
      <w:r w:rsidR="00E874A5" w:rsidRPr="00A75276">
        <w:rPr>
          <w:lang w:val="fr-FR"/>
        </w:rPr>
        <w:t>“</w:t>
      </w:r>
      <w:r w:rsidRPr="00A75276">
        <w:rPr>
          <w:lang w:val="fr-FR"/>
        </w:rPr>
        <w:t>étape par étape</w:t>
      </w:r>
      <w:r w:rsidR="00E874A5" w:rsidRPr="00A75276">
        <w:rPr>
          <w:lang w:val="fr-FR"/>
        </w:rPr>
        <w:t>”</w:t>
      </w:r>
      <w:r w:rsidRPr="00A75276">
        <w:rPr>
          <w:lang w:val="fr-FR"/>
        </w:rPr>
        <w:t xml:space="preserve"> à l</w:t>
      </w:r>
      <w:r w:rsidR="009C53EC" w:rsidRPr="00A75276">
        <w:rPr>
          <w:lang w:val="fr-FR"/>
        </w:rPr>
        <w:t>’</w:t>
      </w:r>
      <w:r w:rsidRPr="00A75276">
        <w:rPr>
          <w:lang w:val="fr-FR"/>
        </w:rPr>
        <w:t>intention du Service du traitement</w:t>
      </w:r>
      <w:r w:rsidR="002E5DCA" w:rsidRPr="00A75276">
        <w:rPr>
          <w:lang w:val="fr-FR"/>
        </w:rPr>
        <w:t xml:space="preserve"> du </w:t>
      </w:r>
      <w:r w:rsidR="00A16C85" w:rsidRPr="00A75276">
        <w:rPr>
          <w:lang w:val="fr-FR"/>
        </w:rPr>
        <w:t>PCT.  El</w:t>
      </w:r>
      <w:r w:rsidRPr="00A75276">
        <w:rPr>
          <w:lang w:val="fr-FR"/>
        </w:rPr>
        <w:t>le a également insisté sur l</w:t>
      </w:r>
      <w:r w:rsidR="009C53EC" w:rsidRPr="00A75276">
        <w:rPr>
          <w:lang w:val="fr-FR"/>
        </w:rPr>
        <w:t>’</w:t>
      </w:r>
      <w:r w:rsidRPr="00A75276">
        <w:rPr>
          <w:lang w:val="fr-FR"/>
        </w:rPr>
        <w:t>importance et l</w:t>
      </w:r>
      <w:r w:rsidR="009C53EC" w:rsidRPr="00A75276">
        <w:rPr>
          <w:lang w:val="fr-FR"/>
        </w:rPr>
        <w:t>’</w:t>
      </w:r>
      <w:r w:rsidRPr="00A75276">
        <w:rPr>
          <w:lang w:val="fr-FR"/>
        </w:rPr>
        <w:t xml:space="preserve">utilité des communications officieuses entre le personnel des offices récepteurs et le personnel du Bureau international </w:t>
      </w:r>
      <w:r w:rsidR="006E3CBA" w:rsidRPr="00A75276">
        <w:rPr>
          <w:lang w:val="fr-FR"/>
        </w:rPr>
        <w:t xml:space="preserve">au sein </w:t>
      </w:r>
      <w:r w:rsidRPr="00A75276">
        <w:rPr>
          <w:lang w:val="fr-FR"/>
        </w:rPr>
        <w:t>des équipes chargées du traitement.</w:t>
      </w:r>
    </w:p>
    <w:p w:rsidR="00715135" w:rsidRPr="00A75276" w:rsidRDefault="003B0A39" w:rsidP="003B0A39">
      <w:pPr>
        <w:pStyle w:val="Heading2"/>
        <w:rPr>
          <w:lang w:val="fr-FR"/>
        </w:rPr>
      </w:pPr>
      <w:r w:rsidRPr="00A75276">
        <w:rPr>
          <w:lang w:val="fr-FR"/>
        </w:rPr>
        <w:t>Travaux futurs</w:t>
      </w:r>
    </w:p>
    <w:p w:rsidR="00715135" w:rsidRPr="00A75276" w:rsidRDefault="00EB0323" w:rsidP="00EB0323">
      <w:pPr>
        <w:pStyle w:val="ONUMFS"/>
        <w:ind w:left="567"/>
        <w:rPr>
          <w:lang w:val="fr-FR"/>
        </w:rPr>
      </w:pPr>
      <w:r w:rsidRPr="00A75276">
        <w:rPr>
          <w:lang w:val="fr-FR"/>
        </w:rPr>
        <w:t>Le sous</w:t>
      </w:r>
      <w:r w:rsidR="00A16C85" w:rsidRPr="00A75276">
        <w:rPr>
          <w:lang w:val="fr-FR"/>
        </w:rPr>
        <w:noBreakHyphen/>
      </w:r>
      <w:r w:rsidRPr="00A75276">
        <w:rPr>
          <w:lang w:val="fr-FR"/>
        </w:rPr>
        <w:t>groupe a recommandé que les Secrétariat invite les administrations à proposer des questions liées à leurs systèmes de gestion de la qualité pour examen durant l</w:t>
      </w:r>
      <w:r w:rsidR="009C53EC" w:rsidRPr="00A75276">
        <w:rPr>
          <w:lang w:val="fr-FR"/>
        </w:rPr>
        <w:t>’</w:t>
      </w:r>
      <w:r w:rsidRPr="00A75276">
        <w:rPr>
          <w:lang w:val="fr-FR"/>
        </w:rPr>
        <w:t>année à venir sur le forum électronique du sous</w:t>
      </w:r>
      <w:r w:rsidR="00A16C85" w:rsidRPr="00A75276">
        <w:rPr>
          <w:lang w:val="fr-FR"/>
        </w:rPr>
        <w:noBreakHyphen/>
      </w:r>
      <w:r w:rsidRPr="00A75276">
        <w:rPr>
          <w:lang w:val="fr-FR"/>
        </w:rPr>
        <w:t>groupe ainsi qu</w:t>
      </w:r>
      <w:r w:rsidR="009C53EC" w:rsidRPr="00A75276">
        <w:rPr>
          <w:lang w:val="fr-FR"/>
        </w:rPr>
        <w:t>’</w:t>
      </w:r>
      <w:r w:rsidRPr="00A75276">
        <w:rPr>
          <w:lang w:val="fr-FR"/>
        </w:rPr>
        <w:t xml:space="preserve">à la prochaine réunion, et invite également les administrations volontaires à </w:t>
      </w:r>
      <w:r w:rsidR="006E3CBA" w:rsidRPr="00A75276">
        <w:rPr>
          <w:lang w:val="fr-FR"/>
        </w:rPr>
        <w:t>diriger les</w:t>
      </w:r>
      <w:r w:rsidRPr="00A75276">
        <w:rPr>
          <w:lang w:val="fr-FR"/>
        </w:rPr>
        <w:t xml:space="preserve"> discussions sur tout nouveau sujet retenu.</w:t>
      </w:r>
    </w:p>
    <w:p w:rsidR="00715135" w:rsidRPr="00A75276" w:rsidRDefault="003B0A39" w:rsidP="003B0A39">
      <w:pPr>
        <w:pStyle w:val="Heading1"/>
        <w:rPr>
          <w:lang w:val="fr-FR"/>
        </w:rPr>
      </w:pPr>
      <w:r w:rsidRPr="00A75276">
        <w:rPr>
          <w:lang w:val="fr-FR"/>
        </w:rPr>
        <w:lastRenderedPageBreak/>
        <w:t>2.</w:t>
      </w:r>
      <w:r w:rsidRPr="00A75276">
        <w:rPr>
          <w:b w:val="0"/>
          <w:lang w:val="fr-FR"/>
        </w:rPr>
        <w:tab/>
      </w:r>
      <w:r w:rsidRPr="00A75276">
        <w:rPr>
          <w:lang w:val="fr-FR"/>
        </w:rPr>
        <w:t>Indicateurs de qualité</w:t>
      </w:r>
    </w:p>
    <w:p w:rsidR="002E5DCA" w:rsidRPr="00A75276" w:rsidRDefault="003B0A39" w:rsidP="003B0A39">
      <w:pPr>
        <w:pStyle w:val="Heading2"/>
        <w:rPr>
          <w:lang w:val="fr-FR"/>
        </w:rPr>
      </w:pPr>
      <w:r w:rsidRPr="00A75276">
        <w:rPr>
          <w:lang w:val="fr-FR"/>
        </w:rPr>
        <w:t>A)</w:t>
      </w:r>
      <w:r w:rsidRPr="00A75276">
        <w:rPr>
          <w:lang w:val="fr-FR"/>
        </w:rPr>
        <w:tab/>
        <w:t>Caractéristiques des rapports de recherche internationale</w:t>
      </w:r>
    </w:p>
    <w:p w:rsidR="00715135" w:rsidRPr="00A75276" w:rsidRDefault="00EB0323" w:rsidP="00EB0323">
      <w:pPr>
        <w:pStyle w:val="ONUMFS"/>
        <w:rPr>
          <w:lang w:val="fr-FR"/>
        </w:rPr>
      </w:pPr>
      <w:r w:rsidRPr="00A75276">
        <w:rPr>
          <w:lang w:val="fr-FR"/>
        </w:rPr>
        <w:t>D</w:t>
      </w:r>
      <w:r w:rsidR="009C53EC" w:rsidRPr="00A75276">
        <w:rPr>
          <w:lang w:val="fr-FR"/>
        </w:rPr>
        <w:t>’</w:t>
      </w:r>
      <w:r w:rsidRPr="00A75276">
        <w:rPr>
          <w:lang w:val="fr-FR"/>
        </w:rPr>
        <w:t>une manière générale, les administrations ont considéré que la forme du rapport sur les caractéristiques des rapports de recherche internationale était utile, notamment en tant qu</w:t>
      </w:r>
      <w:r w:rsidR="009C53EC" w:rsidRPr="00A75276">
        <w:rPr>
          <w:lang w:val="fr-FR"/>
        </w:rPr>
        <w:t>’</w:t>
      </w:r>
      <w:r w:rsidRPr="00A75276">
        <w:rPr>
          <w:lang w:val="fr-FR"/>
        </w:rPr>
        <w:t>outil d</w:t>
      </w:r>
      <w:r w:rsidR="009C53EC" w:rsidRPr="00A75276">
        <w:rPr>
          <w:lang w:val="fr-FR"/>
        </w:rPr>
        <w:t>’</w:t>
      </w:r>
      <w:r w:rsidRPr="00A75276">
        <w:rPr>
          <w:lang w:val="fr-FR"/>
        </w:rPr>
        <w:t>auto</w:t>
      </w:r>
      <w:r w:rsidR="00A16C85" w:rsidRPr="00A75276">
        <w:rPr>
          <w:lang w:val="fr-FR"/>
        </w:rPr>
        <w:noBreakHyphen/>
      </w:r>
      <w:r w:rsidRPr="00A75276">
        <w:rPr>
          <w:lang w:val="fr-FR"/>
        </w:rPr>
        <w:t>évaluati</w:t>
      </w:r>
      <w:r w:rsidR="00A16C85" w:rsidRPr="00A75276">
        <w:rPr>
          <w:lang w:val="fr-FR"/>
        </w:rPr>
        <w:t>on.  Bi</w:t>
      </w:r>
      <w:r w:rsidRPr="00A75276">
        <w:rPr>
          <w:lang w:val="fr-FR"/>
        </w:rPr>
        <w:t>en qu</w:t>
      </w:r>
      <w:r w:rsidR="009C53EC" w:rsidRPr="00A75276">
        <w:rPr>
          <w:lang w:val="fr-FR"/>
        </w:rPr>
        <w:t>’</w:t>
      </w:r>
      <w:r w:rsidRPr="00A75276">
        <w:rPr>
          <w:lang w:val="fr-FR"/>
        </w:rPr>
        <w:t>il ne s</w:t>
      </w:r>
      <w:r w:rsidR="009C53EC" w:rsidRPr="00A75276">
        <w:rPr>
          <w:lang w:val="fr-FR"/>
        </w:rPr>
        <w:t>’</w:t>
      </w:r>
      <w:r w:rsidRPr="00A75276">
        <w:rPr>
          <w:lang w:val="fr-FR"/>
        </w:rPr>
        <w:t>agisse pas d</w:t>
      </w:r>
      <w:r w:rsidR="009C53EC" w:rsidRPr="00A75276">
        <w:rPr>
          <w:lang w:val="fr-FR"/>
        </w:rPr>
        <w:t>’</w:t>
      </w:r>
      <w:r w:rsidRPr="00A75276">
        <w:rPr>
          <w:lang w:val="fr-FR"/>
        </w:rPr>
        <w:t>une mesure directe de la qualité, les administrations sont convenues que les graphiques permettaient de voir les tendances dans le temps et, le cas échéant, de réaliser des mesur</w:t>
      </w:r>
      <w:r w:rsidR="00A16C85" w:rsidRPr="00A75276">
        <w:rPr>
          <w:lang w:val="fr-FR"/>
        </w:rPr>
        <w:t>es.  Un</w:t>
      </w:r>
      <w:r w:rsidRPr="00A75276">
        <w:rPr>
          <w:lang w:val="fr-FR"/>
        </w:rPr>
        <w:t xml:space="preserve">e </w:t>
      </w:r>
      <w:r w:rsidR="00BB056C" w:rsidRPr="00A75276">
        <w:rPr>
          <w:lang w:val="fr-FR"/>
        </w:rPr>
        <w:t>administration</w:t>
      </w:r>
      <w:r w:rsidRPr="00A75276">
        <w:rPr>
          <w:lang w:val="fr-FR"/>
        </w:rPr>
        <w:t xml:space="preserve"> a indiqué qu</w:t>
      </w:r>
      <w:r w:rsidR="009C53EC" w:rsidRPr="00A75276">
        <w:rPr>
          <w:lang w:val="fr-FR"/>
        </w:rPr>
        <w:t>’</w:t>
      </w:r>
      <w:r w:rsidRPr="00A75276">
        <w:rPr>
          <w:lang w:val="fr-FR"/>
        </w:rPr>
        <w:t>elle avait pris des mesures lorsqu</w:t>
      </w:r>
      <w:r w:rsidR="009C53EC" w:rsidRPr="00A75276">
        <w:rPr>
          <w:lang w:val="fr-FR"/>
        </w:rPr>
        <w:t>’</w:t>
      </w:r>
      <w:r w:rsidRPr="00A75276">
        <w:rPr>
          <w:lang w:val="fr-FR"/>
        </w:rPr>
        <w:t>elle avait constaté un rapport relativement faible du nombre de rapports de reche</w:t>
      </w:r>
      <w:r w:rsidR="003C60CE" w:rsidRPr="00A75276">
        <w:rPr>
          <w:lang w:val="fr-FR"/>
        </w:rPr>
        <w:t>rche avec au moins une citation </w:t>
      </w:r>
      <w:r w:rsidRPr="00A75276">
        <w:rPr>
          <w:lang w:val="fr-FR"/>
        </w:rPr>
        <w:t>XY par rapport au nombre de rapports contenant uniquement des citations A.</w:t>
      </w:r>
      <w:r w:rsidR="00432F5D" w:rsidRPr="00A75276">
        <w:rPr>
          <w:lang w:val="fr-FR"/>
        </w:rPr>
        <w:t> </w:t>
      </w:r>
      <w:r w:rsidRPr="00A75276">
        <w:rPr>
          <w:lang w:val="fr-FR"/>
        </w:rPr>
        <w:t>En termes de présentation, une administration a suggéré que les graphiques relatifs à une caractéristique soient présentés à la même échelle pour faciliter les comparaisons entre les administratio</w:t>
      </w:r>
      <w:r w:rsidR="00A16C85" w:rsidRPr="00A75276">
        <w:rPr>
          <w:lang w:val="fr-FR"/>
        </w:rPr>
        <w:t>ns.  Un</w:t>
      </w:r>
      <w:r w:rsidRPr="00A75276">
        <w:rPr>
          <w:lang w:val="fr-FR"/>
        </w:rPr>
        <w:t>e autre administration a déclaré qu</w:t>
      </w:r>
      <w:r w:rsidR="009C53EC" w:rsidRPr="00A75276">
        <w:rPr>
          <w:lang w:val="fr-FR"/>
        </w:rPr>
        <w:t>’</w:t>
      </w:r>
      <w:r w:rsidRPr="00A75276">
        <w:rPr>
          <w:lang w:val="fr-FR"/>
        </w:rPr>
        <w:t>elle souhaitait avoir la possibilité de réexaminer les données avant la publication par le Bureau international.</w:t>
      </w:r>
    </w:p>
    <w:p w:rsidR="00715135" w:rsidRPr="00A75276" w:rsidRDefault="00EB0323" w:rsidP="00EB0323">
      <w:pPr>
        <w:pStyle w:val="ONUMFS"/>
        <w:rPr>
          <w:lang w:val="fr-FR"/>
        </w:rPr>
      </w:pPr>
      <w:r w:rsidRPr="00A75276">
        <w:rPr>
          <w:lang w:val="fr-FR"/>
        </w:rPr>
        <w:t>Tout en exprimant des préoccupations quant à la nécessité de ressources supplémentaires, certaines administrations ont formulé des suggestions quant à de nouveaux critères à mettre au point, notamment : le pourcentage de rapports de recherche contenant une constatation d</w:t>
      </w:r>
      <w:r w:rsidR="009C53EC" w:rsidRPr="00A75276">
        <w:rPr>
          <w:lang w:val="fr-FR"/>
        </w:rPr>
        <w:t>’</w:t>
      </w:r>
      <w:r w:rsidRPr="00A75276">
        <w:rPr>
          <w:lang w:val="fr-FR"/>
        </w:rPr>
        <w:t>absence d</w:t>
      </w:r>
      <w:r w:rsidR="009C53EC" w:rsidRPr="00A75276">
        <w:rPr>
          <w:lang w:val="fr-FR"/>
        </w:rPr>
        <w:t>’</w:t>
      </w:r>
      <w:r w:rsidRPr="00A75276">
        <w:rPr>
          <w:lang w:val="fr-FR"/>
        </w:rPr>
        <w:t>unité de l</w:t>
      </w:r>
      <w:r w:rsidR="009C53EC" w:rsidRPr="00A75276">
        <w:rPr>
          <w:lang w:val="fr-FR"/>
        </w:rPr>
        <w:t>’</w:t>
      </w:r>
      <w:r w:rsidRPr="00A75276">
        <w:rPr>
          <w:lang w:val="fr-FR"/>
        </w:rPr>
        <w:t>invention, ventilé par office récepteur et nationalité et domicile du déposant et par administration chargée de la recherche internationale;  la réutilisation du document cité dans le rapport de recherche internationale dans l</w:t>
      </w:r>
      <w:r w:rsidR="006E3CBA" w:rsidRPr="00A75276">
        <w:rPr>
          <w:lang w:val="fr-FR"/>
        </w:rPr>
        <w:t>a</w:t>
      </w:r>
      <w:r w:rsidRPr="00A75276">
        <w:rPr>
          <w:lang w:val="fr-FR"/>
        </w:rPr>
        <w:t xml:space="preserve"> phase nationale lorsque le déposant a déposé des modifications en vertu de l</w:t>
      </w:r>
      <w:r w:rsidR="009C53EC" w:rsidRPr="00A75276">
        <w:rPr>
          <w:lang w:val="fr-FR"/>
        </w:rPr>
        <w:t>’</w:t>
      </w:r>
      <w:r w:rsidRPr="00A75276">
        <w:rPr>
          <w:lang w:val="fr-FR"/>
        </w:rPr>
        <w:t>article</w:t>
      </w:r>
      <w:r w:rsidR="00432F5D" w:rsidRPr="00A75276">
        <w:rPr>
          <w:lang w:val="fr-FR"/>
        </w:rPr>
        <w:t> </w:t>
      </w:r>
      <w:r w:rsidRPr="00A75276">
        <w:rPr>
          <w:lang w:val="fr-FR"/>
        </w:rPr>
        <w:t>19 ou de l</w:t>
      </w:r>
      <w:r w:rsidR="009C53EC" w:rsidRPr="00A75276">
        <w:rPr>
          <w:lang w:val="fr-FR"/>
        </w:rPr>
        <w:t>’</w:t>
      </w:r>
      <w:r w:rsidR="00BB056C" w:rsidRPr="00A75276">
        <w:rPr>
          <w:lang w:val="fr-FR"/>
        </w:rPr>
        <w:t>article</w:t>
      </w:r>
      <w:r w:rsidR="00432F5D" w:rsidRPr="00A75276">
        <w:rPr>
          <w:lang w:val="fr-FR"/>
        </w:rPr>
        <w:t> </w:t>
      </w:r>
      <w:r w:rsidR="00BB056C" w:rsidRPr="00A75276">
        <w:rPr>
          <w:lang w:val="fr-FR"/>
        </w:rPr>
        <w:t>34;  le nomb</w:t>
      </w:r>
      <w:r w:rsidRPr="00A75276">
        <w:rPr>
          <w:lang w:val="fr-FR"/>
        </w:rPr>
        <w:t>r</w:t>
      </w:r>
      <w:r w:rsidR="00BB056C" w:rsidRPr="00A75276">
        <w:rPr>
          <w:lang w:val="fr-FR"/>
        </w:rPr>
        <w:t>e</w:t>
      </w:r>
      <w:r w:rsidRPr="00A75276">
        <w:rPr>
          <w:lang w:val="fr-FR"/>
        </w:rPr>
        <w:t xml:space="preserve"> d</w:t>
      </w:r>
      <w:r w:rsidR="009C53EC" w:rsidRPr="00A75276">
        <w:rPr>
          <w:lang w:val="fr-FR"/>
        </w:rPr>
        <w:t>’</w:t>
      </w:r>
      <w:r w:rsidRPr="00A75276">
        <w:rPr>
          <w:lang w:val="fr-FR"/>
        </w:rPr>
        <w:t>actions de l</w:t>
      </w:r>
      <w:r w:rsidR="009C53EC" w:rsidRPr="00A75276">
        <w:rPr>
          <w:lang w:val="fr-FR"/>
        </w:rPr>
        <w:t>’</w:t>
      </w:r>
      <w:r w:rsidRPr="00A75276">
        <w:rPr>
          <w:lang w:val="fr-FR"/>
        </w:rPr>
        <w:t>office et le taux d</w:t>
      </w:r>
      <w:r w:rsidR="009C53EC" w:rsidRPr="00A75276">
        <w:rPr>
          <w:lang w:val="fr-FR"/>
        </w:rPr>
        <w:t>’</w:t>
      </w:r>
      <w:r w:rsidRPr="00A75276">
        <w:rPr>
          <w:lang w:val="fr-FR"/>
        </w:rPr>
        <w:t xml:space="preserve">acceptation dans la phase nationale par origine du rapport de recherche internationale;  et une ventilation du pourcentage </w:t>
      </w:r>
      <w:r w:rsidR="003C60CE" w:rsidRPr="00A75276">
        <w:rPr>
          <w:lang w:val="fr-FR"/>
        </w:rPr>
        <w:t>de citations </w:t>
      </w:r>
      <w:r w:rsidRPr="00A75276">
        <w:rPr>
          <w:lang w:val="fr-FR"/>
        </w:rPr>
        <w:t>X, Y ou E à la caractéristique 1.1 par origine du déposant pour une administration chargée de la recherche internationale donn</w:t>
      </w:r>
      <w:r w:rsidR="00A16C85" w:rsidRPr="00A75276">
        <w:rPr>
          <w:lang w:val="fr-FR"/>
        </w:rPr>
        <w:t>ée.  Un</w:t>
      </w:r>
      <w:r w:rsidRPr="00A75276">
        <w:rPr>
          <w:lang w:val="fr-FR"/>
        </w:rPr>
        <w:t>e administration a déclaré qu</w:t>
      </w:r>
      <w:r w:rsidR="009C53EC" w:rsidRPr="00A75276">
        <w:rPr>
          <w:lang w:val="fr-FR"/>
        </w:rPr>
        <w:t>’</w:t>
      </w:r>
      <w:r w:rsidRPr="00A75276">
        <w:rPr>
          <w:lang w:val="fr-FR"/>
        </w:rPr>
        <w:t>elle mesurait les taux d</w:t>
      </w:r>
      <w:r w:rsidR="009C53EC" w:rsidRPr="00A75276">
        <w:rPr>
          <w:lang w:val="fr-FR"/>
        </w:rPr>
        <w:t>’</w:t>
      </w:r>
      <w:r w:rsidRPr="00A75276">
        <w:rPr>
          <w:lang w:val="fr-FR"/>
        </w:rPr>
        <w:t>acceptation pour les demandes internationales entrées dans la phase nationale devant son office national en sa qualité d</w:t>
      </w:r>
      <w:r w:rsidR="009C53EC" w:rsidRPr="00A75276">
        <w:rPr>
          <w:lang w:val="fr-FR"/>
        </w:rPr>
        <w:t>’</w:t>
      </w:r>
      <w:r w:rsidRPr="00A75276">
        <w:rPr>
          <w:lang w:val="fr-FR"/>
        </w:rPr>
        <w:t xml:space="preserve">office </w:t>
      </w:r>
      <w:r w:rsidR="006E3CBA" w:rsidRPr="00A75276">
        <w:rPr>
          <w:lang w:val="fr-FR"/>
        </w:rPr>
        <w:t xml:space="preserve">désigné </w:t>
      </w:r>
      <w:r w:rsidRPr="00A75276">
        <w:rPr>
          <w:lang w:val="fr-FR"/>
        </w:rPr>
        <w:t>lorsqu</w:t>
      </w:r>
      <w:r w:rsidR="009C53EC" w:rsidRPr="00A75276">
        <w:rPr>
          <w:lang w:val="fr-FR"/>
        </w:rPr>
        <w:t>’</w:t>
      </w:r>
      <w:r w:rsidRPr="00A75276">
        <w:rPr>
          <w:lang w:val="fr-FR"/>
        </w:rPr>
        <w:t xml:space="preserve">il avait </w:t>
      </w:r>
      <w:r w:rsidR="00BB056C" w:rsidRPr="00A75276">
        <w:rPr>
          <w:lang w:val="fr-FR"/>
        </w:rPr>
        <w:t>agi</w:t>
      </w:r>
      <w:r w:rsidRPr="00A75276">
        <w:rPr>
          <w:lang w:val="fr-FR"/>
        </w:rPr>
        <w:t xml:space="preserve"> en tant qu</w:t>
      </w:r>
      <w:r w:rsidR="009C53EC" w:rsidRPr="00A75276">
        <w:rPr>
          <w:lang w:val="fr-FR"/>
        </w:rPr>
        <w:t>’</w:t>
      </w:r>
      <w:r w:rsidRPr="00A75276">
        <w:rPr>
          <w:lang w:val="fr-FR"/>
        </w:rPr>
        <w:t>administration internationale compétente et avait établi un rapport préliminaire international sur la brevetabilité positif, mais qu</w:t>
      </w:r>
      <w:r w:rsidR="009C53EC" w:rsidRPr="00A75276">
        <w:rPr>
          <w:lang w:val="fr-FR"/>
        </w:rPr>
        <w:t>’</w:t>
      </w:r>
      <w:r w:rsidRPr="00A75276">
        <w:rPr>
          <w:lang w:val="fr-FR"/>
        </w:rPr>
        <w:t>elle ne considérait pas que ces taux étaient pertinents lorsque le rapport de recherche internationale avait été établi par une autre administration.</w:t>
      </w:r>
    </w:p>
    <w:p w:rsidR="002E5DCA" w:rsidRPr="00A75276" w:rsidRDefault="00EB0323" w:rsidP="00EB0323">
      <w:pPr>
        <w:pStyle w:val="ONUMFS"/>
        <w:ind w:left="567"/>
        <w:rPr>
          <w:lang w:val="fr-FR"/>
        </w:rPr>
      </w:pPr>
      <w:r w:rsidRPr="00A75276">
        <w:rPr>
          <w:lang w:val="fr-FR"/>
        </w:rPr>
        <w:t>Le sous</w:t>
      </w:r>
      <w:r w:rsidR="00A16C85" w:rsidRPr="00A75276">
        <w:rPr>
          <w:lang w:val="fr-FR"/>
        </w:rPr>
        <w:noBreakHyphen/>
      </w:r>
      <w:r w:rsidRPr="00A75276">
        <w:rPr>
          <w:lang w:val="fr-FR"/>
        </w:rPr>
        <w:t>groupe a recommandé que le Bureau international continue d</w:t>
      </w:r>
      <w:r w:rsidR="009C53EC" w:rsidRPr="00A75276">
        <w:rPr>
          <w:lang w:val="fr-FR"/>
        </w:rPr>
        <w:t>’</w:t>
      </w:r>
      <w:r w:rsidRPr="00A75276">
        <w:rPr>
          <w:lang w:val="fr-FR"/>
        </w:rPr>
        <w:t>établir le rapport sur les caractéristiques des rapports de recherche internationale, en tenant compte de la faisabilité des suggestions formulées par les administrations concernant d</w:t>
      </w:r>
      <w:r w:rsidR="009C53EC" w:rsidRPr="00A75276">
        <w:rPr>
          <w:lang w:val="fr-FR"/>
        </w:rPr>
        <w:t>’</w:t>
      </w:r>
      <w:r w:rsidRPr="00A75276">
        <w:rPr>
          <w:lang w:val="fr-FR"/>
        </w:rPr>
        <w:t>autres paramètres et de toute autre idée publiée sur le forum électronique à un stade ultérieur.</w:t>
      </w:r>
    </w:p>
    <w:p w:rsidR="00715135" w:rsidRPr="00A75276" w:rsidRDefault="003B0A39" w:rsidP="003B0A39">
      <w:pPr>
        <w:pStyle w:val="Heading2"/>
        <w:rPr>
          <w:lang w:val="fr-FR"/>
        </w:rPr>
      </w:pPr>
      <w:r w:rsidRPr="00A75276">
        <w:rPr>
          <w:lang w:val="fr-FR"/>
        </w:rPr>
        <w:t>B)</w:t>
      </w:r>
      <w:r w:rsidRPr="00A75276">
        <w:rPr>
          <w:lang w:val="fr-FR"/>
        </w:rPr>
        <w:tab/>
        <w:t>Cadre pour les indicateurs</w:t>
      </w:r>
      <w:r w:rsidR="002E5DCA" w:rsidRPr="00A75276">
        <w:rPr>
          <w:lang w:val="fr-FR"/>
        </w:rPr>
        <w:t xml:space="preserve"> du PCT</w:t>
      </w:r>
    </w:p>
    <w:p w:rsidR="00715135" w:rsidRPr="00A75276" w:rsidRDefault="00EC0850" w:rsidP="00EC0850">
      <w:pPr>
        <w:pStyle w:val="ONUMFS"/>
        <w:rPr>
          <w:lang w:val="fr-FR"/>
        </w:rPr>
      </w:pPr>
      <w:r w:rsidRPr="00A75276">
        <w:rPr>
          <w:lang w:val="fr-FR"/>
        </w:rPr>
        <w:t>Les administrations ont reconnu qu</w:t>
      </w:r>
      <w:r w:rsidR="009C53EC" w:rsidRPr="00A75276">
        <w:rPr>
          <w:lang w:val="fr-FR"/>
        </w:rPr>
        <w:t>’</w:t>
      </w:r>
      <w:r w:rsidRPr="00A75276">
        <w:rPr>
          <w:lang w:val="fr-FR"/>
        </w:rPr>
        <w:t>il importait pour le bon fonctionnement du système</w:t>
      </w:r>
      <w:r w:rsidR="002E5DCA" w:rsidRPr="00A75276">
        <w:rPr>
          <w:lang w:val="fr-FR"/>
        </w:rPr>
        <w:t xml:space="preserve"> du PCT</w:t>
      </w:r>
      <w:r w:rsidRPr="00A75276">
        <w:rPr>
          <w:lang w:val="fr-FR"/>
        </w:rPr>
        <w:t xml:space="preserve"> dans son ensemble que les offices disposent d</w:t>
      </w:r>
      <w:r w:rsidR="009C53EC" w:rsidRPr="00A75276">
        <w:rPr>
          <w:lang w:val="fr-FR"/>
        </w:rPr>
        <w:t>’</w:t>
      </w:r>
      <w:r w:rsidRPr="00A75276">
        <w:rPr>
          <w:lang w:val="fr-FR"/>
        </w:rPr>
        <w:t>informations actualisées et fiables en leurs différentes qualités selon</w:t>
      </w:r>
      <w:r w:rsidR="002E5DCA" w:rsidRPr="00A75276">
        <w:rPr>
          <w:lang w:val="fr-FR"/>
        </w:rPr>
        <w:t xml:space="preserve"> le PCT</w:t>
      </w:r>
      <w:r w:rsidR="001A5167" w:rsidRPr="00A75276">
        <w:rPr>
          <w:lang w:val="fr-FR"/>
        </w:rPr>
        <w:t xml:space="preserve"> </w:t>
      </w:r>
      <w:r w:rsidRPr="00A75276">
        <w:rPr>
          <w:lang w:val="fr-FR"/>
        </w:rPr>
        <w:t>et ont accueilli avec satisfaction les faits survenus récemment, en particulier l</w:t>
      </w:r>
      <w:r w:rsidR="009C53EC" w:rsidRPr="00A75276">
        <w:rPr>
          <w:lang w:val="fr-FR"/>
        </w:rPr>
        <w:t>’</w:t>
      </w:r>
      <w:r w:rsidRPr="00A75276">
        <w:rPr>
          <w:lang w:val="fr-FR"/>
        </w:rPr>
        <w:t>adjonction de nouveaux outils d</w:t>
      </w:r>
      <w:r w:rsidR="009C53EC" w:rsidRPr="00A75276">
        <w:rPr>
          <w:lang w:val="fr-FR"/>
        </w:rPr>
        <w:t>’</w:t>
      </w:r>
      <w:r w:rsidRPr="00A75276">
        <w:rPr>
          <w:lang w:val="fr-FR"/>
        </w:rPr>
        <w:t xml:space="preserve">établissement de rapports dans le système </w:t>
      </w:r>
      <w:proofErr w:type="spellStart"/>
      <w:r w:rsidR="001A5167" w:rsidRPr="00A75276">
        <w:rPr>
          <w:lang w:val="fr-FR"/>
        </w:rPr>
        <w:t>ePCT</w:t>
      </w:r>
      <w:proofErr w:type="spellEnd"/>
      <w:r w:rsidR="001A5167" w:rsidRPr="00A75276">
        <w:rPr>
          <w:lang w:val="fr-FR"/>
        </w:rPr>
        <w:t xml:space="preserve"> </w:t>
      </w:r>
      <w:r w:rsidRPr="00A75276">
        <w:rPr>
          <w:lang w:val="fr-FR"/>
        </w:rPr>
        <w:t xml:space="preserve">et de données supplémentaires sur les </w:t>
      </w:r>
      <w:r w:rsidR="001A5167" w:rsidRPr="00A75276">
        <w:rPr>
          <w:lang w:val="fr-FR"/>
        </w:rPr>
        <w:t xml:space="preserve">19 </w:t>
      </w:r>
      <w:r w:rsidRPr="00A75276">
        <w:rPr>
          <w:lang w:val="fr-FR"/>
        </w:rPr>
        <w:t>indicateurs</w:t>
      </w:r>
      <w:r w:rsidR="002E5DCA" w:rsidRPr="00A75276">
        <w:rPr>
          <w:lang w:val="fr-FR"/>
        </w:rPr>
        <w:t xml:space="preserve"> du PCT</w:t>
      </w:r>
      <w:r w:rsidR="001A5167" w:rsidRPr="00A75276">
        <w:rPr>
          <w:lang w:val="fr-FR"/>
        </w:rPr>
        <w:t xml:space="preserve"> </w:t>
      </w:r>
      <w:r w:rsidRPr="00A75276">
        <w:rPr>
          <w:lang w:val="fr-FR"/>
        </w:rPr>
        <w:t>disponibles par l</w:t>
      </w:r>
      <w:r w:rsidR="009C53EC" w:rsidRPr="00A75276">
        <w:rPr>
          <w:lang w:val="fr-FR"/>
        </w:rPr>
        <w:t>’</w:t>
      </w:r>
      <w:r w:rsidRPr="00A75276">
        <w:rPr>
          <w:lang w:val="fr-FR"/>
        </w:rPr>
        <w:t>intermédiaire du Centre de données statistiques sur la propriété intellectuelle de l</w:t>
      </w:r>
      <w:r w:rsidR="009C53EC" w:rsidRPr="00A75276">
        <w:rPr>
          <w:lang w:val="fr-FR"/>
        </w:rPr>
        <w:t>’</w:t>
      </w:r>
      <w:r w:rsidRPr="00A75276">
        <w:rPr>
          <w:lang w:val="fr-FR"/>
        </w:rPr>
        <w:t>OMPI</w:t>
      </w:r>
      <w:r w:rsidR="001A5167" w:rsidRPr="00A75276">
        <w:rPr>
          <w:lang w:val="fr-FR"/>
        </w:rPr>
        <w:t>.</w:t>
      </w:r>
    </w:p>
    <w:p w:rsidR="00715135" w:rsidRPr="00A75276" w:rsidRDefault="00EC0850" w:rsidP="00A9298C">
      <w:pPr>
        <w:pStyle w:val="ONUMFS"/>
        <w:rPr>
          <w:bCs/>
          <w:iCs/>
          <w:caps/>
          <w:lang w:val="fr-FR"/>
        </w:rPr>
      </w:pPr>
      <w:r w:rsidRPr="00A75276">
        <w:rPr>
          <w:lang w:val="fr-FR"/>
        </w:rPr>
        <w:t>Une administration</w:t>
      </w:r>
      <w:r w:rsidR="001A5167" w:rsidRPr="00A75276">
        <w:rPr>
          <w:lang w:val="fr-FR"/>
        </w:rPr>
        <w:t xml:space="preserve">, </w:t>
      </w:r>
      <w:r w:rsidRPr="00A75276">
        <w:rPr>
          <w:lang w:val="fr-FR"/>
        </w:rPr>
        <w:t>tout en déclarant qu</w:t>
      </w:r>
      <w:r w:rsidR="009C53EC" w:rsidRPr="00A75276">
        <w:rPr>
          <w:lang w:val="fr-FR"/>
        </w:rPr>
        <w:t>’</w:t>
      </w:r>
      <w:r w:rsidRPr="00A75276">
        <w:rPr>
          <w:lang w:val="fr-FR"/>
        </w:rPr>
        <w:t>elle avait trouvé les données relatives aux dépôts électroniques très utiles, a exprimé des préoccupations quant à l</w:t>
      </w:r>
      <w:r w:rsidR="009C53EC" w:rsidRPr="00A75276">
        <w:rPr>
          <w:lang w:val="fr-FR"/>
        </w:rPr>
        <w:t>’</w:t>
      </w:r>
      <w:r w:rsidRPr="00A75276">
        <w:rPr>
          <w:lang w:val="fr-FR"/>
        </w:rPr>
        <w:t>exactitude des données relatives aux dépôts sur papi</w:t>
      </w:r>
      <w:r w:rsidR="00A16C85" w:rsidRPr="00A75276">
        <w:rPr>
          <w:lang w:val="fr-FR"/>
        </w:rPr>
        <w:t>er.  Un</w:t>
      </w:r>
      <w:r w:rsidRPr="00A75276">
        <w:rPr>
          <w:lang w:val="fr-FR"/>
        </w:rPr>
        <w:t>e autre administration a suggéré d</w:t>
      </w:r>
      <w:r w:rsidR="009C53EC" w:rsidRPr="00A75276">
        <w:rPr>
          <w:lang w:val="fr-FR"/>
        </w:rPr>
        <w:t>’</w:t>
      </w:r>
      <w:r w:rsidRPr="00A75276">
        <w:rPr>
          <w:lang w:val="fr-FR"/>
        </w:rPr>
        <w:t>envisager la possibilité d</w:t>
      </w:r>
      <w:r w:rsidR="009C53EC" w:rsidRPr="00A75276">
        <w:rPr>
          <w:lang w:val="fr-FR"/>
        </w:rPr>
        <w:t>’</w:t>
      </w:r>
      <w:r w:rsidRPr="00A75276">
        <w:rPr>
          <w:lang w:val="fr-FR"/>
        </w:rPr>
        <w:t>élaborer un outil simple d</w:t>
      </w:r>
      <w:r w:rsidR="009C53EC" w:rsidRPr="00A75276">
        <w:rPr>
          <w:lang w:val="fr-FR"/>
        </w:rPr>
        <w:t>’</w:t>
      </w:r>
      <w:r w:rsidRPr="00A75276">
        <w:rPr>
          <w:lang w:val="fr-FR"/>
        </w:rPr>
        <w:t xml:space="preserve">utilisation </w:t>
      </w:r>
      <w:r w:rsidR="009B31EF" w:rsidRPr="00A75276">
        <w:rPr>
          <w:lang w:val="fr-FR"/>
        </w:rPr>
        <w:t xml:space="preserve">(en cliquant sur un simple bouton) </w:t>
      </w:r>
      <w:r w:rsidRPr="00A75276">
        <w:rPr>
          <w:lang w:val="fr-FR"/>
        </w:rPr>
        <w:t xml:space="preserve">pour </w:t>
      </w:r>
      <w:r w:rsidR="009B31EF" w:rsidRPr="00A75276">
        <w:rPr>
          <w:lang w:val="fr-FR"/>
        </w:rPr>
        <w:t>rendre compte des problèmes liés aux disparités entre les donné</w:t>
      </w:r>
      <w:r w:rsidR="00A16C85" w:rsidRPr="00A75276">
        <w:rPr>
          <w:lang w:val="fr-FR"/>
        </w:rPr>
        <w:t>es.  Un</w:t>
      </w:r>
      <w:r w:rsidR="009B31EF" w:rsidRPr="00A75276">
        <w:rPr>
          <w:lang w:val="fr-FR"/>
        </w:rPr>
        <w:t>e autre administration a quant à elle suggéré d</w:t>
      </w:r>
      <w:r w:rsidR="009C53EC" w:rsidRPr="00A75276">
        <w:rPr>
          <w:lang w:val="fr-FR"/>
        </w:rPr>
        <w:t>’</w:t>
      </w:r>
      <w:r w:rsidR="009B31EF" w:rsidRPr="00A75276">
        <w:rPr>
          <w:lang w:val="fr-FR"/>
        </w:rPr>
        <w:t>améliorer la qualité des données relatives aux indicateurs existants avant d</w:t>
      </w:r>
      <w:r w:rsidR="009C53EC" w:rsidRPr="00A75276">
        <w:rPr>
          <w:lang w:val="fr-FR"/>
        </w:rPr>
        <w:t>’</w:t>
      </w:r>
      <w:r w:rsidR="009B31EF" w:rsidRPr="00A75276">
        <w:rPr>
          <w:lang w:val="fr-FR"/>
        </w:rPr>
        <w:t>envisager d</w:t>
      </w:r>
      <w:r w:rsidR="009C53EC" w:rsidRPr="00A75276">
        <w:rPr>
          <w:lang w:val="fr-FR"/>
        </w:rPr>
        <w:t>’</w:t>
      </w:r>
      <w:r w:rsidR="009B31EF" w:rsidRPr="00A75276">
        <w:rPr>
          <w:lang w:val="fr-FR"/>
        </w:rPr>
        <w:t>en ajouter d</w:t>
      </w:r>
      <w:r w:rsidR="009C53EC" w:rsidRPr="00A75276">
        <w:rPr>
          <w:lang w:val="fr-FR"/>
        </w:rPr>
        <w:t>’</w:t>
      </w:r>
      <w:r w:rsidR="009B31EF" w:rsidRPr="00A75276">
        <w:rPr>
          <w:lang w:val="fr-FR"/>
        </w:rPr>
        <w:t>autres</w:t>
      </w:r>
      <w:r w:rsidR="001A5167" w:rsidRPr="00A75276">
        <w:rPr>
          <w:lang w:val="fr-FR"/>
        </w:rPr>
        <w:t>.</w:t>
      </w:r>
    </w:p>
    <w:p w:rsidR="00715135" w:rsidRPr="00A75276" w:rsidRDefault="001B7517" w:rsidP="00A9298C">
      <w:pPr>
        <w:pStyle w:val="ONUMFS"/>
        <w:rPr>
          <w:bCs/>
          <w:iCs/>
          <w:caps/>
          <w:lang w:val="fr-FR"/>
        </w:rPr>
      </w:pPr>
      <w:r w:rsidRPr="00A75276">
        <w:rPr>
          <w:lang w:val="fr-FR"/>
        </w:rPr>
        <w:t>Plusieurs administrations ont accueilli avec satisfaction l</w:t>
      </w:r>
      <w:r w:rsidR="009C53EC" w:rsidRPr="00A75276">
        <w:rPr>
          <w:lang w:val="fr-FR"/>
        </w:rPr>
        <w:t>’</w:t>
      </w:r>
      <w:r w:rsidRPr="00A75276">
        <w:rPr>
          <w:lang w:val="fr-FR"/>
        </w:rPr>
        <w:t xml:space="preserve">offre tendant à élaborer des systèmes permettant au </w:t>
      </w:r>
      <w:r w:rsidR="00DA41F7" w:rsidRPr="00A75276">
        <w:rPr>
          <w:lang w:val="fr-FR"/>
        </w:rPr>
        <w:t>Bureau international</w:t>
      </w:r>
      <w:r w:rsidR="001A5167" w:rsidRPr="00A75276">
        <w:rPr>
          <w:lang w:val="fr-FR"/>
        </w:rPr>
        <w:t xml:space="preserve"> </w:t>
      </w:r>
      <w:r w:rsidRPr="00A75276">
        <w:rPr>
          <w:lang w:val="fr-FR"/>
        </w:rPr>
        <w:t>d</w:t>
      </w:r>
      <w:r w:rsidR="009C53EC" w:rsidRPr="00A75276">
        <w:rPr>
          <w:lang w:val="fr-FR"/>
        </w:rPr>
        <w:t>’</w:t>
      </w:r>
      <w:r w:rsidRPr="00A75276">
        <w:rPr>
          <w:lang w:val="fr-FR"/>
        </w:rPr>
        <w:t xml:space="preserve">envoyer périodiquement des rapports aux </w:t>
      </w:r>
      <w:r w:rsidRPr="00A75276">
        <w:rPr>
          <w:lang w:val="fr-FR"/>
        </w:rPr>
        <w:lastRenderedPageBreak/>
        <w:t>o</w:t>
      </w:r>
      <w:r w:rsidR="001A5167" w:rsidRPr="00A75276">
        <w:rPr>
          <w:lang w:val="fr-FR"/>
        </w:rPr>
        <w:t xml:space="preserve">ffices, </w:t>
      </w:r>
      <w:r w:rsidRPr="00A75276">
        <w:rPr>
          <w:lang w:val="fr-FR"/>
        </w:rPr>
        <w:t>pour autant que ce système reste facultatif pour les o</w:t>
      </w:r>
      <w:r w:rsidR="001A5167" w:rsidRPr="00A75276">
        <w:rPr>
          <w:lang w:val="fr-FR"/>
        </w:rPr>
        <w:t xml:space="preserve">ffices </w:t>
      </w:r>
      <w:r w:rsidRPr="00A75276">
        <w:rPr>
          <w:lang w:val="fr-FR"/>
        </w:rPr>
        <w:t>et soit suffisamment souple pour répondre aux différents besoins des utilisateurs</w:t>
      </w:r>
      <w:r w:rsidR="001A5167" w:rsidRPr="00A75276">
        <w:rPr>
          <w:lang w:val="fr-FR"/>
        </w:rPr>
        <w:t>.</w:t>
      </w:r>
    </w:p>
    <w:p w:rsidR="00715135" w:rsidRPr="00A75276" w:rsidRDefault="00636080" w:rsidP="00A9298C">
      <w:pPr>
        <w:pStyle w:val="ONUMFS"/>
        <w:rPr>
          <w:lang w:val="fr-FR"/>
        </w:rPr>
      </w:pPr>
      <w:r w:rsidRPr="00A75276">
        <w:rPr>
          <w:lang w:val="fr-FR"/>
        </w:rPr>
        <w:t>En réponse à la demande d</w:t>
      </w:r>
      <w:r w:rsidR="009C53EC" w:rsidRPr="00A75276">
        <w:rPr>
          <w:lang w:val="fr-FR"/>
        </w:rPr>
        <w:t>’</w:t>
      </w:r>
      <w:r w:rsidRPr="00A75276">
        <w:rPr>
          <w:lang w:val="fr-FR"/>
        </w:rPr>
        <w:t>une administration</w:t>
      </w:r>
      <w:r w:rsidR="001A5167" w:rsidRPr="00A75276">
        <w:rPr>
          <w:lang w:val="fr-FR"/>
        </w:rPr>
        <w:t xml:space="preserve"> </w:t>
      </w:r>
      <w:r w:rsidR="00D8195F" w:rsidRPr="00A75276">
        <w:rPr>
          <w:lang w:val="fr-FR"/>
        </w:rPr>
        <w:t>quant à la proposition relative à l</w:t>
      </w:r>
      <w:r w:rsidR="009C53EC" w:rsidRPr="00A75276">
        <w:rPr>
          <w:lang w:val="fr-FR"/>
        </w:rPr>
        <w:t>’</w:t>
      </w:r>
      <w:r w:rsidR="00D8195F" w:rsidRPr="00A75276">
        <w:rPr>
          <w:lang w:val="fr-FR"/>
        </w:rPr>
        <w:t>élaboration d</w:t>
      </w:r>
      <w:r w:rsidR="009C53EC" w:rsidRPr="00A75276">
        <w:rPr>
          <w:lang w:val="fr-FR"/>
        </w:rPr>
        <w:t>’</w:t>
      </w:r>
      <w:r w:rsidR="00D8195F" w:rsidRPr="00A75276">
        <w:rPr>
          <w:lang w:val="fr-FR"/>
        </w:rPr>
        <w:t xml:space="preserve">indicateurs concernant la qualité des demandes </w:t>
      </w:r>
      <w:r w:rsidR="001A5167" w:rsidRPr="00A75276">
        <w:rPr>
          <w:lang w:val="fr-FR"/>
        </w:rPr>
        <w:t>international</w:t>
      </w:r>
      <w:r w:rsidR="00D8195F" w:rsidRPr="00A75276">
        <w:rPr>
          <w:lang w:val="fr-FR"/>
        </w:rPr>
        <w:t>es et des produits du travail des offices récepteurs</w:t>
      </w:r>
      <w:r w:rsidR="001A5167" w:rsidRPr="00A75276">
        <w:rPr>
          <w:lang w:val="fr-FR"/>
        </w:rPr>
        <w:t xml:space="preserve">, </w:t>
      </w:r>
      <w:r w:rsidR="00DA41F7" w:rsidRPr="00A75276">
        <w:rPr>
          <w:lang w:val="fr-FR"/>
        </w:rPr>
        <w:t>le Bureau international</w:t>
      </w:r>
      <w:r w:rsidR="001A5167" w:rsidRPr="00A75276">
        <w:rPr>
          <w:lang w:val="fr-FR"/>
        </w:rPr>
        <w:t xml:space="preserve"> </w:t>
      </w:r>
      <w:r w:rsidR="00D8195F" w:rsidRPr="00A75276">
        <w:rPr>
          <w:lang w:val="fr-FR"/>
        </w:rPr>
        <w:t>a répondu que l</w:t>
      </w:r>
      <w:r w:rsidR="009C53EC" w:rsidRPr="00A75276">
        <w:rPr>
          <w:lang w:val="fr-FR"/>
        </w:rPr>
        <w:t>’</w:t>
      </w:r>
      <w:r w:rsidR="00D8195F" w:rsidRPr="00A75276">
        <w:rPr>
          <w:lang w:val="fr-FR"/>
        </w:rPr>
        <w:t>analyse des données figurant dans l</w:t>
      </w:r>
      <w:r w:rsidR="00FB12CD" w:rsidRPr="00A75276">
        <w:rPr>
          <w:lang w:val="fr-FR"/>
        </w:rPr>
        <w:t>e</w:t>
      </w:r>
      <w:r w:rsidR="00D8195F" w:rsidRPr="00A75276">
        <w:rPr>
          <w:lang w:val="fr-FR"/>
        </w:rPr>
        <w:t xml:space="preserve"> formulaire </w:t>
      </w:r>
      <w:r w:rsidR="001A5167" w:rsidRPr="00A75276">
        <w:rPr>
          <w:lang w:val="fr-FR"/>
        </w:rPr>
        <w:t xml:space="preserve">RO/IB/106 (invitation </w:t>
      </w:r>
      <w:r w:rsidR="00D8195F" w:rsidRPr="00A75276">
        <w:rPr>
          <w:lang w:val="fr-FR"/>
        </w:rPr>
        <w:t>de l</w:t>
      </w:r>
      <w:r w:rsidR="009C53EC" w:rsidRPr="00A75276">
        <w:rPr>
          <w:lang w:val="fr-FR"/>
        </w:rPr>
        <w:t>’</w:t>
      </w:r>
      <w:r w:rsidR="00D8195F" w:rsidRPr="00A75276">
        <w:rPr>
          <w:lang w:val="fr-FR"/>
        </w:rPr>
        <w:t>o</w:t>
      </w:r>
      <w:r w:rsidR="001A5167" w:rsidRPr="00A75276">
        <w:rPr>
          <w:lang w:val="fr-FR"/>
        </w:rPr>
        <w:t xml:space="preserve">ffice </w:t>
      </w:r>
      <w:r w:rsidR="00D8195F" w:rsidRPr="00A75276">
        <w:rPr>
          <w:lang w:val="fr-FR"/>
        </w:rPr>
        <w:t>à corriger certain</w:t>
      </w:r>
      <w:r w:rsidR="00FB12CD" w:rsidRPr="00A75276">
        <w:rPr>
          <w:lang w:val="fr-FR"/>
        </w:rPr>
        <w:t>e</w:t>
      </w:r>
      <w:r w:rsidR="00D8195F" w:rsidRPr="00A75276">
        <w:rPr>
          <w:lang w:val="fr-FR"/>
        </w:rPr>
        <w:t>s irrégularités dans la demande</w:t>
      </w:r>
      <w:r w:rsidR="001A5167" w:rsidRPr="00A75276">
        <w:rPr>
          <w:lang w:val="fr-FR"/>
        </w:rPr>
        <w:t>) a</w:t>
      </w:r>
      <w:r w:rsidR="00D8195F" w:rsidRPr="00A75276">
        <w:rPr>
          <w:lang w:val="fr-FR"/>
        </w:rPr>
        <w:t>insi que des donn</w:t>
      </w:r>
      <w:r w:rsidR="003C60CE" w:rsidRPr="00A75276">
        <w:rPr>
          <w:lang w:val="fr-FR"/>
        </w:rPr>
        <w:t>ées figurant dans le formulaire </w:t>
      </w:r>
      <w:r w:rsidR="001A5167" w:rsidRPr="00A75276">
        <w:rPr>
          <w:lang w:val="fr-FR"/>
        </w:rPr>
        <w:t xml:space="preserve">PCT/IB/313 (invitation </w:t>
      </w:r>
      <w:r w:rsidR="00D8195F" w:rsidRPr="00A75276">
        <w:rPr>
          <w:lang w:val="fr-FR"/>
        </w:rPr>
        <w:t xml:space="preserve">adressée par le </w:t>
      </w:r>
      <w:r w:rsidR="00DA41F7" w:rsidRPr="00A75276">
        <w:rPr>
          <w:lang w:val="fr-FR"/>
        </w:rPr>
        <w:t>Bureau international</w:t>
      </w:r>
      <w:r w:rsidR="001A5167" w:rsidRPr="00A75276">
        <w:rPr>
          <w:lang w:val="fr-FR"/>
        </w:rPr>
        <w:t xml:space="preserve"> </w:t>
      </w:r>
      <w:r w:rsidR="00D8195F" w:rsidRPr="00A75276">
        <w:rPr>
          <w:lang w:val="fr-FR"/>
        </w:rPr>
        <w:t>à l</w:t>
      </w:r>
      <w:r w:rsidR="009C53EC" w:rsidRPr="00A75276">
        <w:rPr>
          <w:lang w:val="fr-FR"/>
        </w:rPr>
        <w:t>’</w:t>
      </w:r>
      <w:r w:rsidR="00D8195F" w:rsidRPr="00A75276">
        <w:rPr>
          <w:lang w:val="fr-FR"/>
        </w:rPr>
        <w:t>office récepteur pour qu</w:t>
      </w:r>
      <w:r w:rsidR="009C53EC" w:rsidRPr="00A75276">
        <w:rPr>
          <w:lang w:val="fr-FR"/>
        </w:rPr>
        <w:t>’</w:t>
      </w:r>
      <w:r w:rsidR="00D8195F" w:rsidRPr="00A75276">
        <w:rPr>
          <w:lang w:val="fr-FR"/>
        </w:rPr>
        <w:t xml:space="preserve">il </w:t>
      </w:r>
      <w:r w:rsidR="00BB056C" w:rsidRPr="00A75276">
        <w:rPr>
          <w:lang w:val="fr-FR"/>
        </w:rPr>
        <w:t>invite</w:t>
      </w:r>
      <w:r w:rsidR="001A5167" w:rsidRPr="00A75276">
        <w:rPr>
          <w:lang w:val="fr-FR"/>
        </w:rPr>
        <w:t xml:space="preserve"> </w:t>
      </w:r>
      <w:r w:rsidR="00D8195F" w:rsidRPr="00A75276">
        <w:rPr>
          <w:lang w:val="fr-FR"/>
        </w:rPr>
        <w:t>le déposant à corriger des irrégularités supplémentaires que l</w:t>
      </w:r>
      <w:r w:rsidR="009C53EC" w:rsidRPr="00A75276">
        <w:rPr>
          <w:lang w:val="fr-FR"/>
        </w:rPr>
        <w:t>’</w:t>
      </w:r>
      <w:r w:rsidR="00D8195F" w:rsidRPr="00A75276">
        <w:rPr>
          <w:lang w:val="fr-FR"/>
        </w:rPr>
        <w:t>office récepteur n</w:t>
      </w:r>
      <w:r w:rsidR="009C53EC" w:rsidRPr="00A75276">
        <w:rPr>
          <w:lang w:val="fr-FR"/>
        </w:rPr>
        <w:t>’</w:t>
      </w:r>
      <w:r w:rsidR="00D8195F" w:rsidRPr="00A75276">
        <w:rPr>
          <w:lang w:val="fr-FR"/>
        </w:rPr>
        <w:t>avait pas encore invité le déposant à corriger</w:t>
      </w:r>
      <w:r w:rsidR="001A5167" w:rsidRPr="00A75276">
        <w:rPr>
          <w:lang w:val="fr-FR"/>
        </w:rPr>
        <w:t xml:space="preserve">) </w:t>
      </w:r>
      <w:r w:rsidR="00D8195F" w:rsidRPr="00A75276">
        <w:rPr>
          <w:lang w:val="fr-FR"/>
        </w:rPr>
        <w:t xml:space="preserve">rendrait </w:t>
      </w:r>
      <w:r w:rsidR="001A5167" w:rsidRPr="00A75276">
        <w:rPr>
          <w:lang w:val="fr-FR"/>
        </w:rPr>
        <w:t xml:space="preserve">possible </w:t>
      </w:r>
      <w:r w:rsidR="00D8195F" w:rsidRPr="00A75276">
        <w:rPr>
          <w:lang w:val="fr-FR"/>
        </w:rPr>
        <w:t>l</w:t>
      </w:r>
      <w:r w:rsidR="009C53EC" w:rsidRPr="00A75276">
        <w:rPr>
          <w:lang w:val="fr-FR"/>
        </w:rPr>
        <w:t>’</w:t>
      </w:r>
      <w:r w:rsidR="00D8195F" w:rsidRPr="00A75276">
        <w:rPr>
          <w:lang w:val="fr-FR"/>
        </w:rPr>
        <w:t>élaboration de tels indicateurs</w:t>
      </w:r>
      <w:r w:rsidR="001A5167" w:rsidRPr="00A75276">
        <w:rPr>
          <w:lang w:val="fr-FR"/>
        </w:rPr>
        <w:t>.</w:t>
      </w:r>
    </w:p>
    <w:p w:rsidR="00715135" w:rsidRPr="00A75276" w:rsidRDefault="003B0A39" w:rsidP="003B0A39">
      <w:pPr>
        <w:pStyle w:val="Heading1"/>
        <w:rPr>
          <w:lang w:val="fr-FR"/>
        </w:rPr>
      </w:pPr>
      <w:r w:rsidRPr="00A75276">
        <w:rPr>
          <w:lang w:val="fr-FR"/>
        </w:rPr>
        <w:t>3.</w:t>
      </w:r>
      <w:r w:rsidRPr="00A75276">
        <w:rPr>
          <w:b w:val="0"/>
          <w:lang w:val="fr-FR"/>
        </w:rPr>
        <w:tab/>
      </w:r>
      <w:r w:rsidRPr="00A75276">
        <w:rPr>
          <w:lang w:val="fr-FR"/>
        </w:rPr>
        <w:t>Meilleure compréhension des travaux menés par les autres offices</w:t>
      </w:r>
    </w:p>
    <w:p w:rsidR="00715135" w:rsidRPr="00A75276" w:rsidRDefault="001A5167" w:rsidP="001A5167">
      <w:pPr>
        <w:pStyle w:val="Heading2"/>
        <w:rPr>
          <w:lang w:val="fr-FR"/>
        </w:rPr>
      </w:pPr>
      <w:r w:rsidRPr="00A75276">
        <w:rPr>
          <w:lang w:val="fr-FR"/>
        </w:rPr>
        <w:t>a)</w:t>
      </w:r>
      <w:r w:rsidRPr="00A75276">
        <w:rPr>
          <w:lang w:val="fr-FR"/>
        </w:rPr>
        <w:tab/>
        <w:t xml:space="preserve">Publication </w:t>
      </w:r>
      <w:r w:rsidR="00861D34" w:rsidRPr="00A75276">
        <w:rPr>
          <w:lang w:val="fr-FR"/>
        </w:rPr>
        <w:t>de données relatives aux stratégies de recherche </w:t>
      </w:r>
      <w:r w:rsidRPr="00A75276">
        <w:rPr>
          <w:lang w:val="fr-FR"/>
        </w:rPr>
        <w:t xml:space="preserve">: </w:t>
      </w:r>
      <w:r w:rsidR="00861D34" w:rsidRPr="00A75276">
        <w:rPr>
          <w:lang w:val="fr-FR"/>
        </w:rPr>
        <w:t xml:space="preserve">projet </w:t>
      </w:r>
      <w:r w:rsidRPr="00A75276">
        <w:rPr>
          <w:lang w:val="fr-FR"/>
        </w:rPr>
        <w:t>Pilot</w:t>
      </w:r>
      <w:r w:rsidR="00861D34" w:rsidRPr="00A75276">
        <w:rPr>
          <w:lang w:val="fr-FR"/>
        </w:rPr>
        <w:t>e à l</w:t>
      </w:r>
      <w:r w:rsidR="009C53EC" w:rsidRPr="00A75276">
        <w:rPr>
          <w:lang w:val="fr-FR"/>
        </w:rPr>
        <w:t>’</w:t>
      </w:r>
      <w:r w:rsidR="0048533C" w:rsidRPr="00A75276">
        <w:rPr>
          <w:lang w:val="fr-FR"/>
        </w:rPr>
        <w:t>Office européen des brevets</w:t>
      </w:r>
    </w:p>
    <w:p w:rsidR="002E5DCA" w:rsidRPr="00A75276" w:rsidRDefault="004F29DB" w:rsidP="00A9298C">
      <w:pPr>
        <w:pStyle w:val="ONUMFS"/>
        <w:rPr>
          <w:lang w:val="fr-FR"/>
        </w:rPr>
      </w:pPr>
      <w:r w:rsidRPr="00A75276">
        <w:rPr>
          <w:lang w:val="fr-FR"/>
        </w:rPr>
        <w:t>Les administrations ont accueilli avec satisfaction le</w:t>
      </w:r>
      <w:r w:rsidR="006E3CBA" w:rsidRPr="00A75276">
        <w:rPr>
          <w:lang w:val="fr-FR"/>
        </w:rPr>
        <w:t>s</w:t>
      </w:r>
      <w:r w:rsidRPr="00A75276">
        <w:rPr>
          <w:lang w:val="fr-FR"/>
        </w:rPr>
        <w:t xml:space="preserve"> </w:t>
      </w:r>
      <w:r w:rsidR="006E3CBA" w:rsidRPr="00A75276">
        <w:rPr>
          <w:lang w:val="fr-FR"/>
        </w:rPr>
        <w:t>informations</w:t>
      </w:r>
      <w:r w:rsidRPr="00A75276">
        <w:rPr>
          <w:lang w:val="fr-FR"/>
        </w:rPr>
        <w:t xml:space="preserve"> présenté</w:t>
      </w:r>
      <w:r w:rsidR="006E3CBA" w:rsidRPr="00A75276">
        <w:rPr>
          <w:lang w:val="fr-FR"/>
        </w:rPr>
        <w:t>es</w:t>
      </w:r>
      <w:r w:rsidRPr="00A75276">
        <w:rPr>
          <w:lang w:val="fr-FR"/>
        </w:rPr>
        <w:t xml:space="preserve"> par l</w:t>
      </w:r>
      <w:r w:rsidR="009C53EC" w:rsidRPr="00A75276">
        <w:rPr>
          <w:lang w:val="fr-FR"/>
        </w:rPr>
        <w:t>’</w:t>
      </w:r>
      <w:r w:rsidR="0048533C" w:rsidRPr="00A75276">
        <w:rPr>
          <w:lang w:val="fr-FR"/>
        </w:rPr>
        <w:t>Office européen des brevets</w:t>
      </w:r>
      <w:r w:rsidR="001A5167" w:rsidRPr="00A75276">
        <w:rPr>
          <w:lang w:val="fr-FR"/>
        </w:rPr>
        <w:t xml:space="preserve"> </w:t>
      </w:r>
      <w:r w:rsidRPr="00A75276">
        <w:rPr>
          <w:lang w:val="fr-FR"/>
        </w:rPr>
        <w:t>sur son</w:t>
      </w:r>
      <w:r w:rsidR="001A5167" w:rsidRPr="00A75276">
        <w:rPr>
          <w:lang w:val="fr-FR"/>
        </w:rPr>
        <w:t xml:space="preserve"> </w:t>
      </w:r>
      <w:r w:rsidR="0031783E" w:rsidRPr="00A75276">
        <w:rPr>
          <w:lang w:val="fr-FR"/>
        </w:rPr>
        <w:t xml:space="preserve">projet </w:t>
      </w:r>
      <w:r w:rsidR="001A5167" w:rsidRPr="00A75276">
        <w:rPr>
          <w:lang w:val="fr-FR"/>
        </w:rPr>
        <w:t>pilot</w:t>
      </w:r>
      <w:r w:rsidRPr="00A75276">
        <w:rPr>
          <w:lang w:val="fr-FR"/>
        </w:rPr>
        <w:t>e</w:t>
      </w:r>
      <w:r w:rsidR="001A5167" w:rsidRPr="00A75276">
        <w:rPr>
          <w:lang w:val="fr-FR"/>
        </w:rPr>
        <w:t xml:space="preserve"> </w:t>
      </w:r>
      <w:r w:rsidR="0031783E" w:rsidRPr="00A75276">
        <w:rPr>
          <w:lang w:val="fr-FR"/>
        </w:rPr>
        <w:t>en matière de</w:t>
      </w:r>
      <w:r w:rsidR="001A5167" w:rsidRPr="00A75276">
        <w:rPr>
          <w:lang w:val="fr-FR"/>
        </w:rPr>
        <w:t xml:space="preserve"> publication </w:t>
      </w:r>
      <w:r w:rsidR="0031783E" w:rsidRPr="00A75276">
        <w:rPr>
          <w:lang w:val="fr-FR"/>
        </w:rPr>
        <w:t>des données relatives aux stratégies de recherche</w:t>
      </w:r>
      <w:r w:rsidR="001A5167" w:rsidRPr="00A75276">
        <w:rPr>
          <w:lang w:val="fr-FR"/>
        </w:rPr>
        <w:t xml:space="preserve">, </w:t>
      </w:r>
      <w:r w:rsidR="0031783E" w:rsidRPr="00A75276">
        <w:rPr>
          <w:lang w:val="fr-FR"/>
        </w:rPr>
        <w:t>soulignant que ce projet pilote était l</w:t>
      </w:r>
      <w:r w:rsidR="009C53EC" w:rsidRPr="00A75276">
        <w:rPr>
          <w:lang w:val="fr-FR"/>
        </w:rPr>
        <w:t>’</w:t>
      </w:r>
      <w:r w:rsidR="0031783E" w:rsidRPr="00A75276">
        <w:rPr>
          <w:lang w:val="fr-FR"/>
        </w:rPr>
        <w:t>un</w:t>
      </w:r>
      <w:r w:rsidR="0071704A" w:rsidRPr="00A75276">
        <w:rPr>
          <w:lang w:val="fr-FR"/>
        </w:rPr>
        <w:t>e des trois</w:t>
      </w:r>
      <w:r w:rsidR="00432F5D" w:rsidRPr="00A75276">
        <w:rPr>
          <w:lang w:val="fr-FR"/>
        </w:rPr>
        <w:t> </w:t>
      </w:r>
      <w:r w:rsidR="0071704A" w:rsidRPr="00A75276">
        <w:rPr>
          <w:lang w:val="fr-FR"/>
        </w:rPr>
        <w:t>pistes arrêtées à la réunion de l</w:t>
      </w:r>
      <w:r w:rsidR="009C53EC" w:rsidRPr="00A75276">
        <w:rPr>
          <w:lang w:val="fr-FR"/>
        </w:rPr>
        <w:t>’</w:t>
      </w:r>
      <w:r w:rsidR="0071704A" w:rsidRPr="00A75276">
        <w:rPr>
          <w:lang w:val="fr-FR"/>
        </w:rPr>
        <w:t>année précédente concernant le partage des stratégies de recherche, les deux</w:t>
      </w:r>
      <w:r w:rsidR="00432F5D" w:rsidRPr="00A75276">
        <w:rPr>
          <w:lang w:val="fr-FR"/>
        </w:rPr>
        <w:t> </w:t>
      </w:r>
      <w:r w:rsidR="0071704A" w:rsidRPr="00A75276">
        <w:rPr>
          <w:lang w:val="fr-FR"/>
        </w:rPr>
        <w:t>autres étant l</w:t>
      </w:r>
      <w:r w:rsidR="009C53EC" w:rsidRPr="00A75276">
        <w:rPr>
          <w:lang w:val="fr-FR"/>
        </w:rPr>
        <w:t>’</w:t>
      </w:r>
      <w:r w:rsidR="0071704A" w:rsidRPr="00A75276">
        <w:rPr>
          <w:lang w:val="fr-FR"/>
        </w:rPr>
        <w:t>utilisation des procédures existantes de consignation de l</w:t>
      </w:r>
      <w:r w:rsidR="009C53EC" w:rsidRPr="00A75276">
        <w:rPr>
          <w:lang w:val="fr-FR"/>
        </w:rPr>
        <w:t>’</w:t>
      </w:r>
      <w:r w:rsidR="0071704A" w:rsidRPr="00A75276">
        <w:rPr>
          <w:lang w:val="fr-FR"/>
        </w:rPr>
        <w:t xml:space="preserve">information dans le formulaire </w:t>
      </w:r>
      <w:r w:rsidR="001A5167" w:rsidRPr="00A75276">
        <w:rPr>
          <w:lang w:val="fr-FR"/>
        </w:rPr>
        <w:t xml:space="preserve">PCT/ISA/210 </w:t>
      </w:r>
      <w:r w:rsidR="0071704A" w:rsidRPr="00A75276">
        <w:rPr>
          <w:lang w:val="fr-FR"/>
        </w:rPr>
        <w:t xml:space="preserve">et la communication des dossiers de recherche complets dans tout format dans lequel ils sont établis par les administrations aux fins de </w:t>
      </w:r>
      <w:r w:rsidR="001A5167" w:rsidRPr="00A75276">
        <w:rPr>
          <w:lang w:val="fr-FR"/>
        </w:rPr>
        <w:t xml:space="preserve">publication </w:t>
      </w:r>
      <w:r w:rsidR="0071704A" w:rsidRPr="00A75276">
        <w:rPr>
          <w:lang w:val="fr-FR"/>
        </w:rPr>
        <w:t>sur le portail</w:t>
      </w:r>
      <w:r w:rsidR="001A5167" w:rsidRPr="00A75276">
        <w:rPr>
          <w:lang w:val="fr-FR"/>
        </w:rPr>
        <w:t xml:space="preserve"> PATENTSCOPE.</w:t>
      </w:r>
    </w:p>
    <w:p w:rsidR="002E5DCA" w:rsidRPr="00A75276" w:rsidRDefault="0071704A" w:rsidP="00A9298C">
      <w:pPr>
        <w:pStyle w:val="ONUMFS"/>
        <w:rPr>
          <w:lang w:val="fr-FR"/>
        </w:rPr>
      </w:pPr>
      <w:r w:rsidRPr="00A75276">
        <w:rPr>
          <w:lang w:val="fr-FR"/>
        </w:rPr>
        <w:t xml:space="preserve">Plusieurs administrations qui mettaient déjà à disposition leurs stratégies de recherche intégrales sur </w:t>
      </w:r>
      <w:r w:rsidR="001A5167" w:rsidRPr="00A75276">
        <w:rPr>
          <w:lang w:val="fr-FR"/>
        </w:rPr>
        <w:t xml:space="preserve">PATENTSCOPE </w:t>
      </w:r>
      <w:r w:rsidRPr="00A75276">
        <w:rPr>
          <w:lang w:val="fr-FR"/>
        </w:rPr>
        <w:t>ont indiqué qu</w:t>
      </w:r>
      <w:r w:rsidR="009C53EC" w:rsidRPr="00A75276">
        <w:rPr>
          <w:lang w:val="fr-FR"/>
        </w:rPr>
        <w:t>’</w:t>
      </w:r>
      <w:r w:rsidRPr="00A75276">
        <w:rPr>
          <w:lang w:val="fr-FR"/>
        </w:rPr>
        <w:t>elles souhaitaient continuer de le faire</w:t>
      </w:r>
      <w:r w:rsidR="001A5167" w:rsidRPr="00A75276">
        <w:rPr>
          <w:lang w:val="fr-FR"/>
        </w:rPr>
        <w:t xml:space="preserve">, </w:t>
      </w:r>
      <w:r w:rsidRPr="00A75276">
        <w:rPr>
          <w:lang w:val="fr-FR"/>
        </w:rPr>
        <w:t xml:space="preserve">soulignant que la production des dossiers de recherche complets pour publication sur le portail </w:t>
      </w:r>
      <w:r w:rsidR="001A5167" w:rsidRPr="00A75276">
        <w:rPr>
          <w:lang w:val="fr-FR"/>
        </w:rPr>
        <w:t xml:space="preserve">PATENTSCOPE </w:t>
      </w:r>
      <w:r w:rsidRPr="00A75276">
        <w:rPr>
          <w:lang w:val="fr-FR"/>
        </w:rPr>
        <w:t>demandait peu de temps et d</w:t>
      </w:r>
      <w:r w:rsidR="009C53EC" w:rsidRPr="00A75276">
        <w:rPr>
          <w:lang w:val="fr-FR"/>
        </w:rPr>
        <w:t>’</w:t>
      </w:r>
      <w:r w:rsidRPr="00A75276">
        <w:rPr>
          <w:lang w:val="fr-FR"/>
        </w:rPr>
        <w:t>efforts supplémentaires de la part de l</w:t>
      </w:r>
      <w:r w:rsidR="009C53EC" w:rsidRPr="00A75276">
        <w:rPr>
          <w:lang w:val="fr-FR"/>
        </w:rPr>
        <w:t>’</w:t>
      </w:r>
      <w:r w:rsidRPr="00A75276">
        <w:rPr>
          <w:lang w:val="fr-FR"/>
        </w:rPr>
        <w:t>examinate</w:t>
      </w:r>
      <w:r w:rsidR="00A16C85" w:rsidRPr="00A75276">
        <w:rPr>
          <w:lang w:val="fr-FR"/>
        </w:rPr>
        <w:t>ur.  Un</w:t>
      </w:r>
      <w:r w:rsidRPr="00A75276">
        <w:rPr>
          <w:lang w:val="fr-FR"/>
        </w:rPr>
        <w:t>e administration</w:t>
      </w:r>
      <w:r w:rsidR="001A5167" w:rsidRPr="00A75276">
        <w:rPr>
          <w:lang w:val="fr-FR"/>
        </w:rPr>
        <w:t xml:space="preserve">, </w:t>
      </w:r>
      <w:r w:rsidRPr="00A75276">
        <w:rPr>
          <w:lang w:val="fr-FR"/>
        </w:rPr>
        <w:t xml:space="preserve">tout en appuyant la </w:t>
      </w:r>
      <w:r w:rsidR="001A5167" w:rsidRPr="00A75276">
        <w:rPr>
          <w:lang w:val="fr-FR"/>
        </w:rPr>
        <w:t xml:space="preserve">publication </w:t>
      </w:r>
      <w:r w:rsidRPr="00A75276">
        <w:rPr>
          <w:lang w:val="fr-FR"/>
        </w:rPr>
        <w:t>des informations relatives à la stratégie de recherche sous une forme différente pour les utilisateurs peu au fait de la terminologie de recherche</w:t>
      </w:r>
      <w:r w:rsidR="001A5167" w:rsidRPr="00A75276">
        <w:rPr>
          <w:lang w:val="fr-FR"/>
        </w:rPr>
        <w:t xml:space="preserve">, </w:t>
      </w:r>
      <w:r w:rsidR="00342761" w:rsidRPr="00A75276">
        <w:rPr>
          <w:lang w:val="fr-FR"/>
        </w:rPr>
        <w:t>a indiqué qu</w:t>
      </w:r>
      <w:r w:rsidR="009C53EC" w:rsidRPr="00A75276">
        <w:rPr>
          <w:lang w:val="fr-FR"/>
        </w:rPr>
        <w:t>’</w:t>
      </w:r>
      <w:r w:rsidR="00342761" w:rsidRPr="00A75276">
        <w:rPr>
          <w:lang w:val="fr-FR"/>
        </w:rPr>
        <w:t>elle trouvait difficile de participer au projet pilote de l</w:t>
      </w:r>
      <w:r w:rsidR="009C53EC" w:rsidRPr="00A75276">
        <w:rPr>
          <w:lang w:val="fr-FR"/>
        </w:rPr>
        <w:t>’</w:t>
      </w:r>
      <w:r w:rsidR="00342761" w:rsidRPr="00A75276">
        <w:rPr>
          <w:lang w:val="fr-FR"/>
        </w:rPr>
        <w:t xml:space="preserve">OEB </w:t>
      </w:r>
      <w:r w:rsidR="006E3CBA" w:rsidRPr="00A75276">
        <w:rPr>
          <w:lang w:val="fr-FR"/>
        </w:rPr>
        <w:t>avant</w:t>
      </w:r>
      <w:r w:rsidR="00342761" w:rsidRPr="00A75276">
        <w:rPr>
          <w:lang w:val="fr-FR"/>
        </w:rPr>
        <w:t xml:space="preserve"> d</w:t>
      </w:r>
      <w:r w:rsidR="009C53EC" w:rsidRPr="00A75276">
        <w:rPr>
          <w:lang w:val="fr-FR"/>
        </w:rPr>
        <w:t>’</w:t>
      </w:r>
      <w:r w:rsidR="00342761" w:rsidRPr="00A75276">
        <w:rPr>
          <w:lang w:val="fr-FR"/>
        </w:rPr>
        <w:t>avoir déterminé la charge de travail et les frais supplémentaires que cela entraînera</w:t>
      </w:r>
      <w:r w:rsidR="00A16C85" w:rsidRPr="00A75276">
        <w:rPr>
          <w:lang w:val="fr-FR"/>
        </w:rPr>
        <w:t>it.  Un</w:t>
      </w:r>
      <w:r w:rsidR="00342761" w:rsidRPr="00A75276">
        <w:rPr>
          <w:lang w:val="fr-FR"/>
        </w:rPr>
        <w:t>e autre administration a déclaré qu</w:t>
      </w:r>
      <w:r w:rsidR="009C53EC" w:rsidRPr="00A75276">
        <w:rPr>
          <w:lang w:val="fr-FR"/>
        </w:rPr>
        <w:t>’</w:t>
      </w:r>
      <w:r w:rsidR="00342761" w:rsidRPr="00A75276">
        <w:rPr>
          <w:lang w:val="fr-FR"/>
        </w:rPr>
        <w:t>elle continuerait d</w:t>
      </w:r>
      <w:r w:rsidR="009C53EC" w:rsidRPr="00A75276">
        <w:rPr>
          <w:lang w:val="fr-FR"/>
        </w:rPr>
        <w:t>’</w:t>
      </w:r>
      <w:r w:rsidR="00342761" w:rsidRPr="00A75276">
        <w:rPr>
          <w:lang w:val="fr-FR"/>
        </w:rPr>
        <w:t xml:space="preserve">utiliser le formulaire </w:t>
      </w:r>
      <w:r w:rsidR="001A5167" w:rsidRPr="00A75276">
        <w:rPr>
          <w:lang w:val="fr-FR"/>
        </w:rPr>
        <w:t xml:space="preserve">PCT/ISA/210 </w:t>
      </w:r>
      <w:r w:rsidR="00A31D84" w:rsidRPr="00A75276">
        <w:rPr>
          <w:lang w:val="fr-FR"/>
        </w:rPr>
        <w:t>pour mett</w:t>
      </w:r>
      <w:r w:rsidR="00342761" w:rsidRPr="00A75276">
        <w:rPr>
          <w:lang w:val="fr-FR"/>
        </w:rPr>
        <w:t>r</w:t>
      </w:r>
      <w:r w:rsidR="00A31D84" w:rsidRPr="00A75276">
        <w:rPr>
          <w:lang w:val="fr-FR"/>
        </w:rPr>
        <w:t>e</w:t>
      </w:r>
      <w:r w:rsidR="00342761" w:rsidRPr="00A75276">
        <w:rPr>
          <w:lang w:val="fr-FR"/>
        </w:rPr>
        <w:t xml:space="preserve"> à disposition l</w:t>
      </w:r>
      <w:r w:rsidR="009C53EC" w:rsidRPr="00A75276">
        <w:rPr>
          <w:lang w:val="fr-FR"/>
        </w:rPr>
        <w:t>’</w:t>
      </w:r>
      <w:r w:rsidR="001A5167" w:rsidRPr="00A75276">
        <w:rPr>
          <w:lang w:val="fr-FR"/>
        </w:rPr>
        <w:t>information</w:t>
      </w:r>
      <w:r w:rsidR="00342761" w:rsidRPr="00A75276">
        <w:rPr>
          <w:lang w:val="fr-FR"/>
        </w:rPr>
        <w:t xml:space="preserve"> relative à la recherche</w:t>
      </w:r>
      <w:r w:rsidR="001A5167" w:rsidRPr="00A75276">
        <w:rPr>
          <w:lang w:val="fr-FR"/>
        </w:rPr>
        <w:t>.</w:t>
      </w:r>
    </w:p>
    <w:p w:rsidR="00715135" w:rsidRPr="00A75276" w:rsidRDefault="00841E35" w:rsidP="00A9298C">
      <w:pPr>
        <w:pStyle w:val="ONUMFS"/>
        <w:rPr>
          <w:lang w:val="fr-FR"/>
        </w:rPr>
      </w:pPr>
      <w:r w:rsidRPr="00A75276">
        <w:rPr>
          <w:lang w:val="fr-FR"/>
        </w:rPr>
        <w:t>En réponse aux questions de plusieurs administrations sur l</w:t>
      </w:r>
      <w:r w:rsidR="009C53EC" w:rsidRPr="00A75276">
        <w:rPr>
          <w:lang w:val="fr-FR"/>
        </w:rPr>
        <w:t>’</w:t>
      </w:r>
      <w:r w:rsidRPr="00A75276">
        <w:rPr>
          <w:lang w:val="fr-FR"/>
        </w:rPr>
        <w:t>extraction des mots</w:t>
      </w:r>
      <w:r w:rsidR="00A16C85" w:rsidRPr="00A75276">
        <w:rPr>
          <w:lang w:val="fr-FR"/>
        </w:rPr>
        <w:noBreakHyphen/>
      </w:r>
      <w:r w:rsidRPr="00A75276">
        <w:rPr>
          <w:lang w:val="fr-FR"/>
        </w:rPr>
        <w:t xml:space="preserve">clés à inclure dans les informations relatives à la recherche et sur la question de savoir si les outils permettant de le faire seraient proposés dans le cadre du système </w:t>
      </w:r>
      <w:r w:rsidR="001A5167" w:rsidRPr="00A75276">
        <w:rPr>
          <w:lang w:val="fr-FR"/>
        </w:rPr>
        <w:t>EPOQUE</w:t>
      </w:r>
      <w:r w:rsidR="00A16C85" w:rsidRPr="00A75276">
        <w:rPr>
          <w:lang w:val="fr-FR"/>
        </w:rPr>
        <w:noBreakHyphen/>
      </w:r>
      <w:r w:rsidR="001A5167" w:rsidRPr="00A75276">
        <w:rPr>
          <w:lang w:val="fr-FR"/>
        </w:rPr>
        <w:t xml:space="preserve">Net, </w:t>
      </w:r>
      <w:r w:rsidR="006E3CBA" w:rsidRPr="00A75276">
        <w:rPr>
          <w:lang w:val="fr-FR"/>
        </w:rPr>
        <w:t>l</w:t>
      </w:r>
      <w:r w:rsidR="009C53EC" w:rsidRPr="00A75276">
        <w:rPr>
          <w:lang w:val="fr-FR"/>
        </w:rPr>
        <w:t>’</w:t>
      </w:r>
      <w:r w:rsidR="006E3CBA" w:rsidRPr="00A75276">
        <w:rPr>
          <w:lang w:val="fr-FR"/>
        </w:rPr>
        <w:t xml:space="preserve">OEB a </w:t>
      </w:r>
      <w:r w:rsidRPr="00A75276">
        <w:rPr>
          <w:lang w:val="fr-FR"/>
        </w:rPr>
        <w:t>indiqué que les mots</w:t>
      </w:r>
      <w:r w:rsidR="00A16C85" w:rsidRPr="00A75276">
        <w:rPr>
          <w:lang w:val="fr-FR"/>
        </w:rPr>
        <w:noBreakHyphen/>
      </w:r>
      <w:r w:rsidRPr="00A75276">
        <w:rPr>
          <w:lang w:val="fr-FR"/>
        </w:rPr>
        <w:t>clés étaient extraits automatiquement à partir des outils de recherche utilisés par l</w:t>
      </w:r>
      <w:r w:rsidR="009C53EC" w:rsidRPr="00A75276">
        <w:rPr>
          <w:lang w:val="fr-FR"/>
        </w:rPr>
        <w:t>’</w:t>
      </w:r>
      <w:r w:rsidRPr="00A75276">
        <w:rPr>
          <w:lang w:val="fr-FR"/>
        </w:rPr>
        <w:t>examinateur</w:t>
      </w:r>
      <w:r w:rsidR="001A5167" w:rsidRPr="00A75276">
        <w:rPr>
          <w:lang w:val="fr-FR"/>
        </w:rPr>
        <w:t xml:space="preserve">, </w:t>
      </w:r>
      <w:r w:rsidR="009C53EC" w:rsidRPr="00A75276">
        <w:rPr>
          <w:lang w:val="fr-FR"/>
        </w:rPr>
        <w:t>y compris</w:t>
      </w:r>
      <w:r w:rsidR="00A31D84" w:rsidRPr="00A75276">
        <w:rPr>
          <w:lang w:val="fr-FR"/>
        </w:rPr>
        <w:t xml:space="preserve"> dans les éléments ayant généré les citations correspondant</w:t>
      </w:r>
      <w:r w:rsidR="00A16C85" w:rsidRPr="00A75276">
        <w:rPr>
          <w:lang w:val="fr-FR"/>
        </w:rPr>
        <w:t>es.  Ce</w:t>
      </w:r>
      <w:r w:rsidR="00A31D84" w:rsidRPr="00A75276">
        <w:rPr>
          <w:lang w:val="fr-FR"/>
        </w:rPr>
        <w:t xml:space="preserve">s éléments comprenaient non seulement les termes de recherche provenant du système </w:t>
      </w:r>
      <w:r w:rsidR="001A5167" w:rsidRPr="00A75276">
        <w:rPr>
          <w:lang w:val="fr-FR"/>
        </w:rPr>
        <w:t>EPOQUE</w:t>
      </w:r>
      <w:r w:rsidR="00A16C85" w:rsidRPr="00A75276">
        <w:rPr>
          <w:lang w:val="fr-FR"/>
        </w:rPr>
        <w:noBreakHyphen/>
      </w:r>
      <w:r w:rsidR="001A5167" w:rsidRPr="00A75276">
        <w:rPr>
          <w:lang w:val="fr-FR"/>
        </w:rPr>
        <w:t xml:space="preserve">Net </w:t>
      </w:r>
      <w:r w:rsidR="00A31D84" w:rsidRPr="00A75276">
        <w:rPr>
          <w:lang w:val="fr-FR"/>
        </w:rPr>
        <w:t>mais également les termes utilisés pour effectuer des recherches dans d</w:t>
      </w:r>
      <w:r w:rsidR="009C53EC" w:rsidRPr="00A75276">
        <w:rPr>
          <w:lang w:val="fr-FR"/>
        </w:rPr>
        <w:t>’</w:t>
      </w:r>
      <w:r w:rsidR="00A31D84" w:rsidRPr="00A75276">
        <w:rPr>
          <w:lang w:val="fr-FR"/>
        </w:rPr>
        <w:t>autres bases de données et sur l</w:t>
      </w:r>
      <w:r w:rsidR="009C53EC" w:rsidRPr="00A75276">
        <w:rPr>
          <w:lang w:val="fr-FR"/>
        </w:rPr>
        <w:t>’</w:t>
      </w:r>
      <w:r w:rsidR="001A5167" w:rsidRPr="00A75276">
        <w:rPr>
          <w:lang w:val="fr-FR"/>
        </w:rPr>
        <w:t xml:space="preserve">Internet, </w:t>
      </w:r>
      <w:r w:rsidR="00A31D84" w:rsidRPr="00A75276">
        <w:rPr>
          <w:lang w:val="fr-FR"/>
        </w:rPr>
        <w:t xml:space="preserve">ainsi que les </w:t>
      </w:r>
      <w:r w:rsidR="001A5167" w:rsidRPr="00A75276">
        <w:rPr>
          <w:lang w:val="fr-FR"/>
        </w:rPr>
        <w:t xml:space="preserve">structures </w:t>
      </w:r>
      <w:r w:rsidR="00A31D84" w:rsidRPr="00A75276">
        <w:rPr>
          <w:lang w:val="fr-FR"/>
        </w:rPr>
        <w:t>chimiques ayant fait l</w:t>
      </w:r>
      <w:r w:rsidR="009C53EC" w:rsidRPr="00A75276">
        <w:rPr>
          <w:lang w:val="fr-FR"/>
        </w:rPr>
        <w:t>’</w:t>
      </w:r>
      <w:r w:rsidR="00A31D84" w:rsidRPr="00A75276">
        <w:rPr>
          <w:lang w:val="fr-FR"/>
        </w:rPr>
        <w:t>objet de recherches dans les bases de données spécialisées</w:t>
      </w:r>
      <w:r w:rsidR="001A5167" w:rsidRPr="00A75276">
        <w:rPr>
          <w:lang w:val="fr-FR"/>
        </w:rPr>
        <w:t xml:space="preserve">.  </w:t>
      </w:r>
      <w:r w:rsidR="00257A0F" w:rsidRPr="00A75276">
        <w:rPr>
          <w:lang w:val="fr-FR"/>
        </w:rPr>
        <w:t>L</w:t>
      </w:r>
      <w:r w:rsidR="009C53EC" w:rsidRPr="00A75276">
        <w:rPr>
          <w:lang w:val="fr-FR"/>
        </w:rPr>
        <w:t>’</w:t>
      </w:r>
      <w:r w:rsidR="00257A0F" w:rsidRPr="00A75276">
        <w:rPr>
          <w:lang w:val="fr-FR"/>
        </w:rPr>
        <w:t>OEB s</w:t>
      </w:r>
      <w:r w:rsidR="009C53EC" w:rsidRPr="00A75276">
        <w:rPr>
          <w:lang w:val="fr-FR"/>
        </w:rPr>
        <w:t>’</w:t>
      </w:r>
      <w:r w:rsidR="00257A0F" w:rsidRPr="00A75276">
        <w:rPr>
          <w:lang w:val="fr-FR"/>
        </w:rPr>
        <w:t>est déclaré disposé à débattre la production automatique de l</w:t>
      </w:r>
      <w:r w:rsidR="009C53EC" w:rsidRPr="00A75276">
        <w:rPr>
          <w:lang w:val="fr-FR"/>
        </w:rPr>
        <w:t>’</w:t>
      </w:r>
      <w:r w:rsidR="00257A0F" w:rsidRPr="00A75276">
        <w:rPr>
          <w:lang w:val="fr-FR"/>
        </w:rPr>
        <w:t>information relative à la stratégie de recherche de manière bilatérale avec les autres offices intéressés à participer au projet pilo</w:t>
      </w:r>
      <w:r w:rsidR="00A16C85" w:rsidRPr="00A75276">
        <w:rPr>
          <w:lang w:val="fr-FR"/>
        </w:rPr>
        <w:t>te.  Co</w:t>
      </w:r>
      <w:r w:rsidR="00257A0F" w:rsidRPr="00A75276">
        <w:rPr>
          <w:lang w:val="fr-FR"/>
        </w:rPr>
        <w:t>ncernant la portée de ce projet</w:t>
      </w:r>
      <w:r w:rsidR="001A5167" w:rsidRPr="00A75276">
        <w:rPr>
          <w:lang w:val="fr-FR"/>
        </w:rPr>
        <w:t xml:space="preserve">, </w:t>
      </w:r>
      <w:r w:rsidR="00257A0F" w:rsidRPr="00A75276">
        <w:rPr>
          <w:lang w:val="fr-FR"/>
        </w:rPr>
        <w:t>l</w:t>
      </w:r>
      <w:r w:rsidR="009C53EC" w:rsidRPr="00A75276">
        <w:rPr>
          <w:lang w:val="fr-FR"/>
        </w:rPr>
        <w:t>’</w:t>
      </w:r>
      <w:r w:rsidR="00257A0F" w:rsidRPr="00A75276">
        <w:rPr>
          <w:lang w:val="fr-FR"/>
        </w:rPr>
        <w:t>OEB a précisé qu</w:t>
      </w:r>
      <w:r w:rsidR="009C53EC" w:rsidRPr="00A75276">
        <w:rPr>
          <w:lang w:val="fr-FR"/>
        </w:rPr>
        <w:t>’</w:t>
      </w:r>
      <w:r w:rsidR="00257A0F" w:rsidRPr="00A75276">
        <w:rPr>
          <w:lang w:val="fr-FR"/>
        </w:rPr>
        <w:t>il visait à fournir aux déposants et aux tiers davantage d</w:t>
      </w:r>
      <w:r w:rsidR="009C53EC" w:rsidRPr="00A75276">
        <w:rPr>
          <w:lang w:val="fr-FR"/>
        </w:rPr>
        <w:t>’</w:t>
      </w:r>
      <w:r w:rsidR="00257A0F" w:rsidRPr="00A75276">
        <w:rPr>
          <w:lang w:val="fr-FR"/>
        </w:rPr>
        <w:t>informations fiables sur la manière dont la recherche a</w:t>
      </w:r>
      <w:r w:rsidR="006E3CBA" w:rsidRPr="00A75276">
        <w:rPr>
          <w:lang w:val="fr-FR"/>
        </w:rPr>
        <w:t>vait</w:t>
      </w:r>
      <w:r w:rsidR="00257A0F" w:rsidRPr="00A75276">
        <w:rPr>
          <w:lang w:val="fr-FR"/>
        </w:rPr>
        <w:t xml:space="preserve"> été men</w:t>
      </w:r>
      <w:r w:rsidR="00A16C85" w:rsidRPr="00A75276">
        <w:rPr>
          <w:lang w:val="fr-FR"/>
        </w:rPr>
        <w:t>ée.  Il</w:t>
      </w:r>
      <w:r w:rsidR="00257A0F" w:rsidRPr="00A75276">
        <w:rPr>
          <w:lang w:val="fr-FR"/>
        </w:rPr>
        <w:t xml:space="preserve"> ne s</w:t>
      </w:r>
      <w:r w:rsidR="009C53EC" w:rsidRPr="00A75276">
        <w:rPr>
          <w:lang w:val="fr-FR"/>
        </w:rPr>
        <w:t>’</w:t>
      </w:r>
      <w:r w:rsidR="00257A0F" w:rsidRPr="00A75276">
        <w:rPr>
          <w:lang w:val="fr-FR"/>
        </w:rPr>
        <w:t>agissait pas de partage du travail</w:t>
      </w:r>
      <w:r w:rsidR="001A5167" w:rsidRPr="00A75276">
        <w:rPr>
          <w:lang w:val="fr-FR"/>
        </w:rPr>
        <w:t xml:space="preserve">, </w:t>
      </w:r>
      <w:r w:rsidR="00AA0106" w:rsidRPr="00A75276">
        <w:rPr>
          <w:lang w:val="fr-FR"/>
        </w:rPr>
        <w:t xml:space="preserve">question </w:t>
      </w:r>
      <w:r w:rsidR="006E3CBA" w:rsidRPr="00A75276">
        <w:rPr>
          <w:lang w:val="fr-FR"/>
        </w:rPr>
        <w:t xml:space="preserve">qui </w:t>
      </w:r>
      <w:r w:rsidR="00AA0106" w:rsidRPr="00A75276">
        <w:rPr>
          <w:lang w:val="fr-FR"/>
        </w:rPr>
        <w:t>appelait d</w:t>
      </w:r>
      <w:r w:rsidR="009C53EC" w:rsidRPr="00A75276">
        <w:rPr>
          <w:lang w:val="fr-FR"/>
        </w:rPr>
        <w:t>’</w:t>
      </w:r>
      <w:r w:rsidR="00AA0106" w:rsidRPr="00A75276">
        <w:rPr>
          <w:lang w:val="fr-FR"/>
        </w:rPr>
        <w:t xml:space="preserve">autres solutions que la simple </w:t>
      </w:r>
      <w:r w:rsidR="001A5167" w:rsidRPr="00A75276">
        <w:rPr>
          <w:lang w:val="fr-FR"/>
        </w:rPr>
        <w:t xml:space="preserve">publication </w:t>
      </w:r>
      <w:r w:rsidR="00AA0106" w:rsidRPr="00A75276">
        <w:rPr>
          <w:lang w:val="fr-FR"/>
        </w:rPr>
        <w:t>des rapports de recherche sur</w:t>
      </w:r>
      <w:r w:rsidR="001A5167" w:rsidRPr="00A75276">
        <w:rPr>
          <w:lang w:val="fr-FR"/>
        </w:rPr>
        <w:t xml:space="preserve"> PATENTSCOPE.</w:t>
      </w:r>
    </w:p>
    <w:p w:rsidR="00715135" w:rsidRPr="00A75276" w:rsidRDefault="00B32AFB" w:rsidP="00A9298C">
      <w:pPr>
        <w:pStyle w:val="ONUMFS"/>
        <w:rPr>
          <w:lang w:val="fr-FR"/>
        </w:rPr>
      </w:pPr>
      <w:r w:rsidRPr="00A75276">
        <w:rPr>
          <w:lang w:val="fr-FR"/>
        </w:rPr>
        <w:t>Les administrations ont exprimé des vues divergentes sur la question du principal destinataire de l</w:t>
      </w:r>
      <w:r w:rsidR="009C53EC" w:rsidRPr="00A75276">
        <w:rPr>
          <w:lang w:val="fr-FR"/>
        </w:rPr>
        <w:t>’</w:t>
      </w:r>
      <w:r w:rsidR="001A5167" w:rsidRPr="00A75276">
        <w:rPr>
          <w:lang w:val="fr-FR"/>
        </w:rPr>
        <w:t xml:space="preserve">information </w:t>
      </w:r>
      <w:r w:rsidRPr="00A75276">
        <w:rPr>
          <w:lang w:val="fr-FR"/>
        </w:rPr>
        <w:t>sur la stratégie de recherche à publier sur le portail PATENTSC</w:t>
      </w:r>
      <w:r w:rsidR="00A16C85" w:rsidRPr="00A75276">
        <w:rPr>
          <w:lang w:val="fr-FR"/>
        </w:rPr>
        <w:t>OPE.  Al</w:t>
      </w:r>
      <w:r w:rsidR="00971EE7" w:rsidRPr="00A75276">
        <w:rPr>
          <w:lang w:val="fr-FR"/>
        </w:rPr>
        <w:t>ors que l</w:t>
      </w:r>
      <w:r w:rsidR="009C53EC" w:rsidRPr="00A75276">
        <w:rPr>
          <w:lang w:val="fr-FR"/>
        </w:rPr>
        <w:t>’</w:t>
      </w:r>
      <w:r w:rsidR="00971EE7" w:rsidRPr="00A75276">
        <w:rPr>
          <w:lang w:val="fr-FR"/>
        </w:rPr>
        <w:t xml:space="preserve">OEB estimait que les principaux destinataires des </w:t>
      </w:r>
      <w:r w:rsidR="001A5167" w:rsidRPr="00A75276">
        <w:rPr>
          <w:lang w:val="fr-FR"/>
        </w:rPr>
        <w:t>information</w:t>
      </w:r>
      <w:r w:rsidR="00971EE7" w:rsidRPr="00A75276">
        <w:rPr>
          <w:lang w:val="fr-FR"/>
        </w:rPr>
        <w:t>s</w:t>
      </w:r>
      <w:r w:rsidR="001A5167" w:rsidRPr="00A75276">
        <w:rPr>
          <w:lang w:val="fr-FR"/>
        </w:rPr>
        <w:t xml:space="preserve"> </w:t>
      </w:r>
      <w:r w:rsidR="00971EE7" w:rsidRPr="00A75276">
        <w:rPr>
          <w:lang w:val="fr-FR"/>
        </w:rPr>
        <w:t xml:space="preserve">publiées sur </w:t>
      </w:r>
      <w:r w:rsidR="001A5167" w:rsidRPr="00A75276">
        <w:rPr>
          <w:lang w:val="fr-FR"/>
        </w:rPr>
        <w:t xml:space="preserve">PATENTSCOPE </w:t>
      </w:r>
      <w:r w:rsidR="00971EE7" w:rsidRPr="00A75276">
        <w:rPr>
          <w:lang w:val="fr-FR"/>
        </w:rPr>
        <w:t>étaient les seuls déposants</w:t>
      </w:r>
      <w:r w:rsidR="001A5167" w:rsidRPr="00A75276">
        <w:rPr>
          <w:lang w:val="fr-FR"/>
        </w:rPr>
        <w:t xml:space="preserve">, </w:t>
      </w:r>
      <w:r w:rsidR="00971EE7" w:rsidRPr="00A75276">
        <w:rPr>
          <w:lang w:val="fr-FR"/>
        </w:rPr>
        <w:t xml:space="preserve">qui ne souhaitaient pas être </w:t>
      </w:r>
      <w:r w:rsidR="00971EE7" w:rsidRPr="00A75276">
        <w:rPr>
          <w:lang w:val="fr-FR"/>
        </w:rPr>
        <w:lastRenderedPageBreak/>
        <w:t>accablés d</w:t>
      </w:r>
      <w:r w:rsidR="009C53EC" w:rsidRPr="00A75276">
        <w:rPr>
          <w:lang w:val="fr-FR"/>
        </w:rPr>
        <w:t>’</w:t>
      </w:r>
      <w:r w:rsidR="00971EE7" w:rsidRPr="00A75276">
        <w:rPr>
          <w:lang w:val="fr-FR"/>
        </w:rPr>
        <w:t>informations complexes sur la stratégie de recherche, et notamment sur les termes de cette recherche, d</w:t>
      </w:r>
      <w:r w:rsidR="009C53EC" w:rsidRPr="00A75276">
        <w:rPr>
          <w:lang w:val="fr-FR"/>
        </w:rPr>
        <w:t>’</w:t>
      </w:r>
      <w:r w:rsidR="00971EE7" w:rsidRPr="00A75276">
        <w:rPr>
          <w:lang w:val="fr-FR"/>
        </w:rPr>
        <w:t>autres administrations ont insisté sur l</w:t>
      </w:r>
      <w:r w:rsidR="009C53EC" w:rsidRPr="00A75276">
        <w:rPr>
          <w:lang w:val="fr-FR"/>
        </w:rPr>
        <w:t>’</w:t>
      </w:r>
      <w:r w:rsidR="00971EE7" w:rsidRPr="00A75276">
        <w:rPr>
          <w:lang w:val="fr-FR"/>
        </w:rPr>
        <w:t xml:space="preserve">importance </w:t>
      </w:r>
      <w:r w:rsidR="00651B6C" w:rsidRPr="00A75276">
        <w:rPr>
          <w:lang w:val="fr-FR"/>
        </w:rPr>
        <w:t>de dossiers de recherche exhaustifs aux fins du partage du travail entre les offices et considéraient donc que le public cible de ces informations comprenait à la fois les déposants et les examinateu</w:t>
      </w:r>
      <w:r w:rsidR="00A16C85" w:rsidRPr="00A75276">
        <w:rPr>
          <w:lang w:val="fr-FR"/>
        </w:rPr>
        <w:t>rs.  Al</w:t>
      </w:r>
      <w:r w:rsidR="003E4A3A" w:rsidRPr="00A75276">
        <w:rPr>
          <w:lang w:val="fr-FR"/>
        </w:rPr>
        <w:t>ors que ces administrations ont estimé que les deux</w:t>
      </w:r>
      <w:r w:rsidR="00432F5D" w:rsidRPr="00A75276">
        <w:rPr>
          <w:lang w:val="fr-FR"/>
        </w:rPr>
        <w:t> </w:t>
      </w:r>
      <w:r w:rsidR="003E4A3A" w:rsidRPr="00A75276">
        <w:rPr>
          <w:lang w:val="fr-FR"/>
        </w:rPr>
        <w:t xml:space="preserve">groupes cibles pouvaient être atteints par la </w:t>
      </w:r>
      <w:r w:rsidR="001A5167" w:rsidRPr="00A75276">
        <w:rPr>
          <w:lang w:val="fr-FR"/>
        </w:rPr>
        <w:t xml:space="preserve">publication </w:t>
      </w:r>
      <w:r w:rsidR="003E4A3A" w:rsidRPr="00A75276">
        <w:rPr>
          <w:lang w:val="fr-FR"/>
        </w:rPr>
        <w:t>des dossiers de recherche complets sur</w:t>
      </w:r>
      <w:r w:rsidR="001A5167" w:rsidRPr="00A75276">
        <w:rPr>
          <w:lang w:val="fr-FR"/>
        </w:rPr>
        <w:t xml:space="preserve"> PATENTSCOPE, </w:t>
      </w:r>
      <w:r w:rsidR="003E4A3A" w:rsidRPr="00A75276">
        <w:rPr>
          <w:lang w:val="fr-FR"/>
        </w:rPr>
        <w:t>l</w:t>
      </w:r>
      <w:r w:rsidR="009C53EC" w:rsidRPr="00A75276">
        <w:rPr>
          <w:lang w:val="fr-FR"/>
        </w:rPr>
        <w:t>’</w:t>
      </w:r>
      <w:r w:rsidR="003E4A3A" w:rsidRPr="00A75276">
        <w:rPr>
          <w:lang w:val="fr-FR"/>
        </w:rPr>
        <w:t>OEB a fait valoir que les deux</w:t>
      </w:r>
      <w:r w:rsidR="00432F5D" w:rsidRPr="00A75276">
        <w:rPr>
          <w:lang w:val="fr-FR"/>
        </w:rPr>
        <w:t> </w:t>
      </w:r>
      <w:r w:rsidR="003E4A3A" w:rsidRPr="00A75276">
        <w:rPr>
          <w:lang w:val="fr-FR"/>
        </w:rPr>
        <w:t>groupes avaient des intérêts différents auxquels il convenait de répondre par des moyens différents</w:t>
      </w:r>
      <w:r w:rsidR="001A5167" w:rsidRPr="00A75276">
        <w:rPr>
          <w:lang w:val="fr-FR"/>
        </w:rPr>
        <w:t>.</w:t>
      </w:r>
    </w:p>
    <w:p w:rsidR="00715135" w:rsidRPr="00A75276" w:rsidRDefault="00D954A2" w:rsidP="00A9298C">
      <w:pPr>
        <w:pStyle w:val="ONUMFS"/>
        <w:rPr>
          <w:lang w:val="fr-FR"/>
        </w:rPr>
      </w:pPr>
      <w:r w:rsidRPr="00A75276">
        <w:rPr>
          <w:lang w:val="fr-FR"/>
        </w:rPr>
        <w:t>L</w:t>
      </w:r>
      <w:r w:rsidR="009C53EC" w:rsidRPr="00A75276">
        <w:rPr>
          <w:lang w:val="fr-FR"/>
        </w:rPr>
        <w:t>’</w:t>
      </w:r>
      <w:r w:rsidR="00216979" w:rsidRPr="00A75276">
        <w:rPr>
          <w:lang w:val="fr-FR"/>
        </w:rPr>
        <w:t>Office des brevets et des marques des États</w:t>
      </w:r>
      <w:r w:rsidR="00A16C85" w:rsidRPr="00A75276">
        <w:rPr>
          <w:lang w:val="fr-FR"/>
        </w:rPr>
        <w:noBreakHyphen/>
      </w:r>
      <w:r w:rsidR="00216979" w:rsidRPr="00A75276">
        <w:rPr>
          <w:lang w:val="fr-FR"/>
        </w:rPr>
        <w:t>Unis d</w:t>
      </w:r>
      <w:r w:rsidR="009C53EC" w:rsidRPr="00A75276">
        <w:rPr>
          <w:lang w:val="fr-FR"/>
        </w:rPr>
        <w:t>’</w:t>
      </w:r>
      <w:r w:rsidR="00216979" w:rsidRPr="00A75276">
        <w:rPr>
          <w:lang w:val="fr-FR"/>
        </w:rPr>
        <w:t>Amérique</w:t>
      </w:r>
      <w:r w:rsidR="001A5167" w:rsidRPr="00A75276">
        <w:rPr>
          <w:lang w:val="fr-FR"/>
        </w:rPr>
        <w:t xml:space="preserve"> a</w:t>
      </w:r>
      <w:r w:rsidRPr="00A75276">
        <w:rPr>
          <w:lang w:val="fr-FR"/>
        </w:rPr>
        <w:t xml:space="preserve"> suggéré de nouveau, comme il l</w:t>
      </w:r>
      <w:r w:rsidR="009C53EC" w:rsidRPr="00A75276">
        <w:rPr>
          <w:lang w:val="fr-FR"/>
        </w:rPr>
        <w:t>’</w:t>
      </w:r>
      <w:r w:rsidRPr="00A75276">
        <w:rPr>
          <w:lang w:val="fr-FR"/>
        </w:rPr>
        <w:t xml:space="preserve">avait fait à la précédente </w:t>
      </w:r>
      <w:r w:rsidR="001A5167" w:rsidRPr="00A75276">
        <w:rPr>
          <w:lang w:val="fr-FR"/>
        </w:rPr>
        <w:t xml:space="preserve">session </w:t>
      </w:r>
      <w:r w:rsidRPr="00A75276">
        <w:rPr>
          <w:lang w:val="fr-FR"/>
        </w:rPr>
        <w:t>du sous</w:t>
      </w:r>
      <w:r w:rsidR="00A16C85" w:rsidRPr="00A75276">
        <w:rPr>
          <w:lang w:val="fr-FR"/>
        </w:rPr>
        <w:noBreakHyphen/>
      </w:r>
      <w:r w:rsidRPr="00A75276">
        <w:rPr>
          <w:lang w:val="fr-FR"/>
        </w:rPr>
        <w:t>groupe</w:t>
      </w:r>
      <w:r w:rsidR="001A5167" w:rsidRPr="00A75276">
        <w:rPr>
          <w:lang w:val="fr-FR"/>
        </w:rPr>
        <w:t xml:space="preserve">, </w:t>
      </w:r>
      <w:r w:rsidRPr="00A75276">
        <w:rPr>
          <w:lang w:val="fr-FR"/>
        </w:rPr>
        <w:t>que</w:t>
      </w:r>
      <w:r w:rsidR="001A5167" w:rsidRPr="00A75276">
        <w:rPr>
          <w:lang w:val="fr-FR"/>
        </w:rPr>
        <w:t xml:space="preserve"> </w:t>
      </w:r>
      <w:r w:rsidR="00DA41F7" w:rsidRPr="00A75276">
        <w:rPr>
          <w:lang w:val="fr-FR"/>
        </w:rPr>
        <w:t>le Bureau international</w:t>
      </w:r>
      <w:r w:rsidR="001A5167" w:rsidRPr="00A75276">
        <w:rPr>
          <w:lang w:val="fr-FR"/>
        </w:rPr>
        <w:t xml:space="preserve"> </w:t>
      </w:r>
      <w:r w:rsidRPr="00A75276">
        <w:rPr>
          <w:lang w:val="fr-FR"/>
        </w:rPr>
        <w:t>devrait mener une enquête pour déterminer la forme et la teneur des dossiers de recherche</w:t>
      </w:r>
      <w:r w:rsidR="005B31BD" w:rsidRPr="00A75276">
        <w:rPr>
          <w:lang w:val="fr-FR"/>
        </w:rPr>
        <w:t xml:space="preserve"> qui seraient les plus util</w:t>
      </w:r>
      <w:r w:rsidR="00A16C85" w:rsidRPr="00A75276">
        <w:rPr>
          <w:lang w:val="fr-FR"/>
        </w:rPr>
        <w:t>es.  Le</w:t>
      </w:r>
      <w:r w:rsidR="00855BB8" w:rsidRPr="00A75276">
        <w:rPr>
          <w:lang w:val="fr-FR"/>
        </w:rPr>
        <w:t xml:space="preserve"> questionnaire devrait être envoyé à certains déposants, aux of</w:t>
      </w:r>
      <w:r w:rsidR="001A5167" w:rsidRPr="00A75276">
        <w:rPr>
          <w:lang w:val="fr-FR"/>
        </w:rPr>
        <w:t xml:space="preserve">fices </w:t>
      </w:r>
      <w:r w:rsidR="000256EE" w:rsidRPr="00A75276">
        <w:rPr>
          <w:lang w:val="fr-FR"/>
        </w:rPr>
        <w:t xml:space="preserve">en leurs qualités </w:t>
      </w:r>
      <w:r w:rsidR="00855BB8" w:rsidRPr="00A75276">
        <w:rPr>
          <w:lang w:val="fr-FR"/>
        </w:rPr>
        <w:t>d</w:t>
      </w:r>
      <w:r w:rsidR="009C53EC" w:rsidRPr="00A75276">
        <w:rPr>
          <w:lang w:val="fr-FR"/>
        </w:rPr>
        <w:t>’</w:t>
      </w:r>
      <w:r w:rsidR="00BB056C" w:rsidRPr="00A75276">
        <w:rPr>
          <w:lang w:val="fr-FR"/>
        </w:rPr>
        <w:t>administrations</w:t>
      </w:r>
      <w:r w:rsidR="00855BB8" w:rsidRPr="00A75276">
        <w:rPr>
          <w:lang w:val="fr-FR"/>
        </w:rPr>
        <w:t xml:space="preserve"> chargées de l</w:t>
      </w:r>
      <w:r w:rsidR="009C53EC" w:rsidRPr="00A75276">
        <w:rPr>
          <w:lang w:val="fr-FR"/>
        </w:rPr>
        <w:t>’</w:t>
      </w:r>
      <w:r w:rsidR="00855BB8" w:rsidRPr="00A75276">
        <w:rPr>
          <w:lang w:val="fr-FR"/>
        </w:rPr>
        <w:t>examen préliminaire international et d</w:t>
      </w:r>
      <w:r w:rsidR="009C53EC" w:rsidRPr="00A75276">
        <w:rPr>
          <w:lang w:val="fr-FR"/>
        </w:rPr>
        <w:t>’</w:t>
      </w:r>
      <w:r w:rsidR="00855BB8" w:rsidRPr="00A75276">
        <w:rPr>
          <w:lang w:val="fr-FR"/>
        </w:rPr>
        <w:t>offices désignés, ainsi qu</w:t>
      </w:r>
      <w:r w:rsidR="009C53EC" w:rsidRPr="00A75276">
        <w:rPr>
          <w:lang w:val="fr-FR"/>
        </w:rPr>
        <w:t>’</w:t>
      </w:r>
      <w:r w:rsidR="00855BB8" w:rsidRPr="00A75276">
        <w:rPr>
          <w:lang w:val="fr-FR"/>
        </w:rPr>
        <w:t>aux groupes d</w:t>
      </w:r>
      <w:r w:rsidR="009C53EC" w:rsidRPr="00A75276">
        <w:rPr>
          <w:lang w:val="fr-FR"/>
        </w:rPr>
        <w:t>’</w:t>
      </w:r>
      <w:r w:rsidR="00855BB8" w:rsidRPr="00A75276">
        <w:rPr>
          <w:lang w:val="fr-FR"/>
        </w:rPr>
        <w:t>utilisateu</w:t>
      </w:r>
      <w:r w:rsidR="00A16C85" w:rsidRPr="00A75276">
        <w:rPr>
          <w:lang w:val="fr-FR"/>
        </w:rPr>
        <w:t>rs.  En</w:t>
      </w:r>
      <w:r w:rsidR="00855BB8" w:rsidRPr="00A75276">
        <w:rPr>
          <w:lang w:val="fr-FR"/>
        </w:rPr>
        <w:t xml:space="preserve"> termes de contenu, l</w:t>
      </w:r>
      <w:r w:rsidR="009C53EC" w:rsidRPr="00A75276">
        <w:rPr>
          <w:lang w:val="fr-FR"/>
        </w:rPr>
        <w:t>’</w:t>
      </w:r>
      <w:r w:rsidR="00855BB8" w:rsidRPr="00A75276">
        <w:rPr>
          <w:lang w:val="fr-FR"/>
        </w:rPr>
        <w:t>enquête devrait comprendre des exemples de straté</w:t>
      </w:r>
      <w:r w:rsidR="001A5167" w:rsidRPr="00A75276">
        <w:rPr>
          <w:lang w:val="fr-FR"/>
        </w:rPr>
        <w:t xml:space="preserve">gies </w:t>
      </w:r>
      <w:r w:rsidR="00855BB8" w:rsidRPr="00A75276">
        <w:rPr>
          <w:lang w:val="fr-FR"/>
        </w:rPr>
        <w:t>de recherche relevant des trois</w:t>
      </w:r>
      <w:r w:rsidR="00432F5D" w:rsidRPr="00A75276">
        <w:rPr>
          <w:lang w:val="fr-FR"/>
        </w:rPr>
        <w:t> </w:t>
      </w:r>
      <w:r w:rsidR="00855BB8" w:rsidRPr="00A75276">
        <w:rPr>
          <w:lang w:val="fr-FR"/>
        </w:rPr>
        <w:t xml:space="preserve">pratiques différentes pour permettre de comparer et nuancer ces pratiques, plutôt </w:t>
      </w:r>
      <w:r w:rsidR="000256EE" w:rsidRPr="00A75276">
        <w:rPr>
          <w:lang w:val="fr-FR"/>
        </w:rPr>
        <w:t xml:space="preserve">que </w:t>
      </w:r>
      <w:r w:rsidR="00855BB8" w:rsidRPr="00A75276">
        <w:rPr>
          <w:lang w:val="fr-FR"/>
        </w:rPr>
        <w:t>de laisser l</w:t>
      </w:r>
      <w:r w:rsidR="009C53EC" w:rsidRPr="00A75276">
        <w:rPr>
          <w:lang w:val="fr-FR"/>
        </w:rPr>
        <w:t>’</w:t>
      </w:r>
      <w:r w:rsidR="00855BB8" w:rsidRPr="00A75276">
        <w:rPr>
          <w:lang w:val="fr-FR"/>
        </w:rPr>
        <w:t>OEB seul évaluer son projet pilote, comme l</w:t>
      </w:r>
      <w:r w:rsidR="009C53EC" w:rsidRPr="00A75276">
        <w:rPr>
          <w:lang w:val="fr-FR"/>
        </w:rPr>
        <w:t>’</w:t>
      </w:r>
      <w:r w:rsidR="00855BB8" w:rsidRPr="00A75276">
        <w:rPr>
          <w:lang w:val="fr-FR"/>
        </w:rPr>
        <w:t>avait suggéré l</w:t>
      </w:r>
      <w:r w:rsidR="009C53EC" w:rsidRPr="00A75276">
        <w:rPr>
          <w:lang w:val="fr-FR"/>
        </w:rPr>
        <w:t>’</w:t>
      </w:r>
      <w:r w:rsidR="00855BB8" w:rsidRPr="00A75276">
        <w:rPr>
          <w:lang w:val="fr-FR"/>
        </w:rPr>
        <w:t>OEB</w:t>
      </w:r>
      <w:r w:rsidR="001A5167" w:rsidRPr="00A75276">
        <w:rPr>
          <w:lang w:val="fr-FR"/>
        </w:rPr>
        <w:t xml:space="preserve">.  </w:t>
      </w:r>
      <w:r w:rsidR="00A253A2" w:rsidRPr="00A75276">
        <w:rPr>
          <w:lang w:val="fr-FR"/>
        </w:rPr>
        <w:t>L</w:t>
      </w:r>
      <w:r w:rsidR="009C53EC" w:rsidRPr="00A75276">
        <w:rPr>
          <w:lang w:val="fr-FR"/>
        </w:rPr>
        <w:t>’</w:t>
      </w:r>
      <w:r w:rsidR="00A253A2" w:rsidRPr="00A75276">
        <w:rPr>
          <w:lang w:val="fr-FR"/>
        </w:rPr>
        <w:t xml:space="preserve">OEB a indiqué que, dans la mesure où ces différentes pratiques étaient fondées sur des </w:t>
      </w:r>
      <w:r w:rsidR="00BB056C" w:rsidRPr="00A75276">
        <w:rPr>
          <w:lang w:val="fr-FR"/>
        </w:rPr>
        <w:t>objectifs</w:t>
      </w:r>
      <w:r w:rsidR="00A253A2" w:rsidRPr="00A75276">
        <w:rPr>
          <w:lang w:val="fr-FR"/>
        </w:rPr>
        <w:t xml:space="preserve"> différents et visaient des groupes d</w:t>
      </w:r>
      <w:r w:rsidR="009C53EC" w:rsidRPr="00A75276">
        <w:rPr>
          <w:lang w:val="fr-FR"/>
        </w:rPr>
        <w:t>’</w:t>
      </w:r>
      <w:r w:rsidR="00A253A2" w:rsidRPr="00A75276">
        <w:rPr>
          <w:lang w:val="fr-FR"/>
        </w:rPr>
        <w:t>utilisateurs différents, il considérait que les offices devraient tout d</w:t>
      </w:r>
      <w:r w:rsidR="009C53EC" w:rsidRPr="00A75276">
        <w:rPr>
          <w:lang w:val="fr-FR"/>
        </w:rPr>
        <w:t>’</w:t>
      </w:r>
      <w:r w:rsidR="00A253A2" w:rsidRPr="00A75276">
        <w:rPr>
          <w:lang w:val="fr-FR"/>
        </w:rPr>
        <w:t>abord procéder à leur propre évaluati</w:t>
      </w:r>
      <w:r w:rsidR="00A16C85" w:rsidRPr="00A75276">
        <w:rPr>
          <w:lang w:val="fr-FR"/>
        </w:rPr>
        <w:t>on.  Ét</w:t>
      </w:r>
      <w:r w:rsidR="009A0CFD" w:rsidRPr="00A75276">
        <w:rPr>
          <w:lang w:val="fr-FR"/>
        </w:rPr>
        <w:t>ant donné que le projet</w:t>
      </w:r>
      <w:r w:rsidR="001A5167" w:rsidRPr="00A75276">
        <w:rPr>
          <w:lang w:val="fr-FR"/>
        </w:rPr>
        <w:t xml:space="preserve"> pilot</w:t>
      </w:r>
      <w:r w:rsidR="009A0CFD" w:rsidRPr="00A75276">
        <w:rPr>
          <w:lang w:val="fr-FR"/>
        </w:rPr>
        <w:t>e de l</w:t>
      </w:r>
      <w:r w:rsidR="009C53EC" w:rsidRPr="00A75276">
        <w:rPr>
          <w:lang w:val="fr-FR"/>
        </w:rPr>
        <w:t>’</w:t>
      </w:r>
      <w:r w:rsidR="009A0CFD" w:rsidRPr="00A75276">
        <w:rPr>
          <w:lang w:val="fr-FR"/>
        </w:rPr>
        <w:t>OEB n</w:t>
      </w:r>
      <w:r w:rsidR="009C53EC" w:rsidRPr="00A75276">
        <w:rPr>
          <w:lang w:val="fr-FR"/>
        </w:rPr>
        <w:t>’</w:t>
      </w:r>
      <w:r w:rsidR="009A0CFD" w:rsidRPr="00A75276">
        <w:rPr>
          <w:lang w:val="fr-FR"/>
        </w:rPr>
        <w:t>avait débuté qu</w:t>
      </w:r>
      <w:r w:rsidR="009C53EC" w:rsidRPr="00A75276">
        <w:rPr>
          <w:lang w:val="fr-FR"/>
        </w:rPr>
        <w:t>’</w:t>
      </w:r>
      <w:r w:rsidR="009A0CFD" w:rsidRPr="00A75276">
        <w:rPr>
          <w:lang w:val="fr-FR"/>
        </w:rPr>
        <w:t xml:space="preserve">en </w:t>
      </w:r>
      <w:r w:rsidR="002E5DCA" w:rsidRPr="00A75276">
        <w:rPr>
          <w:lang w:val="fr-FR"/>
        </w:rPr>
        <w:t>novembre 20</w:t>
      </w:r>
      <w:r w:rsidR="001A5167" w:rsidRPr="00A75276">
        <w:rPr>
          <w:lang w:val="fr-FR"/>
        </w:rPr>
        <w:t xml:space="preserve">15 </w:t>
      </w:r>
      <w:r w:rsidR="009A0CFD" w:rsidRPr="00A75276">
        <w:rPr>
          <w:lang w:val="fr-FR"/>
        </w:rPr>
        <w:t>et qu</w:t>
      </w:r>
      <w:r w:rsidR="009C53EC" w:rsidRPr="00A75276">
        <w:rPr>
          <w:lang w:val="fr-FR"/>
        </w:rPr>
        <w:t>’</w:t>
      </w:r>
      <w:r w:rsidR="009A0CFD" w:rsidRPr="00A75276">
        <w:rPr>
          <w:lang w:val="fr-FR"/>
        </w:rPr>
        <w:t xml:space="preserve">il était donc prématuré de procéder à une évaluation à ce stade, il a été convenu de revenir sur la question </w:t>
      </w:r>
      <w:r w:rsidR="00425B52" w:rsidRPr="00A75276">
        <w:rPr>
          <w:lang w:val="fr-FR"/>
        </w:rPr>
        <w:t>des meilleurs moyens d</w:t>
      </w:r>
      <w:r w:rsidR="009C53EC" w:rsidRPr="00A75276">
        <w:rPr>
          <w:lang w:val="fr-FR"/>
        </w:rPr>
        <w:t>’</w:t>
      </w:r>
      <w:r w:rsidR="00425B52" w:rsidRPr="00A75276">
        <w:rPr>
          <w:lang w:val="fr-FR"/>
        </w:rPr>
        <w:t>évaluer les trois</w:t>
      </w:r>
      <w:r w:rsidR="00432F5D" w:rsidRPr="00A75276">
        <w:rPr>
          <w:lang w:val="fr-FR"/>
        </w:rPr>
        <w:t> </w:t>
      </w:r>
      <w:r w:rsidR="00425B52" w:rsidRPr="00A75276">
        <w:rPr>
          <w:lang w:val="fr-FR"/>
        </w:rPr>
        <w:t>approches différentes à la session du sous</w:t>
      </w:r>
      <w:r w:rsidR="00A16C85" w:rsidRPr="00A75276">
        <w:rPr>
          <w:lang w:val="fr-FR"/>
        </w:rPr>
        <w:noBreakHyphen/>
      </w:r>
      <w:r w:rsidR="00425B52" w:rsidRPr="00A75276">
        <w:rPr>
          <w:lang w:val="fr-FR"/>
        </w:rPr>
        <w:t>groupe prévue l</w:t>
      </w:r>
      <w:r w:rsidR="009C53EC" w:rsidRPr="00A75276">
        <w:rPr>
          <w:lang w:val="fr-FR"/>
        </w:rPr>
        <w:t>’</w:t>
      </w:r>
      <w:r w:rsidR="00425B52" w:rsidRPr="00A75276">
        <w:rPr>
          <w:lang w:val="fr-FR"/>
        </w:rPr>
        <w:t>année suivante</w:t>
      </w:r>
      <w:r w:rsidR="00A253A2" w:rsidRPr="00A75276">
        <w:rPr>
          <w:lang w:val="fr-FR"/>
        </w:rPr>
        <w:t>.</w:t>
      </w:r>
    </w:p>
    <w:p w:rsidR="00715135" w:rsidRPr="00A75276" w:rsidRDefault="001A5167" w:rsidP="001A5167">
      <w:pPr>
        <w:pStyle w:val="Heading2"/>
        <w:rPr>
          <w:lang w:val="fr-FR"/>
        </w:rPr>
      </w:pPr>
      <w:r w:rsidRPr="00A75276">
        <w:rPr>
          <w:lang w:val="fr-FR"/>
        </w:rPr>
        <w:t>b)</w:t>
      </w:r>
      <w:r w:rsidRPr="00A75276">
        <w:rPr>
          <w:lang w:val="fr-FR"/>
        </w:rPr>
        <w:tab/>
        <w:t>Clauses</w:t>
      </w:r>
      <w:r w:rsidR="00D537A2" w:rsidRPr="00A75276">
        <w:rPr>
          <w:lang w:val="fr-FR"/>
        </w:rPr>
        <w:t xml:space="preserve"> normalisées</w:t>
      </w:r>
    </w:p>
    <w:p w:rsidR="00715135" w:rsidRPr="00A75276" w:rsidRDefault="00D537A2" w:rsidP="00A9298C">
      <w:pPr>
        <w:pStyle w:val="ONUMFS"/>
        <w:rPr>
          <w:lang w:val="fr-FR"/>
        </w:rPr>
      </w:pPr>
      <w:r w:rsidRPr="00A75276">
        <w:rPr>
          <w:lang w:val="fr-FR"/>
        </w:rPr>
        <w:t xml:space="preserve">Plusieurs administrations ont rendu compte de la manière dont elles mettaient en œuvre les </w:t>
      </w:r>
      <w:r w:rsidR="001A5167" w:rsidRPr="00A75276">
        <w:rPr>
          <w:lang w:val="fr-FR"/>
        </w:rPr>
        <w:t xml:space="preserve">clauses </w:t>
      </w:r>
      <w:r w:rsidRPr="00A75276">
        <w:rPr>
          <w:lang w:val="fr-FR"/>
        </w:rPr>
        <w:t>normalisées pour les produits du travail</w:t>
      </w:r>
      <w:r w:rsidR="002E5DCA" w:rsidRPr="00A75276">
        <w:rPr>
          <w:lang w:val="fr-FR"/>
        </w:rPr>
        <w:t xml:space="preserve"> du PCT</w:t>
      </w:r>
      <w:r w:rsidR="001A5167" w:rsidRPr="00A75276">
        <w:rPr>
          <w:lang w:val="fr-FR"/>
        </w:rPr>
        <w:t xml:space="preserve">, </w:t>
      </w:r>
      <w:r w:rsidR="000256EE" w:rsidRPr="00A75276">
        <w:rPr>
          <w:lang w:val="fr-FR"/>
        </w:rPr>
        <w:t xml:space="preserve">concernant </w:t>
      </w:r>
      <w:r w:rsidRPr="00A75276">
        <w:rPr>
          <w:lang w:val="fr-FR"/>
        </w:rPr>
        <w:t xml:space="preserve">notamment </w:t>
      </w:r>
      <w:r w:rsidR="000256EE" w:rsidRPr="00A75276">
        <w:rPr>
          <w:lang w:val="fr-FR"/>
        </w:rPr>
        <w:t xml:space="preserve">les </w:t>
      </w:r>
      <w:r w:rsidRPr="00A75276">
        <w:rPr>
          <w:lang w:val="fr-FR"/>
        </w:rPr>
        <w:t>traductions en français et en espagnol qui avaient été mises à dispositi</w:t>
      </w:r>
      <w:r w:rsidR="00A16C85" w:rsidRPr="00A75276">
        <w:rPr>
          <w:lang w:val="fr-FR"/>
        </w:rPr>
        <w:t>on.  Le</w:t>
      </w:r>
      <w:r w:rsidRPr="00A75276">
        <w:rPr>
          <w:lang w:val="fr-FR"/>
        </w:rPr>
        <w:t>s administrations ont réaffirmé que leur utilisation devrait être facultative et laissée à l</w:t>
      </w:r>
      <w:r w:rsidR="009C53EC" w:rsidRPr="00A75276">
        <w:rPr>
          <w:lang w:val="fr-FR"/>
        </w:rPr>
        <w:t>’</w:t>
      </w:r>
      <w:r w:rsidRPr="00A75276">
        <w:rPr>
          <w:lang w:val="fr-FR"/>
        </w:rPr>
        <w:t>appréciation de l</w:t>
      </w:r>
      <w:r w:rsidR="009C53EC" w:rsidRPr="00A75276">
        <w:rPr>
          <w:lang w:val="fr-FR"/>
        </w:rPr>
        <w:t>’</w:t>
      </w:r>
      <w:r w:rsidRPr="00A75276">
        <w:rPr>
          <w:lang w:val="fr-FR"/>
        </w:rPr>
        <w:t>examinate</w:t>
      </w:r>
      <w:r w:rsidR="00A16C85" w:rsidRPr="00A75276">
        <w:rPr>
          <w:lang w:val="fr-FR"/>
        </w:rPr>
        <w:t>ur.  Le</w:t>
      </w:r>
      <w:r w:rsidRPr="00A75276">
        <w:rPr>
          <w:lang w:val="fr-FR"/>
        </w:rPr>
        <w:t>s administrations qui n</w:t>
      </w:r>
      <w:r w:rsidR="009C53EC" w:rsidRPr="00A75276">
        <w:rPr>
          <w:lang w:val="fr-FR"/>
        </w:rPr>
        <w:t>’</w:t>
      </w:r>
      <w:r w:rsidRPr="00A75276">
        <w:rPr>
          <w:lang w:val="fr-FR"/>
        </w:rPr>
        <w:t>avaient pas l</w:t>
      </w:r>
      <w:r w:rsidR="009C53EC" w:rsidRPr="00A75276">
        <w:rPr>
          <w:lang w:val="fr-FR"/>
        </w:rPr>
        <w:t>’</w:t>
      </w:r>
      <w:r w:rsidRPr="00A75276">
        <w:rPr>
          <w:lang w:val="fr-FR"/>
        </w:rPr>
        <w:t>intention d</w:t>
      </w:r>
      <w:r w:rsidR="009C53EC" w:rsidRPr="00A75276">
        <w:rPr>
          <w:lang w:val="fr-FR"/>
        </w:rPr>
        <w:t>’</w:t>
      </w:r>
      <w:r w:rsidRPr="00A75276">
        <w:rPr>
          <w:lang w:val="fr-FR"/>
        </w:rPr>
        <w:t xml:space="preserve">utiliser les </w:t>
      </w:r>
      <w:r w:rsidR="001A5167" w:rsidRPr="00A75276">
        <w:rPr>
          <w:lang w:val="fr-FR"/>
        </w:rPr>
        <w:t xml:space="preserve">clauses </w:t>
      </w:r>
      <w:r w:rsidRPr="00A75276">
        <w:rPr>
          <w:lang w:val="fr-FR"/>
        </w:rPr>
        <w:t xml:space="preserve">normalisées ont accueilli avec satisfaction leur utilisation par les autres </w:t>
      </w:r>
      <w:r w:rsidR="00BB056C" w:rsidRPr="00A75276">
        <w:rPr>
          <w:lang w:val="fr-FR"/>
        </w:rPr>
        <w:t>administrations</w:t>
      </w:r>
      <w:r w:rsidRPr="00A75276">
        <w:rPr>
          <w:lang w:val="fr-FR"/>
        </w:rPr>
        <w:t>, soulignant qu</w:t>
      </w:r>
      <w:r w:rsidR="009C53EC" w:rsidRPr="00A75276">
        <w:rPr>
          <w:lang w:val="fr-FR"/>
        </w:rPr>
        <w:t>’</w:t>
      </w:r>
      <w:r w:rsidRPr="00A75276">
        <w:rPr>
          <w:lang w:val="fr-FR"/>
        </w:rPr>
        <w:t>il était intéressant de disposer d</w:t>
      </w:r>
      <w:r w:rsidR="009C53EC" w:rsidRPr="00A75276">
        <w:rPr>
          <w:lang w:val="fr-FR"/>
        </w:rPr>
        <w:t>’</w:t>
      </w:r>
      <w:r w:rsidRPr="00A75276">
        <w:rPr>
          <w:lang w:val="fr-FR"/>
        </w:rPr>
        <w:t>une série de clauses types</w:t>
      </w:r>
      <w:r w:rsidR="001A5167" w:rsidRPr="00A75276">
        <w:rPr>
          <w:lang w:val="fr-FR"/>
        </w:rPr>
        <w:t>.</w:t>
      </w:r>
    </w:p>
    <w:p w:rsidR="00715135" w:rsidRPr="00A75276" w:rsidRDefault="00D537A2" w:rsidP="00A9298C">
      <w:pPr>
        <w:pStyle w:val="ONUMFS"/>
        <w:rPr>
          <w:lang w:val="fr-FR"/>
        </w:rPr>
      </w:pPr>
      <w:r w:rsidRPr="00A75276">
        <w:rPr>
          <w:lang w:val="fr-FR"/>
        </w:rPr>
        <w:t>En réponse à la demande de l</w:t>
      </w:r>
      <w:r w:rsidR="009C53EC" w:rsidRPr="00A75276">
        <w:rPr>
          <w:lang w:val="fr-FR"/>
        </w:rPr>
        <w:t>’</w:t>
      </w:r>
      <w:r w:rsidR="001A5167" w:rsidRPr="00A75276">
        <w:rPr>
          <w:lang w:val="fr-FR"/>
        </w:rPr>
        <w:t xml:space="preserve">Office </w:t>
      </w:r>
      <w:r w:rsidRPr="00A75276">
        <w:rPr>
          <w:lang w:val="fr-FR"/>
        </w:rPr>
        <w:t>d</w:t>
      </w:r>
      <w:r w:rsidR="009C53EC" w:rsidRPr="00A75276">
        <w:rPr>
          <w:lang w:val="fr-FR"/>
        </w:rPr>
        <w:t>’</w:t>
      </w:r>
      <w:r w:rsidR="00D467CC" w:rsidRPr="00A75276">
        <w:rPr>
          <w:lang w:val="fr-FR"/>
        </w:rPr>
        <w:t>État de la propriété intellectuelle de la République populaire de Chine</w:t>
      </w:r>
      <w:r w:rsidR="001A5167" w:rsidRPr="00A75276">
        <w:rPr>
          <w:lang w:val="fr-FR"/>
        </w:rPr>
        <w:t xml:space="preserve">, </w:t>
      </w:r>
      <w:r w:rsidR="00DA41F7" w:rsidRPr="00A75276">
        <w:rPr>
          <w:lang w:val="fr-FR"/>
        </w:rPr>
        <w:t>le Bureau international</w:t>
      </w:r>
      <w:r w:rsidR="001A5167" w:rsidRPr="00A75276">
        <w:rPr>
          <w:lang w:val="fr-FR"/>
        </w:rPr>
        <w:t xml:space="preserve"> </w:t>
      </w:r>
      <w:r w:rsidR="00D467CC" w:rsidRPr="00A75276">
        <w:rPr>
          <w:lang w:val="fr-FR"/>
        </w:rPr>
        <w:t>a indiqué qu</w:t>
      </w:r>
      <w:r w:rsidR="009C53EC" w:rsidRPr="00A75276">
        <w:rPr>
          <w:lang w:val="fr-FR"/>
        </w:rPr>
        <w:t>’</w:t>
      </w:r>
      <w:r w:rsidR="00D467CC" w:rsidRPr="00A75276">
        <w:rPr>
          <w:lang w:val="fr-FR"/>
        </w:rPr>
        <w:t xml:space="preserve">il serait disposé à traduire les </w:t>
      </w:r>
      <w:r w:rsidR="001A5167" w:rsidRPr="00A75276">
        <w:rPr>
          <w:lang w:val="fr-FR"/>
        </w:rPr>
        <w:t xml:space="preserve">clauses </w:t>
      </w:r>
      <w:r w:rsidR="00D467CC" w:rsidRPr="00A75276">
        <w:rPr>
          <w:lang w:val="fr-FR"/>
        </w:rPr>
        <w:t>normalisées en chinois</w:t>
      </w:r>
      <w:r w:rsidR="001A5167" w:rsidRPr="00A75276">
        <w:rPr>
          <w:lang w:val="fr-FR"/>
        </w:rPr>
        <w:t>.</w:t>
      </w:r>
    </w:p>
    <w:p w:rsidR="00715135" w:rsidRPr="00A75276" w:rsidRDefault="00C74BAB" w:rsidP="00A9298C">
      <w:pPr>
        <w:pStyle w:val="ONUMFS"/>
        <w:rPr>
          <w:lang w:val="fr-FR"/>
        </w:rPr>
      </w:pPr>
      <w:r w:rsidRPr="00A75276">
        <w:rPr>
          <w:lang w:val="fr-FR"/>
        </w:rPr>
        <w:t xml:space="preserve">Une administration a suggéré que des </w:t>
      </w:r>
      <w:r w:rsidR="001A5167" w:rsidRPr="00A75276">
        <w:rPr>
          <w:lang w:val="fr-FR"/>
        </w:rPr>
        <w:t xml:space="preserve">clauses </w:t>
      </w:r>
      <w:r w:rsidRPr="00A75276">
        <w:rPr>
          <w:lang w:val="fr-FR"/>
        </w:rPr>
        <w:t xml:space="preserve">normalisées pourraient être élaborées pour la </w:t>
      </w:r>
      <w:r w:rsidR="001A5167" w:rsidRPr="00A75276">
        <w:rPr>
          <w:lang w:val="fr-FR"/>
        </w:rPr>
        <w:t xml:space="preserve">certification </w:t>
      </w:r>
      <w:r w:rsidRPr="00A75276">
        <w:rPr>
          <w:lang w:val="fr-FR"/>
        </w:rPr>
        <w:t>d</w:t>
      </w:r>
      <w:r w:rsidR="009C53EC" w:rsidRPr="00A75276">
        <w:rPr>
          <w:lang w:val="fr-FR"/>
        </w:rPr>
        <w:t>’</w:t>
      </w:r>
      <w:r w:rsidRPr="00A75276">
        <w:rPr>
          <w:lang w:val="fr-FR"/>
        </w:rPr>
        <w:t xml:space="preserve">un </w:t>
      </w:r>
      <w:r w:rsidR="001A5167" w:rsidRPr="00A75276">
        <w:rPr>
          <w:lang w:val="fr-FR"/>
        </w:rPr>
        <w:t>document</w:t>
      </w:r>
      <w:r w:rsidRPr="00A75276">
        <w:rPr>
          <w:lang w:val="fr-FR"/>
        </w:rPr>
        <w:t xml:space="preserve"> de priori</w:t>
      </w:r>
      <w:r w:rsidR="00A16C85" w:rsidRPr="00A75276">
        <w:rPr>
          <w:lang w:val="fr-FR"/>
        </w:rPr>
        <w:t>té.  Un</w:t>
      </w:r>
      <w:r w:rsidR="008A7BE1" w:rsidRPr="00A75276">
        <w:rPr>
          <w:lang w:val="fr-FR"/>
        </w:rPr>
        <w:t>e autre a indiqué qu</w:t>
      </w:r>
      <w:r w:rsidR="009C53EC" w:rsidRPr="00A75276">
        <w:rPr>
          <w:lang w:val="fr-FR"/>
        </w:rPr>
        <w:t>’</w:t>
      </w:r>
      <w:r w:rsidR="008A7BE1" w:rsidRPr="00A75276">
        <w:rPr>
          <w:lang w:val="fr-FR"/>
        </w:rPr>
        <w:t xml:space="preserve">elle était en désaccord avec les </w:t>
      </w:r>
      <w:r w:rsidR="001A5167" w:rsidRPr="00A75276">
        <w:rPr>
          <w:lang w:val="fr-FR"/>
        </w:rPr>
        <w:t xml:space="preserve">clauses VIII.9 </w:t>
      </w:r>
      <w:r w:rsidR="008A7BE1" w:rsidRPr="00A75276">
        <w:rPr>
          <w:lang w:val="fr-FR"/>
        </w:rPr>
        <w:t>et VIII.10 concernant le défaut de concision</w:t>
      </w:r>
      <w:r w:rsidR="001A5167" w:rsidRPr="00A75276">
        <w:rPr>
          <w:lang w:val="fr-FR"/>
        </w:rPr>
        <w:t xml:space="preserve">, </w:t>
      </w:r>
      <w:r w:rsidR="008A7BE1" w:rsidRPr="00A75276">
        <w:rPr>
          <w:lang w:val="fr-FR"/>
        </w:rPr>
        <w:t>et qu</w:t>
      </w:r>
      <w:r w:rsidR="009C53EC" w:rsidRPr="00A75276">
        <w:rPr>
          <w:lang w:val="fr-FR"/>
        </w:rPr>
        <w:t>’</w:t>
      </w:r>
      <w:r w:rsidR="008A7BE1" w:rsidRPr="00A75276">
        <w:rPr>
          <w:lang w:val="fr-FR"/>
        </w:rPr>
        <w:t xml:space="preserve">elle considérait que cette </w:t>
      </w:r>
      <w:r w:rsidR="001A5167" w:rsidRPr="00A75276">
        <w:rPr>
          <w:lang w:val="fr-FR"/>
        </w:rPr>
        <w:t xml:space="preserve">objection </w:t>
      </w:r>
      <w:r w:rsidR="008A7BE1" w:rsidRPr="00A75276">
        <w:rPr>
          <w:lang w:val="fr-FR"/>
        </w:rPr>
        <w:t>devrait figurer dans le cadre n° </w:t>
      </w:r>
      <w:r w:rsidR="001A5167" w:rsidRPr="00A75276">
        <w:rPr>
          <w:lang w:val="fr-FR"/>
        </w:rPr>
        <w:t xml:space="preserve">VII </w:t>
      </w:r>
      <w:r w:rsidR="008A7BE1" w:rsidRPr="00A75276">
        <w:rPr>
          <w:lang w:val="fr-FR"/>
        </w:rPr>
        <w:t>de l</w:t>
      </w:r>
      <w:r w:rsidR="009C53EC" w:rsidRPr="00A75276">
        <w:rPr>
          <w:lang w:val="fr-FR"/>
        </w:rPr>
        <w:t>’</w:t>
      </w:r>
      <w:r w:rsidR="001A5167" w:rsidRPr="00A75276">
        <w:rPr>
          <w:lang w:val="fr-FR"/>
        </w:rPr>
        <w:t>opinion</w:t>
      </w:r>
      <w:r w:rsidR="008A7BE1" w:rsidRPr="00A75276">
        <w:rPr>
          <w:lang w:val="fr-FR"/>
        </w:rPr>
        <w:t xml:space="preserve"> écrite</w:t>
      </w:r>
      <w:r w:rsidR="001A5167" w:rsidRPr="00A75276">
        <w:rPr>
          <w:lang w:val="fr-FR"/>
        </w:rPr>
        <w:t>.</w:t>
      </w:r>
    </w:p>
    <w:p w:rsidR="00715135" w:rsidRPr="00A75276" w:rsidRDefault="008A7BE1" w:rsidP="00A9298C">
      <w:pPr>
        <w:pStyle w:val="ONUMFS"/>
        <w:rPr>
          <w:lang w:val="fr-FR"/>
        </w:rPr>
      </w:pPr>
      <w:r w:rsidRPr="00A75276">
        <w:rPr>
          <w:lang w:val="fr-FR"/>
        </w:rPr>
        <w:t>L</w:t>
      </w:r>
      <w:r w:rsidR="009C53EC" w:rsidRPr="00A75276">
        <w:rPr>
          <w:lang w:val="fr-FR"/>
        </w:rPr>
        <w:t>’</w:t>
      </w:r>
      <w:r w:rsidRPr="00A75276">
        <w:rPr>
          <w:lang w:val="fr-FR"/>
        </w:rPr>
        <w:t>O</w:t>
      </w:r>
      <w:r w:rsidR="001A5167" w:rsidRPr="00A75276">
        <w:rPr>
          <w:lang w:val="fr-FR"/>
        </w:rPr>
        <w:t xml:space="preserve">ffice </w:t>
      </w:r>
      <w:r w:rsidRPr="00A75276">
        <w:rPr>
          <w:lang w:val="fr-FR"/>
        </w:rPr>
        <w:t>des brevets du Japon a signalé qu</w:t>
      </w:r>
      <w:r w:rsidR="009C53EC" w:rsidRPr="00A75276">
        <w:rPr>
          <w:lang w:val="fr-FR"/>
        </w:rPr>
        <w:t>’</w:t>
      </w:r>
      <w:r w:rsidRPr="00A75276">
        <w:rPr>
          <w:lang w:val="fr-FR"/>
        </w:rPr>
        <w:t xml:space="preserve">il avait publié en </w:t>
      </w:r>
      <w:r w:rsidR="002E5DCA" w:rsidRPr="00A75276">
        <w:rPr>
          <w:lang w:val="fr-FR"/>
        </w:rPr>
        <w:t>octobre 20</w:t>
      </w:r>
      <w:r w:rsidRPr="00A75276">
        <w:rPr>
          <w:lang w:val="fr-FR"/>
        </w:rPr>
        <w:t>15 un Manuel de la recherche internationale et de l</w:t>
      </w:r>
      <w:r w:rsidR="009C53EC" w:rsidRPr="00A75276">
        <w:rPr>
          <w:lang w:val="fr-FR"/>
        </w:rPr>
        <w:t>’</w:t>
      </w:r>
      <w:r w:rsidRPr="00A75276">
        <w:rPr>
          <w:lang w:val="fr-FR"/>
        </w:rPr>
        <w:t>examen préliminaire international à l</w:t>
      </w:r>
      <w:r w:rsidR="009C53EC" w:rsidRPr="00A75276">
        <w:rPr>
          <w:lang w:val="fr-FR"/>
        </w:rPr>
        <w:t>’</w:t>
      </w:r>
      <w:r w:rsidRPr="00A75276">
        <w:rPr>
          <w:lang w:val="fr-FR"/>
        </w:rPr>
        <w:t>Office des brevets du Japon</w:t>
      </w:r>
      <w:r w:rsidR="001A5167" w:rsidRPr="00A75276">
        <w:rPr>
          <w:lang w:val="fr-FR"/>
        </w:rPr>
        <w:t xml:space="preserve">, </w:t>
      </w:r>
      <w:r w:rsidRPr="00A75276">
        <w:rPr>
          <w:lang w:val="fr-FR"/>
        </w:rPr>
        <w:t>qui était disponible en japonais et en angla</w:t>
      </w:r>
      <w:r w:rsidR="00A16C85" w:rsidRPr="00A75276">
        <w:rPr>
          <w:lang w:val="fr-FR"/>
        </w:rPr>
        <w:t>is.  Bi</w:t>
      </w:r>
      <w:r w:rsidR="00DC1AC3" w:rsidRPr="00A75276">
        <w:rPr>
          <w:lang w:val="fr-FR"/>
        </w:rPr>
        <w:t>en qu</w:t>
      </w:r>
      <w:r w:rsidR="009C53EC" w:rsidRPr="00A75276">
        <w:rPr>
          <w:lang w:val="fr-FR"/>
        </w:rPr>
        <w:t>’</w:t>
      </w:r>
      <w:r w:rsidR="00DC1AC3" w:rsidRPr="00A75276">
        <w:rPr>
          <w:lang w:val="fr-FR"/>
        </w:rPr>
        <w:t>il n</w:t>
      </w:r>
      <w:r w:rsidR="009C53EC" w:rsidRPr="00A75276">
        <w:rPr>
          <w:lang w:val="fr-FR"/>
        </w:rPr>
        <w:t>’</w:t>
      </w:r>
      <w:r w:rsidR="00DC1AC3" w:rsidRPr="00A75276">
        <w:rPr>
          <w:lang w:val="fr-FR"/>
        </w:rPr>
        <w:t>ait pas l</w:t>
      </w:r>
      <w:r w:rsidR="009C53EC" w:rsidRPr="00A75276">
        <w:rPr>
          <w:lang w:val="fr-FR"/>
        </w:rPr>
        <w:t>’</w:t>
      </w:r>
      <w:r w:rsidR="00DC1AC3" w:rsidRPr="00A75276">
        <w:rPr>
          <w:lang w:val="fr-FR"/>
        </w:rPr>
        <w:t xml:space="preserve">intention de mettre en œuvre les </w:t>
      </w:r>
      <w:r w:rsidR="001A5167" w:rsidRPr="00A75276">
        <w:rPr>
          <w:lang w:val="fr-FR"/>
        </w:rPr>
        <w:t>clauses</w:t>
      </w:r>
      <w:r w:rsidR="00DC1AC3" w:rsidRPr="00A75276">
        <w:rPr>
          <w:lang w:val="fr-FR"/>
        </w:rPr>
        <w:t xml:space="preserve"> normalisées</w:t>
      </w:r>
      <w:r w:rsidR="001A5167" w:rsidRPr="00A75276">
        <w:rPr>
          <w:lang w:val="fr-FR"/>
        </w:rPr>
        <w:t xml:space="preserve">, </w:t>
      </w:r>
      <w:r w:rsidR="00DC1AC3" w:rsidRPr="00A75276">
        <w:rPr>
          <w:lang w:val="fr-FR"/>
        </w:rPr>
        <w:t>l</w:t>
      </w:r>
      <w:r w:rsidR="009C53EC" w:rsidRPr="00A75276">
        <w:rPr>
          <w:lang w:val="fr-FR"/>
        </w:rPr>
        <w:t>’</w:t>
      </w:r>
      <w:r w:rsidR="00DC1AC3" w:rsidRPr="00A75276">
        <w:rPr>
          <w:lang w:val="fr-FR"/>
        </w:rPr>
        <w:t>Office des brevets du Japon entendait s</w:t>
      </w:r>
      <w:r w:rsidR="009C53EC" w:rsidRPr="00A75276">
        <w:rPr>
          <w:lang w:val="fr-FR"/>
        </w:rPr>
        <w:t>’</w:t>
      </w:r>
      <w:r w:rsidR="00DC1AC3" w:rsidRPr="00A75276">
        <w:rPr>
          <w:lang w:val="fr-FR"/>
        </w:rPr>
        <w:t>en servir dans l</w:t>
      </w:r>
      <w:r w:rsidR="009C53EC" w:rsidRPr="00A75276">
        <w:rPr>
          <w:lang w:val="fr-FR"/>
        </w:rPr>
        <w:t>’</w:t>
      </w:r>
      <w:r w:rsidR="00DC1AC3" w:rsidRPr="00A75276">
        <w:rPr>
          <w:lang w:val="fr-FR"/>
        </w:rPr>
        <w:t xml:space="preserve">élaboration de ses propres modèles pour les </w:t>
      </w:r>
      <w:r w:rsidR="001A5167" w:rsidRPr="00A75276">
        <w:rPr>
          <w:lang w:val="fr-FR"/>
        </w:rPr>
        <w:t>opinions</w:t>
      </w:r>
      <w:r w:rsidR="00DC1AC3" w:rsidRPr="00A75276">
        <w:rPr>
          <w:lang w:val="fr-FR"/>
        </w:rPr>
        <w:t xml:space="preserve"> écrites</w:t>
      </w:r>
      <w:r w:rsidR="001A5167" w:rsidRPr="00A75276">
        <w:rPr>
          <w:lang w:val="fr-FR"/>
        </w:rPr>
        <w:t>.</w:t>
      </w:r>
    </w:p>
    <w:p w:rsidR="00715135" w:rsidRPr="00A75276" w:rsidRDefault="00844268" w:rsidP="003B0A39">
      <w:pPr>
        <w:pStyle w:val="ONUMFS"/>
        <w:ind w:left="567"/>
        <w:rPr>
          <w:lang w:val="fr-FR"/>
        </w:rPr>
      </w:pPr>
      <w:r w:rsidRPr="00A75276">
        <w:rPr>
          <w:lang w:val="fr-FR"/>
        </w:rPr>
        <w:t>Le sous</w:t>
      </w:r>
      <w:r w:rsidR="00A16C85" w:rsidRPr="00A75276">
        <w:rPr>
          <w:lang w:val="fr-FR"/>
        </w:rPr>
        <w:noBreakHyphen/>
      </w:r>
      <w:r w:rsidRPr="00A75276">
        <w:rPr>
          <w:lang w:val="fr-FR"/>
        </w:rPr>
        <w:t>groupe a recommandé</w:t>
      </w:r>
    </w:p>
    <w:p w:rsidR="00715135" w:rsidRPr="00A75276" w:rsidRDefault="00DC1AC3" w:rsidP="00A9298C">
      <w:pPr>
        <w:pStyle w:val="ONUMFS"/>
        <w:numPr>
          <w:ilvl w:val="1"/>
          <w:numId w:val="6"/>
        </w:numPr>
        <w:ind w:left="1134"/>
        <w:rPr>
          <w:lang w:val="fr-FR"/>
        </w:rPr>
      </w:pPr>
      <w:r w:rsidRPr="00A75276">
        <w:rPr>
          <w:lang w:val="fr-FR"/>
        </w:rPr>
        <w:t xml:space="preserve">que les administrations utilisant les </w:t>
      </w:r>
      <w:r w:rsidR="001A5167" w:rsidRPr="00A75276">
        <w:rPr>
          <w:lang w:val="fr-FR"/>
        </w:rPr>
        <w:t xml:space="preserve">clauses </w:t>
      </w:r>
      <w:r w:rsidRPr="00A75276">
        <w:rPr>
          <w:lang w:val="fr-FR"/>
        </w:rPr>
        <w:t xml:space="preserve">normalisées continuent de rendre compte de </w:t>
      </w:r>
      <w:r w:rsidR="000256EE" w:rsidRPr="00A75276">
        <w:rPr>
          <w:lang w:val="fr-FR"/>
        </w:rPr>
        <w:t>la manière dont elles appliquent</w:t>
      </w:r>
      <w:r w:rsidRPr="00A75276">
        <w:rPr>
          <w:lang w:val="fr-FR"/>
        </w:rPr>
        <w:t xml:space="preserve"> ces clauses sur la page dédiée du </w:t>
      </w:r>
      <w:r w:rsidR="001A5167" w:rsidRPr="00A75276">
        <w:rPr>
          <w:lang w:val="fr-FR"/>
        </w:rPr>
        <w:t xml:space="preserve">forum </w:t>
      </w:r>
      <w:r w:rsidRPr="00A75276">
        <w:rPr>
          <w:lang w:val="fr-FR"/>
        </w:rPr>
        <w:t>électronique du sous</w:t>
      </w:r>
      <w:r w:rsidR="00A16C85" w:rsidRPr="00A75276">
        <w:rPr>
          <w:lang w:val="fr-FR"/>
        </w:rPr>
        <w:noBreakHyphen/>
      </w:r>
      <w:r w:rsidRPr="00A75276">
        <w:rPr>
          <w:lang w:val="fr-FR"/>
        </w:rPr>
        <w:t xml:space="preserve">groupe et de partager leur expérience </w:t>
      </w:r>
      <w:r w:rsidR="000256EE" w:rsidRPr="00A75276">
        <w:rPr>
          <w:lang w:val="fr-FR"/>
        </w:rPr>
        <w:t>en la matière</w:t>
      </w:r>
      <w:r w:rsidR="001A5167" w:rsidRPr="00A75276">
        <w:rPr>
          <w:lang w:val="fr-FR"/>
        </w:rPr>
        <w:t xml:space="preserve">;  </w:t>
      </w:r>
      <w:r w:rsidRPr="00A75276">
        <w:rPr>
          <w:lang w:val="fr-FR"/>
        </w:rPr>
        <w:t>et</w:t>
      </w:r>
    </w:p>
    <w:p w:rsidR="002E5DCA" w:rsidRPr="00A75276" w:rsidRDefault="009243C3" w:rsidP="00A9298C">
      <w:pPr>
        <w:pStyle w:val="ONUMFS"/>
        <w:numPr>
          <w:ilvl w:val="1"/>
          <w:numId w:val="6"/>
        </w:numPr>
        <w:ind w:left="1134"/>
        <w:rPr>
          <w:lang w:val="fr-FR"/>
        </w:rPr>
      </w:pPr>
      <w:r w:rsidRPr="00A75276">
        <w:rPr>
          <w:lang w:val="fr-FR"/>
        </w:rPr>
        <w:lastRenderedPageBreak/>
        <w:t>de continuer à acquérir de l</w:t>
      </w:r>
      <w:r w:rsidR="009C53EC" w:rsidRPr="00A75276">
        <w:rPr>
          <w:lang w:val="fr-FR"/>
        </w:rPr>
        <w:t>’</w:t>
      </w:r>
      <w:r w:rsidRPr="00A75276">
        <w:rPr>
          <w:lang w:val="fr-FR"/>
        </w:rPr>
        <w:t>expé</w:t>
      </w:r>
      <w:r w:rsidR="001A5167" w:rsidRPr="00A75276">
        <w:rPr>
          <w:lang w:val="fr-FR"/>
        </w:rPr>
        <w:t xml:space="preserve">rience </w:t>
      </w:r>
      <w:r w:rsidRPr="00A75276">
        <w:rPr>
          <w:lang w:val="fr-FR"/>
        </w:rPr>
        <w:t>dans l</w:t>
      </w:r>
      <w:r w:rsidR="009C53EC" w:rsidRPr="00A75276">
        <w:rPr>
          <w:lang w:val="fr-FR"/>
        </w:rPr>
        <w:t>’</w:t>
      </w:r>
      <w:r w:rsidRPr="00A75276">
        <w:rPr>
          <w:lang w:val="fr-FR"/>
        </w:rPr>
        <w:t xml:space="preserve">utilisation des </w:t>
      </w:r>
      <w:r w:rsidR="001A5167" w:rsidRPr="00A75276">
        <w:rPr>
          <w:lang w:val="fr-FR"/>
        </w:rPr>
        <w:t xml:space="preserve">clauses </w:t>
      </w:r>
      <w:r w:rsidRPr="00A75276">
        <w:rPr>
          <w:lang w:val="fr-FR"/>
        </w:rPr>
        <w:t>avant d</w:t>
      </w:r>
      <w:r w:rsidR="009C53EC" w:rsidRPr="00A75276">
        <w:rPr>
          <w:lang w:val="fr-FR"/>
        </w:rPr>
        <w:t>’</w:t>
      </w:r>
      <w:r w:rsidRPr="00A75276">
        <w:rPr>
          <w:lang w:val="fr-FR"/>
        </w:rPr>
        <w:t xml:space="preserve">envisager de modifier la </w:t>
      </w:r>
      <w:r w:rsidR="001A5167" w:rsidRPr="00A75276">
        <w:rPr>
          <w:lang w:val="fr-FR"/>
        </w:rPr>
        <w:t>version</w:t>
      </w:r>
      <w:r w:rsidRPr="00A75276">
        <w:rPr>
          <w:lang w:val="fr-FR"/>
        </w:rPr>
        <w:t xml:space="preserve"> anglaise</w:t>
      </w:r>
      <w:r w:rsidR="001A5167" w:rsidRPr="00A75276">
        <w:rPr>
          <w:lang w:val="fr-FR"/>
        </w:rPr>
        <w:t xml:space="preserve">, </w:t>
      </w:r>
      <w:r w:rsidRPr="00A75276">
        <w:rPr>
          <w:lang w:val="fr-FR"/>
        </w:rPr>
        <w:t>conformément à la recomma</w:t>
      </w:r>
      <w:r w:rsidR="001A5167" w:rsidRPr="00A75276">
        <w:rPr>
          <w:lang w:val="fr-FR"/>
        </w:rPr>
        <w:t xml:space="preserve">ndation </w:t>
      </w:r>
      <w:r w:rsidRPr="00A75276">
        <w:rPr>
          <w:lang w:val="fr-FR"/>
        </w:rPr>
        <w:t>arrêtée à la cinquième</w:t>
      </w:r>
      <w:r w:rsidR="00432F5D" w:rsidRPr="00A75276">
        <w:rPr>
          <w:lang w:val="fr-FR"/>
        </w:rPr>
        <w:t> </w:t>
      </w:r>
      <w:r w:rsidR="001A5167" w:rsidRPr="00A75276">
        <w:rPr>
          <w:lang w:val="fr-FR"/>
        </w:rPr>
        <w:t xml:space="preserve">session </w:t>
      </w:r>
      <w:r w:rsidRPr="00A75276">
        <w:rPr>
          <w:lang w:val="fr-FR"/>
        </w:rPr>
        <w:t>du sous</w:t>
      </w:r>
      <w:r w:rsidR="00A16C85" w:rsidRPr="00A75276">
        <w:rPr>
          <w:lang w:val="fr-FR"/>
        </w:rPr>
        <w:noBreakHyphen/>
      </w:r>
      <w:r w:rsidRPr="00A75276">
        <w:rPr>
          <w:lang w:val="fr-FR"/>
        </w:rPr>
        <w:t>groupe</w:t>
      </w:r>
      <w:r w:rsidR="001A5167" w:rsidRPr="00A75276">
        <w:rPr>
          <w:lang w:val="fr-FR"/>
        </w:rPr>
        <w:t xml:space="preserve"> </w:t>
      </w:r>
      <w:r w:rsidRPr="00A75276">
        <w:rPr>
          <w:lang w:val="fr-FR"/>
        </w:rPr>
        <w:t>tendant à attendre au moins un an après la date d</w:t>
      </w:r>
      <w:r w:rsidR="009C53EC" w:rsidRPr="00A75276">
        <w:rPr>
          <w:lang w:val="fr-FR"/>
        </w:rPr>
        <w:t>’</w:t>
      </w:r>
      <w:r w:rsidRPr="00A75276">
        <w:rPr>
          <w:lang w:val="fr-FR"/>
        </w:rPr>
        <w:t xml:space="preserve">application des </w:t>
      </w:r>
      <w:r w:rsidR="001A5167" w:rsidRPr="00A75276">
        <w:rPr>
          <w:lang w:val="fr-FR"/>
        </w:rPr>
        <w:t xml:space="preserve">clauses </w:t>
      </w:r>
      <w:r w:rsidRPr="00A75276">
        <w:rPr>
          <w:lang w:val="fr-FR"/>
        </w:rPr>
        <w:t>normalisées avant d</w:t>
      </w:r>
      <w:r w:rsidR="009C53EC" w:rsidRPr="00A75276">
        <w:rPr>
          <w:lang w:val="fr-FR"/>
        </w:rPr>
        <w:t>’</w:t>
      </w:r>
      <w:r w:rsidRPr="00A75276">
        <w:rPr>
          <w:lang w:val="fr-FR"/>
        </w:rPr>
        <w:t>obtenir un plus large retour d</w:t>
      </w:r>
      <w:r w:rsidR="009C53EC" w:rsidRPr="00A75276">
        <w:rPr>
          <w:lang w:val="fr-FR"/>
        </w:rPr>
        <w:t>’</w:t>
      </w:r>
      <w:r w:rsidRPr="00A75276">
        <w:rPr>
          <w:lang w:val="fr-FR"/>
        </w:rPr>
        <w:t>information et d</w:t>
      </w:r>
      <w:r w:rsidR="009C53EC" w:rsidRPr="00A75276">
        <w:rPr>
          <w:lang w:val="fr-FR"/>
        </w:rPr>
        <w:t>’</w:t>
      </w:r>
      <w:r w:rsidRPr="00A75276">
        <w:rPr>
          <w:lang w:val="fr-FR"/>
        </w:rPr>
        <w:t>envisager d</w:t>
      </w:r>
      <w:r w:rsidR="009C53EC" w:rsidRPr="00A75276">
        <w:rPr>
          <w:lang w:val="fr-FR"/>
        </w:rPr>
        <w:t>’</w:t>
      </w:r>
      <w:r w:rsidRPr="00A75276">
        <w:rPr>
          <w:lang w:val="fr-FR"/>
        </w:rPr>
        <w:t>étendre ces clauses à d</w:t>
      </w:r>
      <w:r w:rsidR="009C53EC" w:rsidRPr="00A75276">
        <w:rPr>
          <w:lang w:val="fr-FR"/>
        </w:rPr>
        <w:t>’</w:t>
      </w:r>
      <w:r w:rsidRPr="00A75276">
        <w:rPr>
          <w:lang w:val="fr-FR"/>
        </w:rPr>
        <w:t>autres domaines</w:t>
      </w:r>
      <w:r w:rsidR="001A5167" w:rsidRPr="00A75276">
        <w:rPr>
          <w:lang w:val="fr-FR"/>
        </w:rPr>
        <w:t>.</w:t>
      </w:r>
    </w:p>
    <w:p w:rsidR="00715135" w:rsidRPr="00A75276" w:rsidRDefault="003B0A39" w:rsidP="003B0A39">
      <w:pPr>
        <w:pStyle w:val="Heading1"/>
        <w:rPr>
          <w:lang w:val="fr-FR"/>
        </w:rPr>
      </w:pPr>
      <w:r w:rsidRPr="00A75276">
        <w:rPr>
          <w:lang w:val="fr-FR"/>
        </w:rPr>
        <w:t>4.</w:t>
      </w:r>
      <w:r w:rsidRPr="00A75276">
        <w:rPr>
          <w:lang w:val="fr-FR"/>
        </w:rPr>
        <w:tab/>
        <w:t>Mesures d</w:t>
      </w:r>
      <w:r w:rsidR="009C53EC" w:rsidRPr="00A75276">
        <w:rPr>
          <w:lang w:val="fr-FR"/>
        </w:rPr>
        <w:t>’</w:t>
      </w:r>
      <w:r w:rsidRPr="00A75276">
        <w:rPr>
          <w:lang w:val="fr-FR"/>
        </w:rPr>
        <w:t>amélioration de la qualité</w:t>
      </w:r>
    </w:p>
    <w:p w:rsidR="00715135" w:rsidRPr="00A75276" w:rsidRDefault="003B0A39" w:rsidP="003B0A39">
      <w:pPr>
        <w:pStyle w:val="Heading2"/>
        <w:rPr>
          <w:lang w:val="fr-FR"/>
        </w:rPr>
      </w:pPr>
      <w:r w:rsidRPr="00A75276">
        <w:rPr>
          <w:lang w:val="fr-FR"/>
        </w:rPr>
        <w:t>A)</w:t>
      </w:r>
      <w:r w:rsidRPr="00A75276">
        <w:rPr>
          <w:lang w:val="fr-FR"/>
        </w:rPr>
        <w:tab/>
        <w:t xml:space="preserve">Unité de </w:t>
      </w:r>
      <w:r w:rsidR="00844268" w:rsidRPr="00A75276">
        <w:rPr>
          <w:lang w:val="fr-FR"/>
        </w:rPr>
        <w:t>l</w:t>
      </w:r>
      <w:r w:rsidR="009C53EC" w:rsidRPr="00A75276">
        <w:rPr>
          <w:lang w:val="fr-FR"/>
        </w:rPr>
        <w:t>’</w:t>
      </w:r>
      <w:r w:rsidRPr="00A75276">
        <w:rPr>
          <w:lang w:val="fr-FR"/>
        </w:rPr>
        <w:t>invention</w:t>
      </w:r>
    </w:p>
    <w:p w:rsidR="002E5DCA" w:rsidRPr="00A75276" w:rsidRDefault="0086721F" w:rsidP="00A9298C">
      <w:pPr>
        <w:pStyle w:val="ONUMFS"/>
        <w:rPr>
          <w:lang w:val="fr-FR"/>
        </w:rPr>
      </w:pPr>
      <w:r w:rsidRPr="00A75276">
        <w:rPr>
          <w:lang w:val="fr-FR"/>
        </w:rPr>
        <w:t>Les administrations qui ont pris la parole ont indiqué qu</w:t>
      </w:r>
      <w:r w:rsidR="009C53EC" w:rsidRPr="00A75276">
        <w:rPr>
          <w:lang w:val="fr-FR"/>
        </w:rPr>
        <w:t>’</w:t>
      </w:r>
      <w:r w:rsidRPr="00A75276">
        <w:rPr>
          <w:lang w:val="fr-FR"/>
        </w:rPr>
        <w:t>elles avaient l</w:t>
      </w:r>
      <w:r w:rsidR="009C53EC" w:rsidRPr="00A75276">
        <w:rPr>
          <w:lang w:val="fr-FR"/>
        </w:rPr>
        <w:t>’</w:t>
      </w:r>
      <w:r w:rsidRPr="00A75276">
        <w:rPr>
          <w:lang w:val="fr-FR"/>
        </w:rPr>
        <w:t>intention de publier des observations détaillées sur les propositions d</w:t>
      </w:r>
      <w:r w:rsidR="009C53EC" w:rsidRPr="00A75276">
        <w:rPr>
          <w:lang w:val="fr-FR"/>
        </w:rPr>
        <w:t>’</w:t>
      </w:r>
      <w:r w:rsidR="001A5167" w:rsidRPr="00A75276">
        <w:rPr>
          <w:lang w:val="fr-FR"/>
        </w:rPr>
        <w:t xml:space="preserve">IP </w:t>
      </w:r>
      <w:proofErr w:type="spellStart"/>
      <w:r w:rsidR="001A5167" w:rsidRPr="00A75276">
        <w:rPr>
          <w:lang w:val="fr-FR"/>
        </w:rPr>
        <w:t>Australia</w:t>
      </w:r>
      <w:proofErr w:type="spellEnd"/>
      <w:r w:rsidR="001A5167" w:rsidRPr="00A75276">
        <w:rPr>
          <w:lang w:val="fr-FR"/>
        </w:rPr>
        <w:t xml:space="preserve"> </w:t>
      </w:r>
      <w:r w:rsidRPr="00A75276">
        <w:rPr>
          <w:lang w:val="fr-FR"/>
        </w:rPr>
        <w:t>tendant à modifier le chapitre </w:t>
      </w:r>
      <w:r w:rsidR="001A5167" w:rsidRPr="00A75276">
        <w:rPr>
          <w:lang w:val="fr-FR"/>
        </w:rPr>
        <w:t xml:space="preserve">10 </w:t>
      </w:r>
      <w:r w:rsidRPr="00A75276">
        <w:rPr>
          <w:lang w:val="fr-FR"/>
        </w:rPr>
        <w:t>des directives concernant la recherche internationale et l</w:t>
      </w:r>
      <w:r w:rsidR="009C53EC" w:rsidRPr="00A75276">
        <w:rPr>
          <w:lang w:val="fr-FR"/>
        </w:rPr>
        <w:t>’</w:t>
      </w:r>
      <w:r w:rsidRPr="00A75276">
        <w:rPr>
          <w:lang w:val="fr-FR"/>
        </w:rPr>
        <w:t>examen préliminaire international sur l</w:t>
      </w:r>
      <w:r w:rsidR="009C53EC" w:rsidRPr="00A75276">
        <w:rPr>
          <w:lang w:val="fr-FR"/>
        </w:rPr>
        <w:t>’</w:t>
      </w:r>
      <w:r w:rsidRPr="00A75276">
        <w:rPr>
          <w:lang w:val="fr-FR"/>
        </w:rPr>
        <w:t>unité de l</w:t>
      </w:r>
      <w:r w:rsidR="009C53EC" w:rsidRPr="00A75276">
        <w:rPr>
          <w:lang w:val="fr-FR"/>
        </w:rPr>
        <w:t>’</w:t>
      </w:r>
      <w:r w:rsidRPr="00A75276">
        <w:rPr>
          <w:lang w:val="fr-FR"/>
        </w:rPr>
        <w:t>i</w:t>
      </w:r>
      <w:r w:rsidR="001A5167" w:rsidRPr="00A75276">
        <w:rPr>
          <w:lang w:val="fr-FR"/>
        </w:rPr>
        <w:t>nventi</w:t>
      </w:r>
      <w:r w:rsidR="00A16C85" w:rsidRPr="00A75276">
        <w:rPr>
          <w:lang w:val="fr-FR"/>
        </w:rPr>
        <w:t>on.  Le</w:t>
      </w:r>
      <w:r w:rsidRPr="00A75276">
        <w:rPr>
          <w:lang w:val="fr-FR"/>
        </w:rPr>
        <w:t xml:space="preserve"> sous</w:t>
      </w:r>
      <w:r w:rsidR="00A16C85" w:rsidRPr="00A75276">
        <w:rPr>
          <w:lang w:val="fr-FR"/>
        </w:rPr>
        <w:noBreakHyphen/>
      </w:r>
      <w:r w:rsidRPr="00A75276">
        <w:rPr>
          <w:lang w:val="fr-FR"/>
        </w:rPr>
        <w:t>groupe a reconnu qu</w:t>
      </w:r>
      <w:r w:rsidR="009C53EC" w:rsidRPr="00A75276">
        <w:rPr>
          <w:lang w:val="fr-FR"/>
        </w:rPr>
        <w:t>’</w:t>
      </w:r>
      <w:r w:rsidRPr="00A75276">
        <w:rPr>
          <w:lang w:val="fr-FR"/>
        </w:rPr>
        <w:t xml:space="preserve">il était </w:t>
      </w:r>
      <w:r w:rsidR="001A5167" w:rsidRPr="00A75276">
        <w:rPr>
          <w:lang w:val="fr-FR"/>
        </w:rPr>
        <w:t xml:space="preserve">important </w:t>
      </w:r>
      <w:r w:rsidRPr="00A75276">
        <w:rPr>
          <w:lang w:val="fr-FR"/>
        </w:rPr>
        <w:t xml:space="preserve">que ce </w:t>
      </w:r>
      <w:r w:rsidR="001A5167" w:rsidRPr="00A75276">
        <w:rPr>
          <w:lang w:val="fr-FR"/>
        </w:rPr>
        <w:t>process</w:t>
      </w:r>
      <w:r w:rsidRPr="00A75276">
        <w:rPr>
          <w:lang w:val="fr-FR"/>
        </w:rPr>
        <w:t>us se déroule parallèlement au suivi du rapport des offices de l</w:t>
      </w:r>
      <w:r w:rsidR="009C53EC" w:rsidRPr="00A75276">
        <w:rPr>
          <w:lang w:val="fr-FR"/>
        </w:rPr>
        <w:t>’</w:t>
      </w:r>
      <w:r w:rsidR="001A5167" w:rsidRPr="00A75276">
        <w:rPr>
          <w:lang w:val="fr-FR"/>
        </w:rPr>
        <w:t xml:space="preserve">IP5 </w:t>
      </w:r>
      <w:r w:rsidRPr="00A75276">
        <w:rPr>
          <w:lang w:val="fr-FR"/>
        </w:rPr>
        <w:t xml:space="preserve">sur leurs approches </w:t>
      </w:r>
      <w:r w:rsidR="001A5167" w:rsidRPr="00A75276">
        <w:rPr>
          <w:lang w:val="fr-FR"/>
        </w:rPr>
        <w:t>respective</w:t>
      </w:r>
      <w:r w:rsidRPr="00A75276">
        <w:rPr>
          <w:lang w:val="fr-FR"/>
        </w:rPr>
        <w:t>s</w:t>
      </w:r>
      <w:r w:rsidR="001A5167" w:rsidRPr="00A75276">
        <w:rPr>
          <w:lang w:val="fr-FR"/>
        </w:rPr>
        <w:t xml:space="preserve"> </w:t>
      </w:r>
      <w:r w:rsidRPr="00A75276">
        <w:rPr>
          <w:lang w:val="fr-FR"/>
        </w:rPr>
        <w:t>en matière d</w:t>
      </w:r>
      <w:r w:rsidR="009C53EC" w:rsidRPr="00A75276">
        <w:rPr>
          <w:lang w:val="fr-FR"/>
        </w:rPr>
        <w:t>’</w:t>
      </w:r>
      <w:r w:rsidR="001A5167" w:rsidRPr="00A75276">
        <w:rPr>
          <w:lang w:val="fr-FR"/>
        </w:rPr>
        <w:t>unit</w:t>
      </w:r>
      <w:r w:rsidRPr="00A75276">
        <w:rPr>
          <w:lang w:val="fr-FR"/>
        </w:rPr>
        <w:t>é</w:t>
      </w:r>
      <w:r w:rsidR="001A5167" w:rsidRPr="00A75276">
        <w:rPr>
          <w:lang w:val="fr-FR"/>
        </w:rPr>
        <w:t xml:space="preserve"> </w:t>
      </w:r>
      <w:r w:rsidRPr="00A75276">
        <w:rPr>
          <w:lang w:val="fr-FR"/>
        </w:rPr>
        <w:t>de l</w:t>
      </w:r>
      <w:r w:rsidR="009C53EC" w:rsidRPr="00A75276">
        <w:rPr>
          <w:lang w:val="fr-FR"/>
        </w:rPr>
        <w:t>’</w:t>
      </w:r>
      <w:r w:rsidR="001A5167" w:rsidRPr="00A75276">
        <w:rPr>
          <w:lang w:val="fr-FR"/>
        </w:rPr>
        <w:t xml:space="preserve">invention;  </w:t>
      </w:r>
      <w:r w:rsidRPr="00A75276">
        <w:rPr>
          <w:lang w:val="fr-FR"/>
        </w:rPr>
        <w:t>l</w:t>
      </w:r>
      <w:r w:rsidR="009C53EC" w:rsidRPr="00A75276">
        <w:rPr>
          <w:lang w:val="fr-FR"/>
        </w:rPr>
        <w:t>’</w:t>
      </w:r>
      <w:r w:rsidRPr="00A75276">
        <w:rPr>
          <w:lang w:val="fr-FR"/>
        </w:rPr>
        <w:t>un des offices de l</w:t>
      </w:r>
      <w:r w:rsidR="009C53EC" w:rsidRPr="00A75276">
        <w:rPr>
          <w:lang w:val="fr-FR"/>
        </w:rPr>
        <w:t>’</w:t>
      </w:r>
      <w:r w:rsidR="001A5167" w:rsidRPr="00A75276">
        <w:rPr>
          <w:lang w:val="fr-FR"/>
        </w:rPr>
        <w:t xml:space="preserve">IP5 </w:t>
      </w:r>
      <w:r w:rsidRPr="00A75276">
        <w:rPr>
          <w:lang w:val="fr-FR"/>
        </w:rPr>
        <w:t>a souligné qu</w:t>
      </w:r>
      <w:r w:rsidR="009C53EC" w:rsidRPr="00A75276">
        <w:rPr>
          <w:lang w:val="fr-FR"/>
        </w:rPr>
        <w:t>’</w:t>
      </w:r>
      <w:r w:rsidRPr="00A75276">
        <w:rPr>
          <w:lang w:val="fr-FR"/>
        </w:rPr>
        <w:t>il importait d</w:t>
      </w:r>
      <w:r w:rsidR="009C53EC" w:rsidRPr="00A75276">
        <w:rPr>
          <w:lang w:val="fr-FR"/>
        </w:rPr>
        <w:t>’</w:t>
      </w:r>
      <w:r w:rsidRPr="00A75276">
        <w:rPr>
          <w:lang w:val="fr-FR"/>
        </w:rPr>
        <w:t>envisager une approche harmonisée de l</w:t>
      </w:r>
      <w:r w:rsidR="009C53EC" w:rsidRPr="00A75276">
        <w:rPr>
          <w:lang w:val="fr-FR"/>
        </w:rPr>
        <w:t>’</w:t>
      </w:r>
      <w:r w:rsidRPr="00A75276">
        <w:rPr>
          <w:lang w:val="fr-FR"/>
        </w:rPr>
        <w:t>unité</w:t>
      </w:r>
      <w:r w:rsidR="001A5167" w:rsidRPr="00A75276">
        <w:rPr>
          <w:lang w:val="fr-FR"/>
        </w:rPr>
        <w:t xml:space="preserve"> </w:t>
      </w:r>
      <w:r w:rsidRPr="00A75276">
        <w:rPr>
          <w:lang w:val="fr-FR"/>
        </w:rPr>
        <w:t>de l</w:t>
      </w:r>
      <w:r w:rsidR="009C53EC" w:rsidRPr="00A75276">
        <w:rPr>
          <w:lang w:val="fr-FR"/>
        </w:rPr>
        <w:t>’</w:t>
      </w:r>
      <w:r w:rsidR="001A5167" w:rsidRPr="00A75276">
        <w:rPr>
          <w:lang w:val="fr-FR"/>
        </w:rPr>
        <w:t xml:space="preserve">invention </w:t>
      </w:r>
      <w:r w:rsidRPr="00A75276">
        <w:rPr>
          <w:lang w:val="fr-FR"/>
        </w:rPr>
        <w:t>avant de décider quelles informations il convenait d</w:t>
      </w:r>
      <w:r w:rsidR="009C53EC" w:rsidRPr="00A75276">
        <w:rPr>
          <w:lang w:val="fr-FR"/>
        </w:rPr>
        <w:t>’</w:t>
      </w:r>
      <w:r w:rsidRPr="00A75276">
        <w:rPr>
          <w:lang w:val="fr-FR"/>
        </w:rPr>
        <w:t>ajouter aux directives</w:t>
      </w:r>
      <w:r w:rsidR="001A5167" w:rsidRPr="00A75276">
        <w:rPr>
          <w:lang w:val="fr-FR"/>
        </w:rPr>
        <w:t>.</w:t>
      </w:r>
    </w:p>
    <w:p w:rsidR="002E5DCA" w:rsidRPr="00A75276" w:rsidRDefault="00C04003" w:rsidP="00A9298C">
      <w:pPr>
        <w:pStyle w:val="ONUMFS"/>
        <w:ind w:left="567"/>
        <w:rPr>
          <w:lang w:val="fr-FR"/>
        </w:rPr>
      </w:pPr>
      <w:r w:rsidRPr="00A75276">
        <w:rPr>
          <w:lang w:val="fr-FR"/>
        </w:rPr>
        <w:t>Le sous</w:t>
      </w:r>
      <w:r w:rsidR="00A16C85" w:rsidRPr="00A75276">
        <w:rPr>
          <w:lang w:val="fr-FR"/>
        </w:rPr>
        <w:noBreakHyphen/>
      </w:r>
      <w:r w:rsidRPr="00A75276">
        <w:rPr>
          <w:lang w:val="fr-FR"/>
        </w:rPr>
        <w:t xml:space="preserve">groupe a recommandé que les </w:t>
      </w:r>
      <w:r w:rsidR="001A5167" w:rsidRPr="00A75276">
        <w:rPr>
          <w:lang w:val="fr-FR"/>
        </w:rPr>
        <w:t xml:space="preserve">discussions </w:t>
      </w:r>
      <w:r w:rsidRPr="00A75276">
        <w:rPr>
          <w:lang w:val="fr-FR"/>
        </w:rPr>
        <w:t xml:space="preserve">sur les propositions entre les administrations se poursuivent sur le </w:t>
      </w:r>
      <w:r w:rsidR="001A5167" w:rsidRPr="00A75276">
        <w:rPr>
          <w:lang w:val="fr-FR"/>
        </w:rPr>
        <w:t>forum</w:t>
      </w:r>
      <w:r w:rsidRPr="00A75276">
        <w:rPr>
          <w:lang w:val="fr-FR"/>
        </w:rPr>
        <w:t xml:space="preserve"> électronique du </w:t>
      </w:r>
      <w:r w:rsidR="000256EE" w:rsidRPr="00A75276">
        <w:rPr>
          <w:lang w:val="fr-FR"/>
        </w:rPr>
        <w:t>sous</w:t>
      </w:r>
      <w:r w:rsidR="00A16C85" w:rsidRPr="00A75276">
        <w:rPr>
          <w:lang w:val="fr-FR"/>
        </w:rPr>
        <w:noBreakHyphen/>
      </w:r>
      <w:r w:rsidR="000256EE" w:rsidRPr="00A75276">
        <w:rPr>
          <w:lang w:val="fr-FR"/>
        </w:rPr>
        <w:t>grou</w:t>
      </w:r>
      <w:r w:rsidR="00A16C85" w:rsidRPr="00A75276">
        <w:rPr>
          <w:lang w:val="fr-FR"/>
        </w:rPr>
        <w:t>pe.  Da</w:t>
      </w:r>
      <w:r w:rsidRPr="00A75276">
        <w:rPr>
          <w:lang w:val="fr-FR"/>
        </w:rPr>
        <w:t>ns les cas où des progrès suffisants auraient été accomplis, les consultations devraient ensuite être effectuées au moyen de circulaires</w:t>
      </w:r>
      <w:r w:rsidR="002E5DCA" w:rsidRPr="00A75276">
        <w:rPr>
          <w:lang w:val="fr-FR"/>
        </w:rPr>
        <w:t xml:space="preserve"> du PCT</w:t>
      </w:r>
      <w:r w:rsidR="001A5167" w:rsidRPr="00A75276">
        <w:rPr>
          <w:lang w:val="fr-FR"/>
        </w:rPr>
        <w:t>.</w:t>
      </w:r>
    </w:p>
    <w:p w:rsidR="002E5DCA" w:rsidRPr="00A75276" w:rsidRDefault="00C04003" w:rsidP="00A9298C">
      <w:pPr>
        <w:pStyle w:val="ONUMFS"/>
        <w:rPr>
          <w:lang w:val="fr-FR"/>
        </w:rPr>
      </w:pPr>
      <w:r w:rsidRPr="00A75276">
        <w:rPr>
          <w:lang w:val="fr-FR"/>
        </w:rPr>
        <w:t>Plusieurs administrations ont indiqué qu</w:t>
      </w:r>
      <w:r w:rsidR="009C53EC" w:rsidRPr="00A75276">
        <w:rPr>
          <w:lang w:val="fr-FR"/>
        </w:rPr>
        <w:t>’</w:t>
      </w:r>
      <w:r w:rsidRPr="00A75276">
        <w:rPr>
          <w:lang w:val="fr-FR"/>
        </w:rPr>
        <w:t xml:space="preserve">elles </w:t>
      </w:r>
      <w:r w:rsidR="00520CD5" w:rsidRPr="00A75276">
        <w:rPr>
          <w:lang w:val="fr-FR"/>
        </w:rPr>
        <w:t>publieraient sur le wiki du sous</w:t>
      </w:r>
      <w:r w:rsidR="00A16C85" w:rsidRPr="00A75276">
        <w:rPr>
          <w:lang w:val="fr-FR"/>
        </w:rPr>
        <w:noBreakHyphen/>
      </w:r>
      <w:r w:rsidR="00520CD5" w:rsidRPr="00A75276">
        <w:rPr>
          <w:lang w:val="fr-FR"/>
        </w:rPr>
        <w:t>groupe des observations détaillées sur les questions supplémentaires relatives à l</w:t>
      </w:r>
      <w:r w:rsidR="009C53EC" w:rsidRPr="00A75276">
        <w:rPr>
          <w:lang w:val="fr-FR"/>
        </w:rPr>
        <w:t>’</w:t>
      </w:r>
      <w:r w:rsidR="00520CD5" w:rsidRPr="00A75276">
        <w:rPr>
          <w:lang w:val="fr-FR"/>
        </w:rPr>
        <w:t>unité de l</w:t>
      </w:r>
      <w:r w:rsidR="009C53EC" w:rsidRPr="00A75276">
        <w:rPr>
          <w:lang w:val="fr-FR"/>
        </w:rPr>
        <w:t>’</w:t>
      </w:r>
      <w:r w:rsidR="00520CD5" w:rsidRPr="00A75276">
        <w:rPr>
          <w:lang w:val="fr-FR"/>
        </w:rPr>
        <w:t>invention qui avaient été recensées par l</w:t>
      </w:r>
      <w:r w:rsidR="009C53EC" w:rsidRPr="00A75276">
        <w:rPr>
          <w:lang w:val="fr-FR"/>
        </w:rPr>
        <w:t>’</w:t>
      </w:r>
      <w:r w:rsidR="00216979" w:rsidRPr="00A75276">
        <w:rPr>
          <w:lang w:val="fr-FR"/>
        </w:rPr>
        <w:t>Office des brevets et des marques des États</w:t>
      </w:r>
      <w:r w:rsidR="00A16C85" w:rsidRPr="00A75276">
        <w:rPr>
          <w:lang w:val="fr-FR"/>
        </w:rPr>
        <w:noBreakHyphen/>
      </w:r>
      <w:r w:rsidR="00216979" w:rsidRPr="00A75276">
        <w:rPr>
          <w:lang w:val="fr-FR"/>
        </w:rPr>
        <w:t>Unis d</w:t>
      </w:r>
      <w:r w:rsidR="009C53EC" w:rsidRPr="00A75276">
        <w:rPr>
          <w:lang w:val="fr-FR"/>
        </w:rPr>
        <w:t>’</w:t>
      </w:r>
      <w:r w:rsidR="00216979" w:rsidRPr="00A75276">
        <w:rPr>
          <w:lang w:val="fr-FR"/>
        </w:rPr>
        <w:t>Amérique</w:t>
      </w:r>
      <w:r w:rsidR="001A5167" w:rsidRPr="00A75276">
        <w:rPr>
          <w:lang w:val="fr-FR"/>
        </w:rPr>
        <w:t>.</w:t>
      </w:r>
    </w:p>
    <w:p w:rsidR="002E5DCA" w:rsidRPr="00A75276" w:rsidRDefault="00520CD5" w:rsidP="00A9298C">
      <w:pPr>
        <w:pStyle w:val="ONUMFS"/>
        <w:ind w:left="567"/>
        <w:rPr>
          <w:lang w:val="fr-FR"/>
        </w:rPr>
      </w:pPr>
      <w:r w:rsidRPr="00A75276">
        <w:rPr>
          <w:lang w:val="fr-FR"/>
        </w:rPr>
        <w:t>Le sous</w:t>
      </w:r>
      <w:r w:rsidR="00A16C85" w:rsidRPr="00A75276">
        <w:rPr>
          <w:lang w:val="fr-FR"/>
        </w:rPr>
        <w:noBreakHyphen/>
      </w:r>
      <w:r w:rsidRPr="00A75276">
        <w:rPr>
          <w:lang w:val="fr-FR"/>
        </w:rPr>
        <w:t>groupe a recommandé la création d</w:t>
      </w:r>
      <w:r w:rsidR="009C53EC" w:rsidRPr="00A75276">
        <w:rPr>
          <w:lang w:val="fr-FR"/>
        </w:rPr>
        <w:t>’</w:t>
      </w:r>
      <w:r w:rsidRPr="00A75276">
        <w:rPr>
          <w:lang w:val="fr-FR"/>
        </w:rPr>
        <w:t xml:space="preserve">une page de </w:t>
      </w:r>
      <w:r w:rsidR="001A5167" w:rsidRPr="00A75276">
        <w:rPr>
          <w:lang w:val="fr-FR"/>
        </w:rPr>
        <w:t xml:space="preserve">discussion </w:t>
      </w:r>
      <w:r w:rsidRPr="00A75276">
        <w:rPr>
          <w:lang w:val="fr-FR"/>
        </w:rPr>
        <w:t>sur son</w:t>
      </w:r>
      <w:r w:rsidR="001A5167" w:rsidRPr="00A75276">
        <w:rPr>
          <w:lang w:val="fr-FR"/>
        </w:rPr>
        <w:t xml:space="preserve"> forum </w:t>
      </w:r>
      <w:r w:rsidRPr="00A75276">
        <w:rPr>
          <w:lang w:val="fr-FR"/>
        </w:rPr>
        <w:t>électronique afin de recueillir les observations sur questions supplémentaires relatives à l</w:t>
      </w:r>
      <w:r w:rsidR="009C53EC" w:rsidRPr="00A75276">
        <w:rPr>
          <w:lang w:val="fr-FR"/>
        </w:rPr>
        <w:t>’</w:t>
      </w:r>
      <w:r w:rsidRPr="00A75276">
        <w:rPr>
          <w:lang w:val="fr-FR"/>
        </w:rPr>
        <w:t>unité de l</w:t>
      </w:r>
      <w:r w:rsidR="009C53EC" w:rsidRPr="00A75276">
        <w:rPr>
          <w:lang w:val="fr-FR"/>
        </w:rPr>
        <w:t>’</w:t>
      </w:r>
      <w:r w:rsidRPr="00A75276">
        <w:rPr>
          <w:lang w:val="fr-FR"/>
        </w:rPr>
        <w:t>invention recensées par l</w:t>
      </w:r>
      <w:r w:rsidR="009C53EC" w:rsidRPr="00A75276">
        <w:rPr>
          <w:lang w:val="fr-FR"/>
        </w:rPr>
        <w:t>’</w:t>
      </w:r>
      <w:r w:rsidRPr="00A75276">
        <w:rPr>
          <w:lang w:val="fr-FR"/>
        </w:rPr>
        <w:t>Office des brevets et des marques des États</w:t>
      </w:r>
      <w:r w:rsidR="00A16C85" w:rsidRPr="00A75276">
        <w:rPr>
          <w:lang w:val="fr-FR"/>
        </w:rPr>
        <w:noBreakHyphen/>
      </w:r>
      <w:r w:rsidRPr="00A75276">
        <w:rPr>
          <w:lang w:val="fr-FR"/>
        </w:rPr>
        <w:t>Unis d</w:t>
      </w:r>
      <w:r w:rsidR="009C53EC" w:rsidRPr="00A75276">
        <w:rPr>
          <w:lang w:val="fr-FR"/>
        </w:rPr>
        <w:t>’</w:t>
      </w:r>
      <w:r w:rsidRPr="00A75276">
        <w:rPr>
          <w:lang w:val="fr-FR"/>
        </w:rPr>
        <w:t>Amérique</w:t>
      </w:r>
      <w:r w:rsidR="001A5167" w:rsidRPr="00A75276">
        <w:rPr>
          <w:lang w:val="fr-FR"/>
        </w:rPr>
        <w:t>.</w:t>
      </w:r>
    </w:p>
    <w:p w:rsidR="00715135" w:rsidRPr="00A75276" w:rsidRDefault="003B0A39" w:rsidP="003B0A39">
      <w:pPr>
        <w:pStyle w:val="Heading1"/>
        <w:rPr>
          <w:lang w:val="fr-FR"/>
        </w:rPr>
      </w:pPr>
      <w:r w:rsidRPr="00A75276">
        <w:rPr>
          <w:lang w:val="fr-FR"/>
        </w:rPr>
        <w:t>5.</w:t>
      </w:r>
      <w:r w:rsidRPr="00A75276">
        <w:rPr>
          <w:lang w:val="fr-FR"/>
        </w:rPr>
        <w:tab/>
        <w:t>Nomination des administrations internationales</w:t>
      </w:r>
    </w:p>
    <w:p w:rsidR="00715135" w:rsidRPr="00A75276" w:rsidRDefault="001A5167" w:rsidP="001A5167">
      <w:pPr>
        <w:pStyle w:val="Heading2"/>
        <w:rPr>
          <w:lang w:val="fr-FR"/>
        </w:rPr>
      </w:pPr>
      <w:r w:rsidRPr="00A75276">
        <w:rPr>
          <w:lang w:val="fr-FR"/>
        </w:rPr>
        <w:t>a)</w:t>
      </w:r>
      <w:r w:rsidRPr="00A75276">
        <w:rPr>
          <w:lang w:val="fr-FR"/>
        </w:rPr>
        <w:tab/>
      </w:r>
      <w:r w:rsidR="00316C5C" w:rsidRPr="00A75276">
        <w:rPr>
          <w:lang w:val="fr-FR"/>
        </w:rPr>
        <w:t>renforcement des exigences relatives aux systèmes de gestion de la qualité</w:t>
      </w:r>
    </w:p>
    <w:p w:rsidR="002E5DCA" w:rsidRPr="00A75276" w:rsidRDefault="00002D56" w:rsidP="00002D56">
      <w:pPr>
        <w:pStyle w:val="ONUMFS"/>
        <w:rPr>
          <w:lang w:val="fr-FR"/>
        </w:rPr>
      </w:pPr>
      <w:r w:rsidRPr="00A75276">
        <w:rPr>
          <w:lang w:val="fr-FR"/>
        </w:rPr>
        <w:t>Les administrations ont d</w:t>
      </w:r>
      <w:r w:rsidR="009C53EC" w:rsidRPr="00A75276">
        <w:rPr>
          <w:lang w:val="fr-FR"/>
        </w:rPr>
        <w:t>’</w:t>
      </w:r>
      <w:r w:rsidRPr="00A75276">
        <w:rPr>
          <w:lang w:val="fr-FR"/>
        </w:rPr>
        <w:t xml:space="preserve">une manière générale </w:t>
      </w:r>
      <w:proofErr w:type="gramStart"/>
      <w:r w:rsidRPr="00A75276">
        <w:rPr>
          <w:lang w:val="fr-FR"/>
        </w:rPr>
        <w:t>appuyé</w:t>
      </w:r>
      <w:proofErr w:type="gramEnd"/>
      <w:r w:rsidRPr="00A75276">
        <w:rPr>
          <w:lang w:val="fr-FR"/>
        </w:rPr>
        <w:t xml:space="preserve"> la proposition visant à renforcer les exigences relatives aux systèmes de gestion de la qualité prévues au chapitre</w:t>
      </w:r>
      <w:r w:rsidR="00432F5D" w:rsidRPr="00A75276">
        <w:rPr>
          <w:lang w:val="fr-FR"/>
        </w:rPr>
        <w:t> </w:t>
      </w:r>
      <w:r w:rsidRPr="00A75276">
        <w:rPr>
          <w:lang w:val="fr-FR"/>
        </w:rPr>
        <w:t>21 des directives concernant la recherche internationale et l</w:t>
      </w:r>
      <w:r w:rsidR="009C53EC" w:rsidRPr="00A75276">
        <w:rPr>
          <w:lang w:val="fr-FR"/>
        </w:rPr>
        <w:t>’</w:t>
      </w:r>
      <w:r w:rsidRPr="00A75276">
        <w:rPr>
          <w:lang w:val="fr-FR"/>
        </w:rPr>
        <w:t>examen préliminaire internation</w:t>
      </w:r>
      <w:r w:rsidR="00A16C85" w:rsidRPr="00A75276">
        <w:rPr>
          <w:lang w:val="fr-FR"/>
        </w:rPr>
        <w:t>al.  Si</w:t>
      </w:r>
      <w:r w:rsidRPr="00A75276">
        <w:rPr>
          <w:lang w:val="fr-FR"/>
        </w:rPr>
        <w:t xml:space="preserve"> certaines administrations ont déclaré qu</w:t>
      </w:r>
      <w:r w:rsidR="009C53EC" w:rsidRPr="00A75276">
        <w:rPr>
          <w:lang w:val="fr-FR"/>
        </w:rPr>
        <w:t>’</w:t>
      </w:r>
      <w:r w:rsidRPr="00A75276">
        <w:rPr>
          <w:lang w:val="fr-FR"/>
        </w:rPr>
        <w:t>elles pouvaient souscrire à l</w:t>
      </w:r>
      <w:r w:rsidR="009C53EC" w:rsidRPr="00A75276">
        <w:rPr>
          <w:lang w:val="fr-FR"/>
        </w:rPr>
        <w:t>’</w:t>
      </w:r>
      <w:r w:rsidRPr="00A75276">
        <w:rPr>
          <w:lang w:val="fr-FR"/>
        </w:rPr>
        <w:t>idée de rendre obligatoires toutes les exigences actuellement facultatives, d</w:t>
      </w:r>
      <w:r w:rsidR="009C53EC" w:rsidRPr="00A75276">
        <w:rPr>
          <w:lang w:val="fr-FR"/>
        </w:rPr>
        <w:t>’</w:t>
      </w:r>
      <w:r w:rsidRPr="00A75276">
        <w:rPr>
          <w:lang w:val="fr-FR"/>
        </w:rPr>
        <w:t>autres ont indiqué qu</w:t>
      </w:r>
      <w:r w:rsidR="009C53EC" w:rsidRPr="00A75276">
        <w:rPr>
          <w:lang w:val="fr-FR"/>
        </w:rPr>
        <w:t>’</w:t>
      </w:r>
      <w:r w:rsidRPr="00A75276">
        <w:rPr>
          <w:lang w:val="fr-FR"/>
        </w:rPr>
        <w:t>elles préféraient une approche plus fine, certaines suggérant qu</w:t>
      </w:r>
      <w:r w:rsidR="009C53EC" w:rsidRPr="00A75276">
        <w:rPr>
          <w:lang w:val="fr-FR"/>
        </w:rPr>
        <w:t>’</w:t>
      </w:r>
      <w:r w:rsidRPr="00A75276">
        <w:rPr>
          <w:lang w:val="fr-FR"/>
        </w:rPr>
        <w:t>il convenait d</w:t>
      </w:r>
      <w:r w:rsidR="009C53EC" w:rsidRPr="00A75276">
        <w:rPr>
          <w:lang w:val="fr-FR"/>
        </w:rPr>
        <w:t>’</w:t>
      </w:r>
      <w:r w:rsidRPr="00A75276">
        <w:rPr>
          <w:lang w:val="fr-FR"/>
        </w:rPr>
        <w:t>opérer une distinction entre les exigences générales essentielles (qui devraient devenir obligatoires) et d</w:t>
      </w:r>
      <w:r w:rsidR="009C53EC" w:rsidRPr="00A75276">
        <w:rPr>
          <w:lang w:val="fr-FR"/>
        </w:rPr>
        <w:t>’</w:t>
      </w:r>
      <w:r w:rsidRPr="00A75276">
        <w:rPr>
          <w:lang w:val="fr-FR"/>
        </w:rPr>
        <w:t xml:space="preserve">autres plus spécifiques, </w:t>
      </w:r>
      <w:r w:rsidR="009C53EC" w:rsidRPr="00A75276">
        <w:rPr>
          <w:lang w:val="fr-FR"/>
        </w:rPr>
        <w:t>à l’égard</w:t>
      </w:r>
      <w:r w:rsidRPr="00A75276">
        <w:rPr>
          <w:lang w:val="fr-FR"/>
        </w:rPr>
        <w:t xml:space="preserve"> desquelles les administrations devraient bénéficier d</w:t>
      </w:r>
      <w:r w:rsidR="009C53EC" w:rsidRPr="00A75276">
        <w:rPr>
          <w:lang w:val="fr-FR"/>
        </w:rPr>
        <w:t>’</w:t>
      </w:r>
      <w:r w:rsidRPr="00A75276">
        <w:rPr>
          <w:lang w:val="fr-FR"/>
        </w:rPr>
        <w:t>une plus grande latitude.</w:t>
      </w:r>
    </w:p>
    <w:p w:rsidR="00715135" w:rsidRPr="00A75276" w:rsidRDefault="00002D56" w:rsidP="00597832">
      <w:pPr>
        <w:pStyle w:val="ONUMFS"/>
        <w:ind w:left="567"/>
        <w:rPr>
          <w:lang w:val="fr-FR"/>
        </w:rPr>
      </w:pPr>
      <w:r w:rsidRPr="00A75276">
        <w:rPr>
          <w:lang w:val="fr-FR"/>
        </w:rPr>
        <w:t>Le sous</w:t>
      </w:r>
      <w:r w:rsidR="00A16C85" w:rsidRPr="00A75276">
        <w:rPr>
          <w:lang w:val="fr-FR"/>
        </w:rPr>
        <w:noBreakHyphen/>
      </w:r>
      <w:r w:rsidRPr="00A75276">
        <w:rPr>
          <w:lang w:val="fr-FR"/>
        </w:rPr>
        <w:t>groupe a recommandé que les administrations aient la possibilité de fournir des observations détaillées sur les exigences prévues au chapitre</w:t>
      </w:r>
      <w:r w:rsidR="00432F5D" w:rsidRPr="00A75276">
        <w:rPr>
          <w:lang w:val="fr-FR"/>
        </w:rPr>
        <w:t> </w:t>
      </w:r>
      <w:r w:rsidRPr="00A75276">
        <w:rPr>
          <w:lang w:val="fr-FR"/>
        </w:rPr>
        <w:t>21 en vue de déterminer s</w:t>
      </w:r>
      <w:r w:rsidR="009C53EC" w:rsidRPr="00A75276">
        <w:rPr>
          <w:lang w:val="fr-FR"/>
        </w:rPr>
        <w:t>’</w:t>
      </w:r>
      <w:r w:rsidRPr="00A75276">
        <w:rPr>
          <w:lang w:val="fr-FR"/>
        </w:rPr>
        <w:t>il convenait ou non de les rendre obligatoires et que cette question soit examinée de manière plus approfondie à sa prochaine sessi</w:t>
      </w:r>
      <w:r w:rsidR="00A16C85" w:rsidRPr="00A75276">
        <w:rPr>
          <w:lang w:val="fr-FR"/>
        </w:rPr>
        <w:t>on.  Po</w:t>
      </w:r>
      <w:r w:rsidR="00597832" w:rsidRPr="00A75276">
        <w:rPr>
          <w:lang w:val="fr-FR"/>
        </w:rPr>
        <w:t>ur faciliter la soumission des observations, il a prié le Bureau international de fournir des explications plus détaillées concernant les différentes exigences, assorties de suggestions préliminaires quant à la question de savoir si elles devraient être rendues obligatoires ou rester facultatives, et de proposer un format type pour la communication des observations.</w:t>
      </w:r>
    </w:p>
    <w:p w:rsidR="00715135" w:rsidRPr="00A75276" w:rsidRDefault="00597832" w:rsidP="00597832">
      <w:pPr>
        <w:pStyle w:val="ONUMFS"/>
        <w:rPr>
          <w:lang w:val="fr-FR"/>
        </w:rPr>
      </w:pPr>
      <w:r w:rsidRPr="00A75276">
        <w:rPr>
          <w:lang w:val="fr-FR"/>
        </w:rPr>
        <w:lastRenderedPageBreak/>
        <w:t>Les administrations ont considéré qu</w:t>
      </w:r>
      <w:r w:rsidR="009C53EC" w:rsidRPr="00A75276">
        <w:rPr>
          <w:lang w:val="fr-FR"/>
        </w:rPr>
        <w:t>’</w:t>
      </w:r>
      <w:r w:rsidRPr="00A75276">
        <w:rPr>
          <w:lang w:val="fr-FR"/>
        </w:rPr>
        <w:t>il était nécessaire de prévoir une période d</w:t>
      </w:r>
      <w:r w:rsidR="009C53EC" w:rsidRPr="00A75276">
        <w:rPr>
          <w:lang w:val="fr-FR"/>
        </w:rPr>
        <w:t>’</w:t>
      </w:r>
      <w:r w:rsidR="00BB056C" w:rsidRPr="00A75276">
        <w:rPr>
          <w:lang w:val="fr-FR"/>
        </w:rPr>
        <w:t>ajustement</w:t>
      </w:r>
      <w:r w:rsidRPr="00A75276">
        <w:rPr>
          <w:lang w:val="fr-FR"/>
        </w:rPr>
        <w:t xml:space="preserve"> et d</w:t>
      </w:r>
      <w:r w:rsidR="009C53EC" w:rsidRPr="00A75276">
        <w:rPr>
          <w:lang w:val="fr-FR"/>
        </w:rPr>
        <w:t>’</w:t>
      </w:r>
      <w:r w:rsidRPr="00A75276">
        <w:rPr>
          <w:lang w:val="fr-FR"/>
        </w:rPr>
        <w:t>autres dispositions transitoires à l</w:t>
      </w:r>
      <w:r w:rsidR="009C53EC" w:rsidRPr="00A75276">
        <w:rPr>
          <w:lang w:val="fr-FR"/>
        </w:rPr>
        <w:t>’</w:t>
      </w:r>
      <w:r w:rsidRPr="00A75276">
        <w:rPr>
          <w:lang w:val="fr-FR"/>
        </w:rPr>
        <w:t>intention des administrations existantes si certaines exigences actuellement facultatives devenaient obligatoir</w:t>
      </w:r>
      <w:r w:rsidR="00A16C85" w:rsidRPr="00A75276">
        <w:rPr>
          <w:lang w:val="fr-FR"/>
        </w:rPr>
        <w:t>es.  Un</w:t>
      </w:r>
      <w:r w:rsidRPr="00A75276">
        <w:rPr>
          <w:lang w:val="fr-FR"/>
        </w:rPr>
        <w:t>e administration a suggéré de prévoir une période transitoire d</w:t>
      </w:r>
      <w:r w:rsidR="009C53EC" w:rsidRPr="00A75276">
        <w:rPr>
          <w:lang w:val="fr-FR"/>
        </w:rPr>
        <w:t>’</w:t>
      </w:r>
      <w:r w:rsidRPr="00A75276">
        <w:rPr>
          <w:lang w:val="fr-FR"/>
        </w:rPr>
        <w:t>au moins 18 mois.</w:t>
      </w:r>
    </w:p>
    <w:p w:rsidR="00715135" w:rsidRPr="00A75276" w:rsidRDefault="00D734E1" w:rsidP="00D734E1">
      <w:pPr>
        <w:pStyle w:val="ONUMFS"/>
        <w:rPr>
          <w:lang w:val="fr-FR"/>
        </w:rPr>
      </w:pPr>
      <w:r w:rsidRPr="00A75276">
        <w:rPr>
          <w:lang w:val="fr-FR"/>
        </w:rPr>
        <w:t>Le Bureau international a indiqué que, compte tenu de la recommandation du sous</w:t>
      </w:r>
      <w:r w:rsidR="00A16C85" w:rsidRPr="00A75276">
        <w:rPr>
          <w:lang w:val="fr-FR"/>
        </w:rPr>
        <w:noBreakHyphen/>
      </w:r>
      <w:r w:rsidRPr="00A75276">
        <w:rPr>
          <w:lang w:val="fr-FR"/>
        </w:rPr>
        <w:t>groupe tendant à prévoir un délai plus long pour la soumission d</w:t>
      </w:r>
      <w:r w:rsidR="009C53EC" w:rsidRPr="00A75276">
        <w:rPr>
          <w:lang w:val="fr-FR"/>
        </w:rPr>
        <w:t>’</w:t>
      </w:r>
      <w:r w:rsidRPr="00A75276">
        <w:rPr>
          <w:lang w:val="fr-FR"/>
        </w:rPr>
        <w:t>observations détaillées sur chacune des exigences prévues au chapitre</w:t>
      </w:r>
      <w:r w:rsidR="00432F5D" w:rsidRPr="00A75276">
        <w:rPr>
          <w:lang w:val="fr-FR"/>
        </w:rPr>
        <w:t> </w:t>
      </w:r>
      <w:r w:rsidRPr="00A75276">
        <w:rPr>
          <w:lang w:val="fr-FR"/>
        </w:rPr>
        <w:t>21 et à poursuivre les discussions à sa prochaine session, une éventuelle décision quant aux exigences qui devraient devenir obligatoires ne pourrait être prise en considération dans le contexte du processus à venir de renouvellement de la nomination des administrations existant</w:t>
      </w:r>
      <w:r w:rsidR="00A16C85" w:rsidRPr="00A75276">
        <w:rPr>
          <w:lang w:val="fr-FR"/>
        </w:rPr>
        <w:t>es.  Co</w:t>
      </w:r>
      <w:r w:rsidRPr="00A75276">
        <w:rPr>
          <w:lang w:val="fr-FR"/>
        </w:rPr>
        <w:t>mpte tenu de la nécessité de poursuivre les discussions et de prévoir des dispositions transitoires pour les administrations existantes, le scénario le plus probable serait que toute nouvelle exigence obligatoire n</w:t>
      </w:r>
      <w:r w:rsidR="009C53EC" w:rsidRPr="00A75276">
        <w:rPr>
          <w:lang w:val="fr-FR"/>
        </w:rPr>
        <w:t>’</w:t>
      </w:r>
      <w:r w:rsidRPr="00A75276">
        <w:rPr>
          <w:lang w:val="fr-FR"/>
        </w:rPr>
        <w:t>entrerait en vigueur que bien plus tard, peut</w:t>
      </w:r>
      <w:r w:rsidR="00A16C85" w:rsidRPr="00A75276">
        <w:rPr>
          <w:lang w:val="fr-FR"/>
        </w:rPr>
        <w:noBreakHyphen/>
      </w:r>
      <w:r w:rsidRPr="00A75276">
        <w:rPr>
          <w:lang w:val="fr-FR"/>
        </w:rPr>
        <w:t>être en</w:t>
      </w:r>
      <w:r w:rsidR="00432F5D" w:rsidRPr="00A75276">
        <w:rPr>
          <w:lang w:val="fr-FR"/>
        </w:rPr>
        <w:t> </w:t>
      </w:r>
      <w:r w:rsidRPr="00A75276">
        <w:rPr>
          <w:lang w:val="fr-FR"/>
        </w:rPr>
        <w:t xml:space="preserve">2018 ou 2019, et deviendrait applicable à la fois </w:t>
      </w:r>
      <w:r w:rsidR="00C7557B" w:rsidRPr="00A75276">
        <w:rPr>
          <w:lang w:val="fr-FR"/>
        </w:rPr>
        <w:t>aux administrations</w:t>
      </w:r>
      <w:r w:rsidRPr="00A75276">
        <w:rPr>
          <w:lang w:val="fr-FR"/>
        </w:rPr>
        <w:t xml:space="preserve"> existantes et aux offices demandant leur nomination à compter de la même date.</w:t>
      </w:r>
    </w:p>
    <w:p w:rsidR="00715135" w:rsidRPr="00A75276" w:rsidRDefault="00D734E1" w:rsidP="00D734E1">
      <w:pPr>
        <w:pStyle w:val="ONUMFS"/>
        <w:rPr>
          <w:lang w:val="fr-FR"/>
        </w:rPr>
      </w:pPr>
      <w:r w:rsidRPr="00A75276">
        <w:rPr>
          <w:lang w:val="fr-FR"/>
        </w:rPr>
        <w:t>La proposition de modification de l</w:t>
      </w:r>
      <w:r w:rsidR="009C53EC" w:rsidRPr="00A75276">
        <w:rPr>
          <w:lang w:val="fr-FR"/>
        </w:rPr>
        <w:t>’</w:t>
      </w:r>
      <w:r w:rsidRPr="00A75276">
        <w:rPr>
          <w:lang w:val="fr-FR"/>
        </w:rPr>
        <w:t xml:space="preserve">alinéa d) de </w:t>
      </w:r>
      <w:r w:rsidR="00BB056C" w:rsidRPr="00A75276">
        <w:rPr>
          <w:lang w:val="fr-FR"/>
        </w:rPr>
        <w:t>l</w:t>
      </w:r>
      <w:r w:rsidR="009C53EC" w:rsidRPr="00A75276">
        <w:rPr>
          <w:lang w:val="fr-FR"/>
        </w:rPr>
        <w:t>’</w:t>
      </w:r>
      <w:r w:rsidR="00BB056C" w:rsidRPr="00A75276">
        <w:rPr>
          <w:lang w:val="fr-FR"/>
        </w:rPr>
        <w:t>accord</w:t>
      </w:r>
      <w:r w:rsidRPr="00A75276">
        <w:rPr>
          <w:lang w:val="fr-FR"/>
        </w:rPr>
        <w:t xml:space="preserve"> de principe sur les procédures de nomination des administrations internationales visant à rendre obligatoire l</w:t>
      </w:r>
      <w:r w:rsidR="009C53EC" w:rsidRPr="00A75276">
        <w:rPr>
          <w:lang w:val="fr-FR"/>
        </w:rPr>
        <w:t>’</w:t>
      </w:r>
      <w:r w:rsidRPr="00A75276">
        <w:rPr>
          <w:lang w:val="fr-FR"/>
        </w:rPr>
        <w:t>existence d</w:t>
      </w:r>
      <w:r w:rsidR="009C53EC" w:rsidRPr="00A75276">
        <w:rPr>
          <w:lang w:val="fr-FR"/>
        </w:rPr>
        <w:t>’</w:t>
      </w:r>
      <w:r w:rsidRPr="00A75276">
        <w:rPr>
          <w:lang w:val="fr-FR"/>
        </w:rPr>
        <w:t>un système opérationnel de gestion de la qualité pour la recherche et l</w:t>
      </w:r>
      <w:r w:rsidR="009C53EC" w:rsidRPr="00A75276">
        <w:rPr>
          <w:lang w:val="fr-FR"/>
        </w:rPr>
        <w:t>’</w:t>
      </w:r>
      <w:r w:rsidRPr="00A75276">
        <w:rPr>
          <w:lang w:val="fr-FR"/>
        </w:rPr>
        <w:t>examen dans la phase nationale au sein de tout office candidat au moment de sa nomination par l</w:t>
      </w:r>
      <w:r w:rsidR="009C53EC" w:rsidRPr="00A75276">
        <w:rPr>
          <w:lang w:val="fr-FR"/>
        </w:rPr>
        <w:t>’</w:t>
      </w:r>
      <w:r w:rsidRPr="00A75276">
        <w:rPr>
          <w:lang w:val="fr-FR"/>
        </w:rPr>
        <w:t>Assemblée de l</w:t>
      </w:r>
      <w:r w:rsidR="009C53EC" w:rsidRPr="00A75276">
        <w:rPr>
          <w:lang w:val="fr-FR"/>
        </w:rPr>
        <w:t>’</w:t>
      </w:r>
      <w:r w:rsidRPr="00A75276">
        <w:rPr>
          <w:lang w:val="fr-FR"/>
        </w:rPr>
        <w:t>Union</w:t>
      </w:r>
      <w:r w:rsidR="002E5DCA" w:rsidRPr="00A75276">
        <w:rPr>
          <w:lang w:val="fr-FR"/>
        </w:rPr>
        <w:t xml:space="preserve"> du PCT</w:t>
      </w:r>
      <w:r w:rsidRPr="00A75276">
        <w:rPr>
          <w:lang w:val="fr-FR"/>
        </w:rPr>
        <w:t xml:space="preserve"> a recueilli l</w:t>
      </w:r>
      <w:r w:rsidR="009C53EC" w:rsidRPr="00A75276">
        <w:rPr>
          <w:lang w:val="fr-FR"/>
        </w:rPr>
        <w:t>’</w:t>
      </w:r>
      <w:r w:rsidRPr="00A75276">
        <w:rPr>
          <w:lang w:val="fr-FR"/>
        </w:rPr>
        <w:t>appui génér</w:t>
      </w:r>
      <w:r w:rsidR="00A16C85" w:rsidRPr="00A75276">
        <w:rPr>
          <w:lang w:val="fr-FR"/>
        </w:rPr>
        <w:t>al.  Un</w:t>
      </w:r>
      <w:r w:rsidRPr="00A75276">
        <w:rPr>
          <w:lang w:val="fr-FR"/>
        </w:rPr>
        <w:t xml:space="preserve">e administration a souligné que cela constituerait pour les futurs offices candidats une forte incitation à mettre en </w:t>
      </w:r>
      <w:r w:rsidR="00BB056C" w:rsidRPr="00A75276">
        <w:rPr>
          <w:lang w:val="fr-FR"/>
        </w:rPr>
        <w:t>place</w:t>
      </w:r>
      <w:r w:rsidRPr="00A75276">
        <w:rPr>
          <w:lang w:val="fr-FR"/>
        </w:rPr>
        <w:t xml:space="preserve"> un système de gestion de la qualité pour la recherche et l</w:t>
      </w:r>
      <w:r w:rsidR="009C53EC" w:rsidRPr="00A75276">
        <w:rPr>
          <w:lang w:val="fr-FR"/>
        </w:rPr>
        <w:t>’</w:t>
      </w:r>
      <w:r w:rsidRPr="00A75276">
        <w:rPr>
          <w:lang w:val="fr-FR"/>
        </w:rPr>
        <w:t xml:space="preserve">examen dans la phase nationale, tout en reconnaissant que les exigences applicables </w:t>
      </w:r>
      <w:r w:rsidR="000B1915" w:rsidRPr="00A75276">
        <w:rPr>
          <w:lang w:val="fr-FR"/>
        </w:rPr>
        <w:t xml:space="preserve">à </w:t>
      </w:r>
      <w:r w:rsidRPr="00A75276">
        <w:rPr>
          <w:lang w:val="fr-FR"/>
        </w:rPr>
        <w:t>ces systèmes de gestion de la qualité ne sauraient être aussi rigoureuses que celles prévues au chapitre</w:t>
      </w:r>
      <w:r w:rsidR="00432F5D" w:rsidRPr="00A75276">
        <w:rPr>
          <w:lang w:val="fr-FR"/>
        </w:rPr>
        <w:t> </w:t>
      </w:r>
      <w:r w:rsidRPr="00A75276">
        <w:rPr>
          <w:lang w:val="fr-FR"/>
        </w:rPr>
        <w:t>21 des directives.</w:t>
      </w:r>
    </w:p>
    <w:p w:rsidR="00715135" w:rsidRPr="00A75276" w:rsidRDefault="00D734E1" w:rsidP="00C7557B">
      <w:pPr>
        <w:pStyle w:val="ONUMFS"/>
        <w:rPr>
          <w:lang w:val="fr-FR"/>
        </w:rPr>
      </w:pPr>
      <w:r w:rsidRPr="00A75276">
        <w:rPr>
          <w:lang w:val="fr-FR"/>
        </w:rPr>
        <w:t>Une administration a estimé qu</w:t>
      </w:r>
      <w:r w:rsidR="009C53EC" w:rsidRPr="00A75276">
        <w:rPr>
          <w:lang w:val="fr-FR"/>
        </w:rPr>
        <w:t>’</w:t>
      </w:r>
      <w:r w:rsidRPr="00A75276">
        <w:rPr>
          <w:lang w:val="fr-FR"/>
        </w:rPr>
        <w:t>il était prématuré de modifier l</w:t>
      </w:r>
      <w:r w:rsidR="009C53EC" w:rsidRPr="00A75276">
        <w:rPr>
          <w:lang w:val="fr-FR"/>
        </w:rPr>
        <w:t>’</w:t>
      </w:r>
      <w:r w:rsidRPr="00A75276">
        <w:rPr>
          <w:lang w:val="fr-FR"/>
        </w:rPr>
        <w:t>alinéa d) de l</w:t>
      </w:r>
      <w:r w:rsidR="009C53EC" w:rsidRPr="00A75276">
        <w:rPr>
          <w:lang w:val="fr-FR"/>
        </w:rPr>
        <w:t>’</w:t>
      </w:r>
      <w:r w:rsidRPr="00A75276">
        <w:rPr>
          <w:lang w:val="fr-FR"/>
        </w:rPr>
        <w:t>accord de principe sur les procédures de nomination des administrations international</w:t>
      </w:r>
      <w:r w:rsidR="00A16C85" w:rsidRPr="00A75276">
        <w:rPr>
          <w:lang w:val="fr-FR"/>
        </w:rPr>
        <w:t>es.  Il</w:t>
      </w:r>
      <w:r w:rsidR="00C7557B" w:rsidRPr="00A75276">
        <w:rPr>
          <w:lang w:val="fr-FR"/>
        </w:rPr>
        <w:t xml:space="preserve"> faudrait prévoir davantage de temps pour évaluer l</w:t>
      </w:r>
      <w:r w:rsidR="009C53EC" w:rsidRPr="00A75276">
        <w:rPr>
          <w:lang w:val="fr-FR"/>
        </w:rPr>
        <w:t>’</w:t>
      </w:r>
      <w:r w:rsidR="00C7557B" w:rsidRPr="00A75276">
        <w:rPr>
          <w:lang w:val="fr-FR"/>
        </w:rPr>
        <w:t>efficacité des procédures prévues par cet accord de principe, qui n</w:t>
      </w:r>
      <w:r w:rsidR="009C53EC" w:rsidRPr="00A75276">
        <w:rPr>
          <w:lang w:val="fr-FR"/>
        </w:rPr>
        <w:t>’</w:t>
      </w:r>
      <w:r w:rsidR="00C7557B" w:rsidRPr="00A75276">
        <w:rPr>
          <w:lang w:val="fr-FR"/>
        </w:rPr>
        <w:t>avait été adopté par l</w:t>
      </w:r>
      <w:r w:rsidR="009C53EC" w:rsidRPr="00A75276">
        <w:rPr>
          <w:lang w:val="fr-FR"/>
        </w:rPr>
        <w:t>’</w:t>
      </w:r>
      <w:r w:rsidR="00C7557B" w:rsidRPr="00A75276">
        <w:rPr>
          <w:lang w:val="fr-FR"/>
        </w:rPr>
        <w:t>assemblée qu</w:t>
      </w:r>
      <w:r w:rsidR="009C53EC" w:rsidRPr="00A75276">
        <w:rPr>
          <w:lang w:val="fr-FR"/>
        </w:rPr>
        <w:t>’</w:t>
      </w:r>
      <w:r w:rsidR="000B1915" w:rsidRPr="00A75276">
        <w:rPr>
          <w:lang w:val="fr-FR"/>
        </w:rPr>
        <w:t>en</w:t>
      </w:r>
      <w:r w:rsidR="00432F5D" w:rsidRPr="00A75276">
        <w:rPr>
          <w:lang w:val="fr-FR"/>
        </w:rPr>
        <w:t> </w:t>
      </w:r>
      <w:r w:rsidR="000B1915" w:rsidRPr="00A75276">
        <w:rPr>
          <w:lang w:val="fr-FR"/>
        </w:rPr>
        <w:t>2014 et ne devait donc être appliqué</w:t>
      </w:r>
      <w:r w:rsidR="00C7557B" w:rsidRPr="00A75276">
        <w:rPr>
          <w:lang w:val="fr-FR"/>
        </w:rPr>
        <w:t xml:space="preserve"> qu</w:t>
      </w:r>
      <w:r w:rsidR="009C53EC" w:rsidRPr="00A75276">
        <w:rPr>
          <w:lang w:val="fr-FR"/>
        </w:rPr>
        <w:t>’</w:t>
      </w:r>
      <w:r w:rsidR="00C7557B" w:rsidRPr="00A75276">
        <w:rPr>
          <w:lang w:val="fr-FR"/>
        </w:rPr>
        <w:t>aux toutes dernières nominations.</w:t>
      </w:r>
    </w:p>
    <w:p w:rsidR="00715135" w:rsidRPr="00A75276" w:rsidRDefault="001A5167" w:rsidP="00715135">
      <w:pPr>
        <w:pStyle w:val="Heading2"/>
        <w:rPr>
          <w:lang w:val="fr-FR"/>
        </w:rPr>
      </w:pPr>
      <w:r w:rsidRPr="00A75276">
        <w:rPr>
          <w:lang w:val="fr-FR"/>
        </w:rPr>
        <w:t>b)</w:t>
      </w:r>
      <w:r w:rsidRPr="00A75276">
        <w:rPr>
          <w:lang w:val="fr-FR"/>
        </w:rPr>
        <w:tab/>
      </w:r>
      <w:r w:rsidR="00715135" w:rsidRPr="00A75276">
        <w:rPr>
          <w:lang w:val="fr-FR"/>
        </w:rPr>
        <w:t xml:space="preserve">Formulaire de </w:t>
      </w:r>
      <w:r w:rsidR="000B1915" w:rsidRPr="00A75276">
        <w:rPr>
          <w:lang w:val="fr-FR"/>
        </w:rPr>
        <w:t>candidature à la</w:t>
      </w:r>
      <w:r w:rsidR="00715135" w:rsidRPr="00A75276">
        <w:rPr>
          <w:lang w:val="fr-FR"/>
        </w:rPr>
        <w:t xml:space="preserve"> nomination en qualité d</w:t>
      </w:r>
      <w:r w:rsidR="009C53EC" w:rsidRPr="00A75276">
        <w:rPr>
          <w:lang w:val="fr-FR"/>
        </w:rPr>
        <w:t>’</w:t>
      </w:r>
      <w:r w:rsidR="00715135" w:rsidRPr="00A75276">
        <w:rPr>
          <w:lang w:val="fr-FR"/>
        </w:rPr>
        <w:t>administration chargée de la recherche internationale et de l</w:t>
      </w:r>
      <w:r w:rsidR="009C53EC" w:rsidRPr="00A75276">
        <w:rPr>
          <w:lang w:val="fr-FR"/>
        </w:rPr>
        <w:t>’</w:t>
      </w:r>
      <w:r w:rsidR="00715135" w:rsidRPr="00A75276">
        <w:rPr>
          <w:lang w:val="fr-FR"/>
        </w:rPr>
        <w:t>examen préliminaire international selon</w:t>
      </w:r>
      <w:r w:rsidR="002E5DCA" w:rsidRPr="00A75276">
        <w:rPr>
          <w:lang w:val="fr-FR"/>
        </w:rPr>
        <w:t xml:space="preserve"> le PCT</w:t>
      </w:r>
    </w:p>
    <w:p w:rsidR="002E5DCA" w:rsidRPr="00A75276" w:rsidRDefault="00715135" w:rsidP="006566D2">
      <w:pPr>
        <w:pStyle w:val="ONUMFS"/>
        <w:rPr>
          <w:lang w:val="fr-FR"/>
        </w:rPr>
      </w:pPr>
      <w:r w:rsidRPr="00A75276">
        <w:rPr>
          <w:lang w:val="fr-FR"/>
        </w:rPr>
        <w:t xml:space="preserve">Plusieurs administrations ont déclaré que le projet de formulaire de </w:t>
      </w:r>
      <w:r w:rsidR="000B1915" w:rsidRPr="00A75276">
        <w:rPr>
          <w:lang w:val="fr-FR"/>
        </w:rPr>
        <w:t>candidature</w:t>
      </w:r>
      <w:r w:rsidRPr="00A75276">
        <w:rPr>
          <w:lang w:val="fr-FR"/>
        </w:rPr>
        <w:t xml:space="preserve"> fournirait des informations supplémentaires précieuses au Comité de coopération technique</w:t>
      </w:r>
      <w:r w:rsidR="002E5DCA" w:rsidRPr="00A75276">
        <w:rPr>
          <w:lang w:val="fr-FR"/>
        </w:rPr>
        <w:t xml:space="preserve"> du PCT</w:t>
      </w:r>
      <w:r w:rsidRPr="00A75276">
        <w:rPr>
          <w:lang w:val="fr-FR"/>
        </w:rPr>
        <w:t xml:space="preserve"> (CTC) et ont suggéré des améliorations à apporter à ce formulai</w:t>
      </w:r>
      <w:r w:rsidR="00A16C85" w:rsidRPr="00A75276">
        <w:rPr>
          <w:lang w:val="fr-FR"/>
        </w:rPr>
        <w:t>re.  Il</w:t>
      </w:r>
      <w:r w:rsidR="006566D2" w:rsidRPr="00A75276">
        <w:rPr>
          <w:lang w:val="fr-FR"/>
        </w:rPr>
        <w:t xml:space="preserve"> s</w:t>
      </w:r>
      <w:r w:rsidR="009C53EC" w:rsidRPr="00A75276">
        <w:rPr>
          <w:lang w:val="fr-FR"/>
        </w:rPr>
        <w:t>’</w:t>
      </w:r>
      <w:r w:rsidR="006566D2" w:rsidRPr="00A75276">
        <w:rPr>
          <w:lang w:val="fr-FR"/>
        </w:rPr>
        <w:t>agissait notamment de supprimer la distinction entre les sections obligatoires et les sections facultatives du formulaire, de prévoir une exigences selon laquelle un office candidat devrait prouver la qualité de son travail dans la phase nationale, par exemple en illustrant la qualité de la recherche en comparant des demandes pour des membres de la même famille de brevets à d</w:t>
      </w:r>
      <w:r w:rsidR="009C53EC" w:rsidRPr="00A75276">
        <w:rPr>
          <w:lang w:val="fr-FR"/>
        </w:rPr>
        <w:t>’</w:t>
      </w:r>
      <w:r w:rsidR="006566D2" w:rsidRPr="00A75276">
        <w:rPr>
          <w:lang w:val="fr-FR"/>
        </w:rPr>
        <w:t>autres offices, de partager les résultats de la revue interne de la qualité effectuée par l</w:t>
      </w:r>
      <w:r w:rsidR="009C53EC" w:rsidRPr="00A75276">
        <w:rPr>
          <w:lang w:val="fr-FR"/>
        </w:rPr>
        <w:t>’</w:t>
      </w:r>
      <w:r w:rsidR="006566D2" w:rsidRPr="00A75276">
        <w:rPr>
          <w:lang w:val="fr-FR"/>
        </w:rPr>
        <w:t>office, d</w:t>
      </w:r>
      <w:r w:rsidR="009C53EC" w:rsidRPr="00A75276">
        <w:rPr>
          <w:lang w:val="fr-FR"/>
        </w:rPr>
        <w:t>’</w:t>
      </w:r>
      <w:r w:rsidR="006566D2" w:rsidRPr="00A75276">
        <w:rPr>
          <w:lang w:val="fr-FR"/>
        </w:rPr>
        <w:t>ajouter d</w:t>
      </w:r>
      <w:r w:rsidR="009C53EC" w:rsidRPr="00A75276">
        <w:rPr>
          <w:lang w:val="fr-FR"/>
        </w:rPr>
        <w:t>’</w:t>
      </w:r>
      <w:r w:rsidR="006566D2" w:rsidRPr="00A75276">
        <w:rPr>
          <w:lang w:val="fr-FR"/>
        </w:rPr>
        <w:t>autres points à la section</w:t>
      </w:r>
      <w:r w:rsidR="00432F5D" w:rsidRPr="00A75276">
        <w:rPr>
          <w:lang w:val="fr-FR"/>
        </w:rPr>
        <w:t> </w:t>
      </w:r>
      <w:r w:rsidR="006566D2" w:rsidRPr="00A75276">
        <w:rPr>
          <w:lang w:val="fr-FR"/>
        </w:rPr>
        <w:t>2.2 pour prouver que l</w:t>
      </w:r>
      <w:r w:rsidR="009C53EC" w:rsidRPr="00A75276">
        <w:rPr>
          <w:lang w:val="fr-FR"/>
        </w:rPr>
        <w:t>’</w:t>
      </w:r>
      <w:r w:rsidR="006566D2" w:rsidRPr="00A75276">
        <w:rPr>
          <w:lang w:val="fr-FR"/>
        </w:rPr>
        <w:t>office candidat avait un système de gestion de la qualité en place, et de préciser la signification de l</w:t>
      </w:r>
      <w:r w:rsidR="009C53EC" w:rsidRPr="00A75276">
        <w:rPr>
          <w:lang w:val="fr-FR"/>
        </w:rPr>
        <w:t>’</w:t>
      </w:r>
      <w:r w:rsidR="006566D2" w:rsidRPr="00A75276">
        <w:rPr>
          <w:lang w:val="fr-FR"/>
        </w:rPr>
        <w:t xml:space="preserve">expression </w:t>
      </w:r>
      <w:r w:rsidR="00E874A5" w:rsidRPr="00A75276">
        <w:rPr>
          <w:lang w:val="fr-FR"/>
        </w:rPr>
        <w:t>“</w:t>
      </w:r>
      <w:r w:rsidR="006566D2" w:rsidRPr="00A75276">
        <w:rPr>
          <w:lang w:val="fr-FR"/>
        </w:rPr>
        <w:t>qualifications techniques requises</w:t>
      </w:r>
      <w:r w:rsidR="00E874A5" w:rsidRPr="00A75276">
        <w:rPr>
          <w:lang w:val="fr-FR"/>
        </w:rPr>
        <w:t>”</w:t>
      </w:r>
      <w:r w:rsidR="006566D2" w:rsidRPr="00A75276">
        <w:rPr>
          <w:lang w:val="fr-FR"/>
        </w:rPr>
        <w:t>.</w:t>
      </w:r>
    </w:p>
    <w:p w:rsidR="00715135" w:rsidRPr="00A75276" w:rsidRDefault="006566D2" w:rsidP="00476B90">
      <w:pPr>
        <w:pStyle w:val="ONUMFS"/>
        <w:rPr>
          <w:lang w:val="fr-FR"/>
        </w:rPr>
      </w:pPr>
      <w:r w:rsidRPr="00A75276">
        <w:rPr>
          <w:lang w:val="fr-FR"/>
        </w:rPr>
        <w:t>D</w:t>
      </w:r>
      <w:r w:rsidR="009C53EC" w:rsidRPr="00A75276">
        <w:rPr>
          <w:lang w:val="fr-FR"/>
        </w:rPr>
        <w:t>’</w:t>
      </w:r>
      <w:r w:rsidRPr="00A75276">
        <w:rPr>
          <w:lang w:val="fr-FR"/>
        </w:rPr>
        <w:t>autres administrations, tout en appuyant d</w:t>
      </w:r>
      <w:r w:rsidR="009C53EC" w:rsidRPr="00A75276">
        <w:rPr>
          <w:lang w:val="fr-FR"/>
        </w:rPr>
        <w:t>’</w:t>
      </w:r>
      <w:r w:rsidRPr="00A75276">
        <w:rPr>
          <w:lang w:val="fr-FR"/>
        </w:rPr>
        <w:t>une manière générale la création d</w:t>
      </w:r>
      <w:r w:rsidR="009C53EC" w:rsidRPr="00A75276">
        <w:rPr>
          <w:lang w:val="fr-FR"/>
        </w:rPr>
        <w:t>’</w:t>
      </w:r>
      <w:r w:rsidRPr="00A75276">
        <w:rPr>
          <w:lang w:val="fr-FR"/>
        </w:rPr>
        <w:t>un format normalisé pour permettre aux offices demandant leur nomination en qualité d</w:t>
      </w:r>
      <w:r w:rsidR="009C53EC" w:rsidRPr="00A75276">
        <w:rPr>
          <w:lang w:val="fr-FR"/>
        </w:rPr>
        <w:t>’</w:t>
      </w:r>
      <w:r w:rsidRPr="00A75276">
        <w:rPr>
          <w:lang w:val="fr-FR"/>
        </w:rPr>
        <w:t>administrations internationales de soumettre les informations requises au Comité de coopération technique</w:t>
      </w:r>
      <w:r w:rsidR="002E5DCA" w:rsidRPr="00A75276">
        <w:rPr>
          <w:lang w:val="fr-FR"/>
        </w:rPr>
        <w:t xml:space="preserve"> du PCT</w:t>
      </w:r>
      <w:r w:rsidRPr="00A75276">
        <w:rPr>
          <w:lang w:val="fr-FR"/>
        </w:rPr>
        <w:t xml:space="preserve">, ont </w:t>
      </w:r>
      <w:r w:rsidR="00BB056C" w:rsidRPr="00A75276">
        <w:rPr>
          <w:lang w:val="fr-FR"/>
        </w:rPr>
        <w:t>estimé</w:t>
      </w:r>
      <w:r w:rsidRPr="00A75276">
        <w:rPr>
          <w:lang w:val="fr-FR"/>
        </w:rPr>
        <w:t xml:space="preserve"> que le formulaire ne devrait pas exiger des informations allant au</w:t>
      </w:r>
      <w:r w:rsidR="00A16C85" w:rsidRPr="00A75276">
        <w:rPr>
          <w:lang w:val="fr-FR"/>
        </w:rPr>
        <w:noBreakHyphen/>
      </w:r>
      <w:r w:rsidRPr="00A75276">
        <w:rPr>
          <w:lang w:val="fr-FR"/>
        </w:rPr>
        <w:t>delà des exigences minimales énoncées aux règles</w:t>
      </w:r>
      <w:r w:rsidR="00432F5D" w:rsidRPr="00A75276">
        <w:rPr>
          <w:lang w:val="fr-FR"/>
        </w:rPr>
        <w:t> </w:t>
      </w:r>
      <w:r w:rsidRPr="00A75276">
        <w:rPr>
          <w:lang w:val="fr-FR"/>
        </w:rPr>
        <w:t>36 et 63 et dans l</w:t>
      </w:r>
      <w:r w:rsidR="009C53EC" w:rsidRPr="00A75276">
        <w:rPr>
          <w:lang w:val="fr-FR"/>
        </w:rPr>
        <w:t>’</w:t>
      </w:r>
      <w:r w:rsidRPr="00A75276">
        <w:rPr>
          <w:lang w:val="fr-FR"/>
        </w:rPr>
        <w:t>accord de principe sur les procédures de nomination des administrations internationales adopté par l</w:t>
      </w:r>
      <w:r w:rsidR="009C53EC" w:rsidRPr="00A75276">
        <w:rPr>
          <w:lang w:val="fr-FR"/>
        </w:rPr>
        <w:t>’</w:t>
      </w:r>
      <w:r w:rsidRPr="00A75276">
        <w:rPr>
          <w:lang w:val="fr-FR"/>
        </w:rPr>
        <w:t>Assemblée de l</w:t>
      </w:r>
      <w:r w:rsidR="009C53EC" w:rsidRPr="00A75276">
        <w:rPr>
          <w:lang w:val="fr-FR"/>
        </w:rPr>
        <w:t>’</w:t>
      </w:r>
      <w:r w:rsidRPr="00A75276">
        <w:rPr>
          <w:lang w:val="fr-FR"/>
        </w:rPr>
        <w:t>Union</w:t>
      </w:r>
      <w:r w:rsidR="002E5DCA" w:rsidRPr="00A75276">
        <w:rPr>
          <w:lang w:val="fr-FR"/>
        </w:rPr>
        <w:t xml:space="preserve"> du PCT</w:t>
      </w:r>
      <w:r w:rsidRPr="00A75276">
        <w:rPr>
          <w:lang w:val="fr-FR"/>
        </w:rPr>
        <w:t xml:space="preserve"> en</w:t>
      </w:r>
      <w:r w:rsidR="00432F5D" w:rsidRPr="00A75276">
        <w:rPr>
          <w:lang w:val="fr-FR"/>
        </w:rPr>
        <w:t> </w:t>
      </w:r>
      <w:r w:rsidRPr="00A75276">
        <w:rPr>
          <w:lang w:val="fr-FR"/>
        </w:rPr>
        <w:t>2014.</w:t>
      </w:r>
      <w:r w:rsidR="001A5167" w:rsidRPr="00A75276">
        <w:rPr>
          <w:lang w:val="fr-FR"/>
        </w:rPr>
        <w:t xml:space="preserve">  </w:t>
      </w:r>
      <w:r w:rsidRPr="00A75276">
        <w:rPr>
          <w:lang w:val="fr-FR"/>
        </w:rPr>
        <w:t>L</w:t>
      </w:r>
      <w:r w:rsidR="009C53EC" w:rsidRPr="00A75276">
        <w:rPr>
          <w:lang w:val="fr-FR"/>
        </w:rPr>
        <w:t>’</w:t>
      </w:r>
      <w:r w:rsidRPr="00A75276">
        <w:rPr>
          <w:lang w:val="fr-FR"/>
        </w:rPr>
        <w:t>une de ces administrations a exprimé de</w:t>
      </w:r>
      <w:r w:rsidR="000B1915" w:rsidRPr="00A75276">
        <w:rPr>
          <w:lang w:val="fr-FR"/>
        </w:rPr>
        <w:t>s</w:t>
      </w:r>
      <w:r w:rsidRPr="00A75276">
        <w:rPr>
          <w:lang w:val="fr-FR"/>
        </w:rPr>
        <w:t xml:space="preserve"> préoccupations quant au fait que les informations demandées sur le nombre de demandes nationales reçues, les </w:t>
      </w:r>
      <w:r w:rsidRPr="00A75276">
        <w:rPr>
          <w:lang w:val="fr-FR"/>
        </w:rPr>
        <w:lastRenderedPageBreak/>
        <w:t>domaines techniques auxquels elles se rapportaient et le nombre de demandes en souffrance dans la phase nationale ne soient difficiles à fournir par les offices candida</w:t>
      </w:r>
      <w:r w:rsidR="00A16C85" w:rsidRPr="00A75276">
        <w:rPr>
          <w:lang w:val="fr-FR"/>
        </w:rPr>
        <w:t>ts.  Le</w:t>
      </w:r>
      <w:r w:rsidR="008D5CBB" w:rsidRPr="00A75276">
        <w:rPr>
          <w:lang w:val="fr-FR"/>
        </w:rPr>
        <w:t>s informations demandées devraient être davantage liées aux exigences selon lesquelles une administration doit disposer de ressources suffisantes pour répondre aux exigences énoncées au chapitre</w:t>
      </w:r>
      <w:r w:rsidR="00432F5D" w:rsidRPr="00A75276">
        <w:rPr>
          <w:lang w:val="fr-FR"/>
        </w:rPr>
        <w:t> </w:t>
      </w:r>
      <w:r w:rsidR="008D5CBB" w:rsidRPr="00A75276">
        <w:rPr>
          <w:lang w:val="fr-FR"/>
        </w:rPr>
        <w:t>21 des directives concernant la recherche internationale et l</w:t>
      </w:r>
      <w:r w:rsidR="009C53EC" w:rsidRPr="00A75276">
        <w:rPr>
          <w:lang w:val="fr-FR"/>
        </w:rPr>
        <w:t>’</w:t>
      </w:r>
      <w:r w:rsidR="008D5CBB" w:rsidRPr="00A75276">
        <w:rPr>
          <w:lang w:val="fr-FR"/>
        </w:rPr>
        <w:t>examen préliminaire internation</w:t>
      </w:r>
      <w:r w:rsidR="00A16C85" w:rsidRPr="00A75276">
        <w:rPr>
          <w:lang w:val="fr-FR"/>
        </w:rPr>
        <w:t>al.  Un</w:t>
      </w:r>
      <w:r w:rsidR="008D5CBB" w:rsidRPr="00A75276">
        <w:rPr>
          <w:lang w:val="fr-FR"/>
        </w:rPr>
        <w:t>e autre administration a déclaré que le formulaire de demande ne devrait pas s</w:t>
      </w:r>
      <w:r w:rsidR="009C53EC" w:rsidRPr="00A75276">
        <w:rPr>
          <w:lang w:val="fr-FR"/>
        </w:rPr>
        <w:t>’</w:t>
      </w:r>
      <w:r w:rsidR="008D5CBB" w:rsidRPr="00A75276">
        <w:rPr>
          <w:lang w:val="fr-FR"/>
        </w:rPr>
        <w:t>appliquer au renouvellement de la nomination des administrations existant</w:t>
      </w:r>
      <w:r w:rsidR="00A16C85" w:rsidRPr="00A75276">
        <w:rPr>
          <w:lang w:val="fr-FR"/>
        </w:rPr>
        <w:t>es.  Le</w:t>
      </w:r>
      <w:r w:rsidR="00476B90" w:rsidRPr="00A75276">
        <w:rPr>
          <w:lang w:val="fr-FR"/>
        </w:rPr>
        <w:t xml:space="preserve"> Bureau international a suggéré que le fait de ne pas appliquer le formulaire aux renouvellements futurs risquait de créer </w:t>
      </w:r>
      <w:r w:rsidR="001635B1" w:rsidRPr="00A75276">
        <w:rPr>
          <w:lang w:val="fr-FR"/>
        </w:rPr>
        <w:t>des inégalités de</w:t>
      </w:r>
      <w:r w:rsidR="00476B90" w:rsidRPr="00A75276">
        <w:rPr>
          <w:lang w:val="fr-FR"/>
        </w:rPr>
        <w:t xml:space="preserve"> traitement, même si le processus de renouvellement imminent ne serait sans doute pas touché.</w:t>
      </w:r>
    </w:p>
    <w:p w:rsidR="00715135" w:rsidRPr="00A75276" w:rsidRDefault="00476B90" w:rsidP="00476B90">
      <w:pPr>
        <w:pStyle w:val="ONUMFS"/>
        <w:rPr>
          <w:lang w:val="fr-FR"/>
        </w:rPr>
      </w:pPr>
      <w:r w:rsidRPr="00A75276">
        <w:rPr>
          <w:lang w:val="fr-FR"/>
        </w:rPr>
        <w:t xml:space="preserve">Une administration a indiqué que les informations </w:t>
      </w:r>
      <w:r w:rsidR="001635B1" w:rsidRPr="00A75276">
        <w:rPr>
          <w:lang w:val="fr-FR"/>
        </w:rPr>
        <w:t>relatives au</w:t>
      </w:r>
      <w:r w:rsidRPr="00A75276">
        <w:rPr>
          <w:lang w:val="fr-FR"/>
        </w:rPr>
        <w:t xml:space="preserve"> nombre de demandes nationales en attente de traitement pouvaient donner une image trompeuse, ajoutant que, dans son cas, ce chiffre n</w:t>
      </w:r>
      <w:r w:rsidR="009C53EC" w:rsidRPr="00A75276">
        <w:rPr>
          <w:lang w:val="fr-FR"/>
        </w:rPr>
        <w:t>’</w:t>
      </w:r>
      <w:r w:rsidRPr="00A75276">
        <w:rPr>
          <w:lang w:val="fr-FR"/>
        </w:rPr>
        <w:t>empêchait pas l</w:t>
      </w:r>
      <w:r w:rsidR="009C53EC" w:rsidRPr="00A75276">
        <w:rPr>
          <w:lang w:val="fr-FR"/>
        </w:rPr>
        <w:t>’</w:t>
      </w:r>
      <w:r w:rsidRPr="00A75276">
        <w:rPr>
          <w:lang w:val="fr-FR"/>
        </w:rPr>
        <w:t>établissement des produits de la recherche internationale dans les délais impartis.</w:t>
      </w:r>
    </w:p>
    <w:p w:rsidR="00715135" w:rsidRPr="00A75276" w:rsidRDefault="00476B90" w:rsidP="00CD4D36">
      <w:pPr>
        <w:pStyle w:val="ONUMFS"/>
        <w:rPr>
          <w:lang w:val="fr-FR"/>
        </w:rPr>
      </w:pPr>
      <w:r w:rsidRPr="00A75276">
        <w:rPr>
          <w:lang w:val="fr-FR"/>
        </w:rPr>
        <w:t>Le Bureau international a rappelé au sous</w:t>
      </w:r>
      <w:r w:rsidR="00A16C85" w:rsidRPr="00A75276">
        <w:rPr>
          <w:lang w:val="fr-FR"/>
        </w:rPr>
        <w:noBreakHyphen/>
      </w:r>
      <w:r w:rsidRPr="00A75276">
        <w:rPr>
          <w:lang w:val="fr-FR"/>
        </w:rPr>
        <w:t>groupe que l</w:t>
      </w:r>
      <w:r w:rsidR="009C53EC" w:rsidRPr="00A75276">
        <w:rPr>
          <w:lang w:val="fr-FR"/>
        </w:rPr>
        <w:t>’</w:t>
      </w:r>
      <w:r w:rsidRPr="00A75276">
        <w:rPr>
          <w:lang w:val="fr-FR"/>
        </w:rPr>
        <w:t xml:space="preserve">un des principaux objectifs du formulaire était de faciliter le processus </w:t>
      </w:r>
      <w:r w:rsidR="001635B1" w:rsidRPr="00A75276">
        <w:rPr>
          <w:lang w:val="fr-FR"/>
        </w:rPr>
        <w:t xml:space="preserve">de candidature </w:t>
      </w:r>
      <w:r w:rsidRPr="00A75276">
        <w:rPr>
          <w:lang w:val="fr-FR"/>
        </w:rPr>
        <w:t>pour les offic</w:t>
      </w:r>
      <w:r w:rsidR="00A16C85" w:rsidRPr="00A75276">
        <w:rPr>
          <w:lang w:val="fr-FR"/>
        </w:rPr>
        <w:t>es.  Il</w:t>
      </w:r>
      <w:r w:rsidRPr="00A75276">
        <w:rPr>
          <w:lang w:val="fr-FR"/>
        </w:rPr>
        <w:t xml:space="preserve"> s</w:t>
      </w:r>
      <w:r w:rsidR="009C53EC" w:rsidRPr="00A75276">
        <w:rPr>
          <w:lang w:val="fr-FR"/>
        </w:rPr>
        <w:t>’</w:t>
      </w:r>
      <w:r w:rsidRPr="00A75276">
        <w:rPr>
          <w:lang w:val="fr-FR"/>
        </w:rPr>
        <w:t>agissait de s</w:t>
      </w:r>
      <w:r w:rsidR="009C53EC" w:rsidRPr="00A75276">
        <w:rPr>
          <w:lang w:val="fr-FR"/>
        </w:rPr>
        <w:t>’</w:t>
      </w:r>
      <w:r w:rsidRPr="00A75276">
        <w:rPr>
          <w:lang w:val="fr-FR"/>
        </w:rPr>
        <w:t>assurer que les questions susceptibles d</w:t>
      </w:r>
      <w:r w:rsidR="009C53EC" w:rsidRPr="00A75276">
        <w:rPr>
          <w:lang w:val="fr-FR"/>
        </w:rPr>
        <w:t>’</w:t>
      </w:r>
      <w:r w:rsidRPr="00A75276">
        <w:rPr>
          <w:lang w:val="fr-FR"/>
        </w:rPr>
        <w:t>intéresser le Comité de coopération technique</w:t>
      </w:r>
      <w:r w:rsidR="002E5DCA" w:rsidRPr="00A75276">
        <w:rPr>
          <w:lang w:val="fr-FR"/>
        </w:rPr>
        <w:t xml:space="preserve"> du PCT</w:t>
      </w:r>
      <w:r w:rsidRPr="00A75276">
        <w:rPr>
          <w:lang w:val="fr-FR"/>
        </w:rPr>
        <w:t xml:space="preserve"> pour rendre son avis à l</w:t>
      </w:r>
      <w:r w:rsidR="009C53EC" w:rsidRPr="00A75276">
        <w:rPr>
          <w:lang w:val="fr-FR"/>
        </w:rPr>
        <w:t>’</w:t>
      </w:r>
      <w:r w:rsidRPr="00A75276">
        <w:rPr>
          <w:lang w:val="fr-FR"/>
        </w:rPr>
        <w:t>assemblée étaient dûment prises en considération par l</w:t>
      </w:r>
      <w:r w:rsidR="009C53EC" w:rsidRPr="00A75276">
        <w:rPr>
          <w:lang w:val="fr-FR"/>
        </w:rPr>
        <w:t>’</w:t>
      </w:r>
      <w:r w:rsidRPr="00A75276">
        <w:rPr>
          <w:lang w:val="fr-FR"/>
        </w:rPr>
        <w:t>office candid</w:t>
      </w:r>
      <w:r w:rsidR="00A16C85" w:rsidRPr="00A75276">
        <w:rPr>
          <w:lang w:val="fr-FR"/>
        </w:rPr>
        <w:t>at.  Il</w:t>
      </w:r>
      <w:r w:rsidRPr="00A75276">
        <w:rPr>
          <w:lang w:val="fr-FR"/>
        </w:rPr>
        <w:t xml:space="preserve"> n</w:t>
      </w:r>
      <w:r w:rsidR="009C53EC" w:rsidRPr="00A75276">
        <w:rPr>
          <w:lang w:val="fr-FR"/>
        </w:rPr>
        <w:t>’</w:t>
      </w:r>
      <w:r w:rsidRPr="00A75276">
        <w:rPr>
          <w:lang w:val="fr-FR"/>
        </w:rPr>
        <w:t>était pas obligatoire de communiquer des informations allant au</w:t>
      </w:r>
      <w:r w:rsidR="00A16C85" w:rsidRPr="00A75276">
        <w:rPr>
          <w:lang w:val="fr-FR"/>
        </w:rPr>
        <w:noBreakHyphen/>
      </w:r>
      <w:r w:rsidRPr="00A75276">
        <w:rPr>
          <w:lang w:val="fr-FR"/>
        </w:rPr>
        <w:t xml:space="preserve">delà des exigences minimales pour la nomination, mais il était important que les offices sachent quelles informations </w:t>
      </w:r>
      <w:r w:rsidR="00BB056C" w:rsidRPr="00A75276">
        <w:rPr>
          <w:lang w:val="fr-FR"/>
        </w:rPr>
        <w:t>supplémentaires</w:t>
      </w:r>
      <w:r w:rsidRPr="00A75276">
        <w:rPr>
          <w:lang w:val="fr-FR"/>
        </w:rPr>
        <w:t xml:space="preserve"> intéressant le Comité de coopération technique</w:t>
      </w:r>
      <w:r w:rsidR="002E5DCA" w:rsidRPr="00A75276">
        <w:rPr>
          <w:lang w:val="fr-FR"/>
        </w:rPr>
        <w:t xml:space="preserve"> du PCT</w:t>
      </w:r>
      <w:r w:rsidRPr="00A75276">
        <w:rPr>
          <w:lang w:val="fr-FR"/>
        </w:rPr>
        <w:t xml:space="preserve"> pouvaient être fourni</w:t>
      </w:r>
      <w:r w:rsidR="00A16C85" w:rsidRPr="00A75276">
        <w:rPr>
          <w:lang w:val="fr-FR"/>
        </w:rPr>
        <w:t>es.  To</w:t>
      </w:r>
      <w:r w:rsidR="00CD4D36" w:rsidRPr="00A75276">
        <w:rPr>
          <w:lang w:val="fr-FR"/>
        </w:rPr>
        <w:t>utefois, compte tenu de l</w:t>
      </w:r>
      <w:r w:rsidR="009C53EC" w:rsidRPr="00A75276">
        <w:rPr>
          <w:lang w:val="fr-FR"/>
        </w:rPr>
        <w:t>’</w:t>
      </w:r>
      <w:r w:rsidR="00CD4D36" w:rsidRPr="00A75276">
        <w:rPr>
          <w:lang w:val="fr-FR"/>
        </w:rPr>
        <w:t xml:space="preserve">absence de consensus sur la teneur éventuelle du formulaire de </w:t>
      </w:r>
      <w:r w:rsidR="00C914F3" w:rsidRPr="00A75276">
        <w:rPr>
          <w:lang w:val="fr-FR"/>
        </w:rPr>
        <w:t>candidature</w:t>
      </w:r>
      <w:r w:rsidR="00CD4D36" w:rsidRPr="00A75276">
        <w:rPr>
          <w:lang w:val="fr-FR"/>
        </w:rPr>
        <w:t xml:space="preserve"> type, il ne semblait pas possible à ce stade de soumettre le projet de formulaire au Groupe de travail</w:t>
      </w:r>
      <w:r w:rsidR="002E5DCA" w:rsidRPr="00A75276">
        <w:rPr>
          <w:lang w:val="fr-FR"/>
        </w:rPr>
        <w:t xml:space="preserve"> du PCT</w:t>
      </w:r>
      <w:r w:rsidR="00CD4D36" w:rsidRPr="00A75276">
        <w:rPr>
          <w:lang w:val="fr-FR"/>
        </w:rPr>
        <w:t xml:space="preserve"> ou au Comité de coopération technique</w:t>
      </w:r>
      <w:r w:rsidR="002E5DCA" w:rsidRPr="00A75276">
        <w:rPr>
          <w:lang w:val="fr-FR"/>
        </w:rPr>
        <w:t xml:space="preserve"> du PCT</w:t>
      </w:r>
      <w:r w:rsidR="00CD4D36" w:rsidRPr="00A75276">
        <w:rPr>
          <w:lang w:val="fr-FR"/>
        </w:rPr>
        <w:t xml:space="preserve"> pour complément d</w:t>
      </w:r>
      <w:r w:rsidR="009C53EC" w:rsidRPr="00A75276">
        <w:rPr>
          <w:lang w:val="fr-FR"/>
        </w:rPr>
        <w:t>’</w:t>
      </w:r>
      <w:r w:rsidR="00CD4D36" w:rsidRPr="00A75276">
        <w:rPr>
          <w:lang w:val="fr-FR"/>
        </w:rPr>
        <w:t>examen.</w:t>
      </w:r>
    </w:p>
    <w:p w:rsidR="002E5DCA" w:rsidRPr="00A75276" w:rsidRDefault="00CD4D36" w:rsidP="00CD4D36">
      <w:pPr>
        <w:pStyle w:val="ONUMFS"/>
        <w:ind w:left="567"/>
        <w:rPr>
          <w:lang w:val="fr-FR"/>
        </w:rPr>
      </w:pPr>
      <w:r w:rsidRPr="00A75276">
        <w:rPr>
          <w:lang w:val="fr-FR"/>
        </w:rPr>
        <w:t>Le sous</w:t>
      </w:r>
      <w:r w:rsidR="00A16C85" w:rsidRPr="00A75276">
        <w:rPr>
          <w:lang w:val="fr-FR"/>
        </w:rPr>
        <w:noBreakHyphen/>
      </w:r>
      <w:r w:rsidRPr="00A75276">
        <w:rPr>
          <w:lang w:val="fr-FR"/>
        </w:rPr>
        <w:t>groupe a recommandé de poursuivre les discussions sur son forum électronique en vue d</w:t>
      </w:r>
      <w:r w:rsidR="009C53EC" w:rsidRPr="00A75276">
        <w:rPr>
          <w:lang w:val="fr-FR"/>
        </w:rPr>
        <w:t>’</w:t>
      </w:r>
      <w:r w:rsidRPr="00A75276">
        <w:rPr>
          <w:lang w:val="fr-FR"/>
        </w:rPr>
        <w:t>examiner un formulaire révisé à sa session de</w:t>
      </w:r>
      <w:r w:rsidR="00432F5D" w:rsidRPr="00A75276">
        <w:rPr>
          <w:lang w:val="fr-FR"/>
        </w:rPr>
        <w:t> </w:t>
      </w:r>
      <w:r w:rsidRPr="00A75276">
        <w:rPr>
          <w:lang w:val="fr-FR"/>
        </w:rPr>
        <w:t>2017.</w:t>
      </w:r>
    </w:p>
    <w:p w:rsidR="00715135" w:rsidRPr="00A75276" w:rsidRDefault="003B0A39" w:rsidP="003B0A39">
      <w:pPr>
        <w:pStyle w:val="Heading1"/>
        <w:rPr>
          <w:lang w:val="fr-FR"/>
        </w:rPr>
      </w:pPr>
      <w:r w:rsidRPr="00A75276">
        <w:rPr>
          <w:lang w:val="fr-FR"/>
        </w:rPr>
        <w:t>6.</w:t>
      </w:r>
      <w:r w:rsidRPr="00A75276">
        <w:rPr>
          <w:b w:val="0"/>
          <w:lang w:val="fr-FR"/>
        </w:rPr>
        <w:tab/>
      </w:r>
      <w:r w:rsidRPr="00A75276">
        <w:rPr>
          <w:lang w:val="fr-FR"/>
        </w:rPr>
        <w:t>Autres idées pour améliorer la qualité</w:t>
      </w:r>
    </w:p>
    <w:p w:rsidR="00715135" w:rsidRPr="00A75276" w:rsidRDefault="003B0A39" w:rsidP="003B0A39">
      <w:pPr>
        <w:pStyle w:val="ONUMFS"/>
        <w:rPr>
          <w:lang w:val="fr-FR"/>
        </w:rPr>
      </w:pPr>
      <w:r w:rsidRPr="00A75276">
        <w:rPr>
          <w:lang w:val="fr-FR"/>
        </w:rPr>
        <w:t>Aucune administration n</w:t>
      </w:r>
      <w:r w:rsidR="009C53EC" w:rsidRPr="00A75276">
        <w:rPr>
          <w:lang w:val="fr-FR"/>
        </w:rPr>
        <w:t>’</w:t>
      </w:r>
      <w:r w:rsidRPr="00A75276">
        <w:rPr>
          <w:lang w:val="fr-FR"/>
        </w:rPr>
        <w:t>est intervenue sur ce point de l</w:t>
      </w:r>
      <w:r w:rsidR="009C53EC" w:rsidRPr="00A75276">
        <w:rPr>
          <w:lang w:val="fr-FR"/>
        </w:rPr>
        <w:t>’</w:t>
      </w:r>
      <w:r w:rsidRPr="00A75276">
        <w:rPr>
          <w:lang w:val="fr-FR"/>
        </w:rPr>
        <w:t>ordre du jour.</w:t>
      </w:r>
    </w:p>
    <w:p w:rsidR="00715135" w:rsidRPr="00A75276" w:rsidRDefault="00715135" w:rsidP="00A9298C">
      <w:pPr>
        <w:pStyle w:val="Endofdocument-Annex"/>
        <w:rPr>
          <w:lang w:val="fr-FR"/>
        </w:rPr>
      </w:pPr>
    </w:p>
    <w:p w:rsidR="00715135" w:rsidRPr="00A75276" w:rsidRDefault="00715135" w:rsidP="00A9298C">
      <w:pPr>
        <w:pStyle w:val="Endofdocument-Annex"/>
        <w:rPr>
          <w:lang w:val="fr-FR"/>
        </w:rPr>
      </w:pPr>
      <w:bookmarkStart w:id="6" w:name="_GoBack"/>
      <w:bookmarkEnd w:id="6"/>
    </w:p>
    <w:p w:rsidR="00715135" w:rsidRPr="00A75276" w:rsidRDefault="001A5167" w:rsidP="00A9298C">
      <w:pPr>
        <w:pStyle w:val="Endofdocument-Annex"/>
        <w:rPr>
          <w:lang w:val="fr-FR"/>
        </w:rPr>
      </w:pPr>
      <w:r w:rsidRPr="00A75276">
        <w:rPr>
          <w:lang w:val="fr-FR"/>
        </w:rPr>
        <w:t>[</w:t>
      </w:r>
      <w:r w:rsidR="00A9298C" w:rsidRPr="00A75276">
        <w:rPr>
          <w:lang w:val="fr-FR"/>
        </w:rPr>
        <w:t>Fin</w:t>
      </w:r>
      <w:r w:rsidRPr="00A75276">
        <w:rPr>
          <w:lang w:val="fr-FR"/>
        </w:rPr>
        <w:t xml:space="preserve"> </w:t>
      </w:r>
      <w:r w:rsidR="00A9298C" w:rsidRPr="00A75276">
        <w:rPr>
          <w:lang w:val="fr-FR"/>
        </w:rPr>
        <w:t>de l</w:t>
      </w:r>
      <w:r w:rsidR="009C53EC" w:rsidRPr="00A75276">
        <w:rPr>
          <w:lang w:val="fr-FR"/>
        </w:rPr>
        <w:t>’</w:t>
      </w:r>
      <w:r w:rsidR="00A9298C" w:rsidRPr="00A75276">
        <w:rPr>
          <w:lang w:val="fr-FR"/>
        </w:rPr>
        <w:t>a</w:t>
      </w:r>
      <w:r w:rsidRPr="00A75276">
        <w:rPr>
          <w:lang w:val="fr-FR"/>
        </w:rPr>
        <w:t>nnex</w:t>
      </w:r>
      <w:r w:rsidR="00A9298C" w:rsidRPr="00A75276">
        <w:rPr>
          <w:lang w:val="fr-FR"/>
        </w:rPr>
        <w:t>e et du</w:t>
      </w:r>
      <w:r w:rsidRPr="00A75276">
        <w:rPr>
          <w:lang w:val="fr-FR"/>
        </w:rPr>
        <w:t xml:space="preserve"> document]</w:t>
      </w:r>
    </w:p>
    <w:p w:rsidR="00715135" w:rsidRPr="00A75276" w:rsidRDefault="00715135" w:rsidP="0026509A">
      <w:pPr>
        <w:pStyle w:val="Endofdocument-Annex"/>
        <w:ind w:left="0"/>
        <w:rPr>
          <w:lang w:val="fr-FR"/>
        </w:rPr>
      </w:pPr>
    </w:p>
    <w:p w:rsidR="00715135" w:rsidRPr="00A75276" w:rsidRDefault="00715135" w:rsidP="0026509A">
      <w:pPr>
        <w:pStyle w:val="Endofdocument-Annex"/>
        <w:ind w:left="0"/>
        <w:rPr>
          <w:lang w:val="fr-FR"/>
        </w:rPr>
      </w:pPr>
    </w:p>
    <w:p w:rsidR="003B0A39" w:rsidRPr="00A75276" w:rsidRDefault="003B0A39" w:rsidP="0026509A">
      <w:pPr>
        <w:pStyle w:val="Endofdocument-Annex"/>
        <w:ind w:left="0"/>
        <w:rPr>
          <w:lang w:val="fr-FR"/>
        </w:rPr>
      </w:pPr>
    </w:p>
    <w:sectPr w:rsidR="003B0A39" w:rsidRPr="00A75276" w:rsidSect="0081387F">
      <w:headerReference w:type="default" r:id="rId15"/>
      <w:head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C85" w:rsidRDefault="00A16C85">
      <w:r>
        <w:separator/>
      </w:r>
    </w:p>
  </w:endnote>
  <w:endnote w:type="continuationSeparator" w:id="0">
    <w:p w:rsidR="00A16C85" w:rsidRDefault="00A16C85" w:rsidP="003B38C1">
      <w:r>
        <w:separator/>
      </w:r>
    </w:p>
    <w:p w:rsidR="00A16C85" w:rsidRPr="003B38C1" w:rsidRDefault="00A16C85" w:rsidP="003B38C1">
      <w:pPr>
        <w:spacing w:after="60"/>
        <w:rPr>
          <w:sz w:val="17"/>
        </w:rPr>
      </w:pPr>
      <w:r>
        <w:rPr>
          <w:sz w:val="17"/>
        </w:rPr>
        <w:t>[Endnote continued from previous page]</w:t>
      </w:r>
    </w:p>
  </w:endnote>
  <w:endnote w:type="continuationNotice" w:id="1">
    <w:p w:rsidR="00A16C85" w:rsidRPr="003B38C1" w:rsidRDefault="00A16C8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87F" w:rsidRPr="0081387F" w:rsidRDefault="0081387F" w:rsidP="0043306B">
    <w:pPr>
      <w:pStyle w:val="Footer"/>
      <w:tabs>
        <w:tab w:val="clear" w:pos="4320"/>
        <w:tab w:val="clear" w:pos="8640"/>
        <w:tab w:val="right" w:pos="8504"/>
      </w:tabs>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87F" w:rsidRPr="0081387F" w:rsidRDefault="0081387F" w:rsidP="008138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C85" w:rsidRDefault="00A16C85">
      <w:r>
        <w:separator/>
      </w:r>
    </w:p>
  </w:footnote>
  <w:footnote w:type="continuationSeparator" w:id="0">
    <w:p w:rsidR="00A16C85" w:rsidRDefault="00A16C85" w:rsidP="008B60B2">
      <w:r>
        <w:separator/>
      </w:r>
    </w:p>
    <w:p w:rsidR="00A16C85" w:rsidRPr="00ED77FB" w:rsidRDefault="00A16C85" w:rsidP="008B60B2">
      <w:pPr>
        <w:spacing w:after="60"/>
        <w:rPr>
          <w:sz w:val="17"/>
          <w:szCs w:val="17"/>
        </w:rPr>
      </w:pPr>
      <w:r w:rsidRPr="00ED77FB">
        <w:rPr>
          <w:sz w:val="17"/>
          <w:szCs w:val="17"/>
        </w:rPr>
        <w:t>[Footnote continued from previous page]</w:t>
      </w:r>
    </w:p>
  </w:footnote>
  <w:footnote w:type="continuationNotice" w:id="1">
    <w:p w:rsidR="00A16C85" w:rsidRPr="00ED77FB" w:rsidRDefault="00A16C85" w:rsidP="008B60B2">
      <w:pPr>
        <w:spacing w:before="60"/>
        <w:jc w:val="right"/>
        <w:rPr>
          <w:sz w:val="17"/>
          <w:szCs w:val="17"/>
        </w:rPr>
      </w:pPr>
      <w:r w:rsidRPr="00ED77FB">
        <w:rPr>
          <w:sz w:val="17"/>
          <w:szCs w:val="17"/>
        </w:rPr>
        <w:t>[Footnote continued on next page]</w:t>
      </w:r>
    </w:p>
  </w:footnote>
  <w:footnote w:id="2">
    <w:p w:rsidR="00A16C85" w:rsidRPr="00A75276" w:rsidRDefault="00A16C85">
      <w:pPr>
        <w:pStyle w:val="FootnoteText"/>
        <w:rPr>
          <w:lang w:val="fr-CH"/>
        </w:rPr>
      </w:pPr>
      <w:r w:rsidRPr="00351B21">
        <w:rPr>
          <w:rStyle w:val="FootnoteReference"/>
          <w:color w:val="008000"/>
        </w:rPr>
        <w:footnoteRef/>
      </w:r>
      <w:r w:rsidRPr="005E3CED">
        <w:rPr>
          <w:color w:val="008000"/>
          <w:lang w:val="fr-FR"/>
        </w:rPr>
        <w:t xml:space="preserve"> </w:t>
      </w:r>
      <w:r w:rsidRPr="00351B21">
        <w:rPr>
          <w:color w:val="008000"/>
          <w:lang w:val="fr-CH"/>
        </w:rPr>
        <w:tab/>
      </w:r>
      <w:r w:rsidRPr="00A75276">
        <w:rPr>
          <w:lang w:val="fr-CH"/>
        </w:rPr>
        <w:t xml:space="preserve">Disponible sur le site Web de l’OMPI à l’adresse suivante : </w:t>
      </w:r>
      <w:hyperlink r:id="rId1" w:history="1">
        <w:r w:rsidRPr="00A75276">
          <w:rPr>
            <w:rStyle w:val="Hyperlink"/>
            <w:rFonts w:cs="Arial"/>
            <w:lang w:val="fr-CH"/>
          </w:rPr>
          <w:t>http://www.wipo.int/meetings/fr/doc_details.jsp?doc_id=327156</w:t>
        </w:r>
      </w:hyperlink>
      <w:r w:rsidRPr="00A75276">
        <w:rPr>
          <w:lang w:val="fr-CH"/>
        </w:rPr>
        <w:t>.</w:t>
      </w:r>
    </w:p>
  </w:footnote>
  <w:footnote w:id="3">
    <w:p w:rsidR="00A16C85" w:rsidRPr="00A75276" w:rsidRDefault="00A16C85" w:rsidP="0090244E">
      <w:pPr>
        <w:pStyle w:val="FootnoteText"/>
        <w:rPr>
          <w:lang w:val="fr-FR"/>
        </w:rPr>
      </w:pPr>
      <w:r w:rsidRPr="00A75276">
        <w:rPr>
          <w:rStyle w:val="FootnoteReference"/>
        </w:rPr>
        <w:footnoteRef/>
      </w:r>
      <w:r w:rsidRPr="00A75276">
        <w:rPr>
          <w:lang w:val="fr-FR"/>
        </w:rPr>
        <w:t xml:space="preserve"> </w:t>
      </w:r>
      <w:r w:rsidRPr="00A75276">
        <w:rPr>
          <w:lang w:val="fr-FR"/>
        </w:rPr>
        <w:tab/>
        <w:t xml:space="preserve">Disponible sur le site Web de l’OMPI à l’adresse suivante : </w:t>
      </w:r>
      <w:hyperlink r:id="rId2" w:history="1">
        <w:r w:rsidRPr="00A75276">
          <w:rPr>
            <w:rStyle w:val="Hyperlink"/>
            <w:rFonts w:cs="Arial"/>
            <w:lang w:val="fr-FR"/>
          </w:rPr>
          <w:t>http://www.wipo.int/meetings/fr/doc_details.jsp?doc_id=327176</w:t>
        </w:r>
      </w:hyperlink>
      <w:r w:rsidRPr="00A75276">
        <w:rPr>
          <w:lang w:val="fr-FR"/>
        </w:rPr>
        <w:t>.</w:t>
      </w:r>
    </w:p>
  </w:footnote>
  <w:footnote w:id="4">
    <w:p w:rsidR="00A16C85" w:rsidRPr="00A75276" w:rsidRDefault="00A16C85" w:rsidP="00910CD0">
      <w:pPr>
        <w:pStyle w:val="FootnoteText"/>
        <w:rPr>
          <w:lang w:val="fr-FR"/>
        </w:rPr>
      </w:pPr>
      <w:r w:rsidRPr="00A75276">
        <w:rPr>
          <w:rStyle w:val="FootnoteReference"/>
        </w:rPr>
        <w:footnoteRef/>
      </w:r>
      <w:r w:rsidRPr="00A75276">
        <w:rPr>
          <w:lang w:val="fr-FR"/>
        </w:rPr>
        <w:t xml:space="preserve"> </w:t>
      </w:r>
      <w:r w:rsidRPr="00A75276">
        <w:rPr>
          <w:lang w:val="fr-FR"/>
        </w:rPr>
        <w:tab/>
        <w:t xml:space="preserve">Disponible sur le site Web de l’Office des brevets du Japon à l’adresse suivante : </w:t>
      </w:r>
      <w:hyperlink r:id="rId3" w:history="1">
        <w:r w:rsidRPr="00A75276">
          <w:rPr>
            <w:rStyle w:val="Hyperlink"/>
            <w:rFonts w:cs="Arial"/>
            <w:lang w:val="fr-FR"/>
          </w:rPr>
          <w:t>http://www.jpo.go.jp/tetuzuki_e/t_tokkyo_e/pct_handbook_e.htm</w:t>
        </w:r>
      </w:hyperlink>
      <w:r w:rsidRPr="00A75276">
        <w:rPr>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85" w:rsidRDefault="00A16C85" w:rsidP="00477D6B">
    <w:pPr>
      <w:jc w:val="right"/>
    </w:pPr>
    <w:bookmarkStart w:id="4" w:name="Code2"/>
    <w:bookmarkEnd w:id="4"/>
    <w:r>
      <w:t>PCT/WG/9/2</w:t>
    </w:r>
  </w:p>
  <w:p w:rsidR="00A16C85" w:rsidRDefault="00A16C85" w:rsidP="00477D6B">
    <w:pPr>
      <w:jc w:val="right"/>
    </w:pPr>
    <w:proofErr w:type="gramStart"/>
    <w:r>
      <w:t>page</w:t>
    </w:r>
    <w:proofErr w:type="gramEnd"/>
    <w:r>
      <w:t xml:space="preserve"> </w:t>
    </w:r>
    <w:r>
      <w:fldChar w:fldCharType="begin"/>
    </w:r>
    <w:r>
      <w:instrText xml:space="preserve"> PAGE  \* MERGEFORMAT </w:instrText>
    </w:r>
    <w:r>
      <w:fldChar w:fldCharType="separate"/>
    </w:r>
    <w:r w:rsidR="0081387F">
      <w:rPr>
        <w:noProof/>
      </w:rPr>
      <w:t>2</w:t>
    </w:r>
    <w:r>
      <w:fldChar w:fldCharType="end"/>
    </w:r>
  </w:p>
  <w:p w:rsidR="00A16C85" w:rsidRDefault="00A16C8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276" w:rsidRDefault="00A75276" w:rsidP="00477D6B">
    <w:pPr>
      <w:jc w:val="right"/>
    </w:pPr>
  </w:p>
  <w:p w:rsidR="00A16C85" w:rsidRPr="00A75276" w:rsidRDefault="00A16C85" w:rsidP="00477D6B">
    <w:pPr>
      <w:jc w:val="right"/>
    </w:pPr>
    <w:r w:rsidRPr="00A75276">
      <w:t>PCT/WG/9/2</w:t>
    </w:r>
  </w:p>
  <w:p w:rsidR="00A16C85" w:rsidRPr="00A75276" w:rsidRDefault="00A16C85" w:rsidP="00477D6B">
    <w:pPr>
      <w:jc w:val="right"/>
    </w:pPr>
    <w:proofErr w:type="spellStart"/>
    <w:r w:rsidRPr="00A75276">
      <w:t>Annexe</w:t>
    </w:r>
    <w:proofErr w:type="spellEnd"/>
    <w:r w:rsidRPr="00A75276">
      <w:t xml:space="preserve">, page </w:t>
    </w:r>
    <w:r w:rsidRPr="00A75276">
      <w:fldChar w:fldCharType="begin"/>
    </w:r>
    <w:r w:rsidRPr="00A75276">
      <w:instrText xml:space="preserve"> PAGE  \* MERGEFORMAT </w:instrText>
    </w:r>
    <w:r w:rsidRPr="00A75276">
      <w:fldChar w:fldCharType="separate"/>
    </w:r>
    <w:r w:rsidR="001A65DF">
      <w:rPr>
        <w:noProof/>
      </w:rPr>
      <w:t>13</w:t>
    </w:r>
    <w:r w:rsidRPr="00A75276">
      <w:fldChar w:fldCharType="end"/>
    </w:r>
  </w:p>
  <w:p w:rsidR="00A16C85" w:rsidRPr="00A75276" w:rsidRDefault="00A16C8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276" w:rsidRDefault="00A75276" w:rsidP="004838AB">
    <w:pPr>
      <w:pStyle w:val="Header"/>
      <w:jc w:val="right"/>
    </w:pPr>
  </w:p>
  <w:p w:rsidR="00A16C85" w:rsidRPr="00A75276" w:rsidRDefault="00A16C85" w:rsidP="004838AB">
    <w:pPr>
      <w:pStyle w:val="Header"/>
      <w:jc w:val="right"/>
    </w:pPr>
    <w:r w:rsidRPr="00A75276">
      <w:t>PCT/WG/9/2</w:t>
    </w:r>
  </w:p>
  <w:p w:rsidR="00A16C85" w:rsidRPr="00A75276" w:rsidRDefault="00A16C85" w:rsidP="004838AB">
    <w:pPr>
      <w:pStyle w:val="Header"/>
      <w:jc w:val="right"/>
    </w:pPr>
    <w:r w:rsidRPr="00A75276">
      <w:t>ANNEXE</w:t>
    </w:r>
  </w:p>
  <w:p w:rsidR="00A16C85" w:rsidRPr="00A75276" w:rsidRDefault="00A16C85" w:rsidP="000E7357">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85" w:rsidRDefault="00A16C85" w:rsidP="00477D6B">
    <w:pPr>
      <w:jc w:val="right"/>
    </w:pPr>
    <w:r>
      <w:t>PCT/WG/9/2</w:t>
    </w:r>
  </w:p>
  <w:p w:rsidR="00A16C85" w:rsidRDefault="00A16C85" w:rsidP="00477D6B">
    <w:pPr>
      <w:jc w:val="right"/>
    </w:pPr>
    <w:proofErr w:type="spellStart"/>
    <w:r>
      <w:t>Annexe</w:t>
    </w:r>
    <w:proofErr w:type="spellEnd"/>
    <w:r>
      <w:t xml:space="preserve">, page </w:t>
    </w:r>
    <w:r>
      <w:fldChar w:fldCharType="begin"/>
    </w:r>
    <w:r>
      <w:instrText xml:space="preserve"> PAGE  \* MERGEFORMAT </w:instrText>
    </w:r>
    <w:r>
      <w:fldChar w:fldCharType="separate"/>
    </w:r>
    <w:r w:rsidR="001A65DF">
      <w:rPr>
        <w:noProof/>
      </w:rPr>
      <w:t>24</w:t>
    </w:r>
    <w:r>
      <w:rPr>
        <w:noProof/>
      </w:rPr>
      <w:fldChar w:fldCharType="end"/>
    </w:r>
  </w:p>
  <w:p w:rsidR="00A16C85" w:rsidRDefault="00A16C85" w:rsidP="001A516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85" w:rsidRPr="00A75276" w:rsidRDefault="00A16C85" w:rsidP="003A29CF">
    <w:pPr>
      <w:pStyle w:val="Header"/>
      <w:jc w:val="right"/>
      <w:rPr>
        <w:lang w:val="fr-FR"/>
      </w:rPr>
    </w:pPr>
    <w:r w:rsidRPr="00A75276">
      <w:rPr>
        <w:lang w:val="fr-FR"/>
      </w:rPr>
      <w:t>PCT/WG/9/2</w:t>
    </w:r>
  </w:p>
  <w:p w:rsidR="00A16C85" w:rsidRPr="00A75276" w:rsidRDefault="00A16C85" w:rsidP="003A29CF">
    <w:pPr>
      <w:pStyle w:val="Header"/>
      <w:jc w:val="right"/>
      <w:rPr>
        <w:lang w:val="fr-FR"/>
      </w:rPr>
    </w:pPr>
    <w:r w:rsidRPr="00A75276">
      <w:rPr>
        <w:lang w:val="fr-FR"/>
      </w:rPr>
      <w:t xml:space="preserve">Annexe, page </w:t>
    </w:r>
    <w:r w:rsidRPr="00A75276">
      <w:fldChar w:fldCharType="begin"/>
    </w:r>
    <w:r w:rsidRPr="00A75276">
      <w:rPr>
        <w:lang w:val="fr-FR"/>
      </w:rPr>
      <w:instrText xml:space="preserve"> PAGE   \* MERGEFORMAT </w:instrText>
    </w:r>
    <w:r w:rsidRPr="00A75276">
      <w:fldChar w:fldCharType="separate"/>
    </w:r>
    <w:r w:rsidR="001A65DF">
      <w:rPr>
        <w:noProof/>
        <w:lang w:val="fr-FR"/>
      </w:rPr>
      <w:t>14</w:t>
    </w:r>
    <w:r w:rsidRPr="00A75276">
      <w:rPr>
        <w:noProof/>
      </w:rPr>
      <w:fldChar w:fldCharType="end"/>
    </w:r>
  </w:p>
  <w:p w:rsidR="00A16C85" w:rsidRPr="00A75276" w:rsidRDefault="00A16C85">
    <w:pPr>
      <w:pStyle w:val="Header"/>
      <w:rPr>
        <w:lang w:val="fr-FR"/>
      </w:rPr>
    </w:pPr>
  </w:p>
  <w:p w:rsidR="00A16C85" w:rsidRPr="00A75276" w:rsidRDefault="00A16C85" w:rsidP="0002481E">
    <w:pPr>
      <w:pStyle w:val="Header"/>
      <w:rPr>
        <w:lang w:val="fr-FR"/>
      </w:rPr>
    </w:pPr>
    <w:r w:rsidRPr="00A75276">
      <w:rPr>
        <w:caps/>
        <w:lang w:val="fr-FR"/>
      </w:rPr>
      <w:t>ANNEXE II (</w:t>
    </w:r>
    <w:r w:rsidRPr="00A75276">
      <w:rPr>
        <w:lang w:val="fr-FR"/>
      </w:rPr>
      <w:t>du document PCT/MIA/23/14)</w:t>
    </w:r>
  </w:p>
  <w:p w:rsidR="00A16C85" w:rsidRPr="00A75276" w:rsidRDefault="00A16C85" w:rsidP="0002481E">
    <w:pPr>
      <w:pStyle w:val="Header"/>
      <w:rPr>
        <w:lang w:val="fr-FR"/>
      </w:rPr>
    </w:pPr>
  </w:p>
  <w:p w:rsidR="00A16C85" w:rsidRPr="00A75276" w:rsidRDefault="00A16C85" w:rsidP="0002481E">
    <w:pPr>
      <w:pStyle w:val="Header"/>
      <w:rPr>
        <w:caps/>
        <w:lang w:val="fr-FR"/>
      </w:rPr>
    </w:pPr>
    <w:r w:rsidRPr="00A75276">
      <w:rPr>
        <w:caps/>
        <w:lang w:val="fr-FR"/>
      </w:rPr>
      <w:t>Sixième session informelle du sous</w:t>
    </w:r>
    <w:r w:rsidRPr="00A75276">
      <w:rPr>
        <w:caps/>
        <w:lang w:val="fr-FR"/>
      </w:rPr>
      <w:noBreakHyphen/>
      <w:t>groupe chargé de la qualité du PCT/MIA</w:t>
    </w:r>
  </w:p>
  <w:p w:rsidR="00A16C85" w:rsidRPr="00A75276" w:rsidRDefault="00A16C85" w:rsidP="0002481E">
    <w:pPr>
      <w:pStyle w:val="Header"/>
      <w:rPr>
        <w:caps/>
        <w:lang w:val="fr-FR"/>
      </w:rPr>
    </w:pPr>
    <w:r w:rsidRPr="00A75276">
      <w:rPr>
        <w:caps/>
        <w:lang w:val="fr-FR"/>
      </w:rPr>
      <w:t>Santiago, 18 et 19 janvier 2016</w:t>
    </w:r>
    <w:r w:rsidRPr="00A75276">
      <w:rPr>
        <w:caps/>
        <w:lang w:val="fr-FR"/>
      </w:rPr>
      <w:br/>
    </w:r>
  </w:p>
  <w:p w:rsidR="00A16C85" w:rsidRPr="00A75276" w:rsidRDefault="00A16C85" w:rsidP="0002481E">
    <w:pPr>
      <w:pStyle w:val="Header"/>
      <w:rPr>
        <w:caps/>
        <w:lang w:val="fr-FR"/>
      </w:rPr>
    </w:pPr>
  </w:p>
  <w:p w:rsidR="00A16C85" w:rsidRPr="00A75276" w:rsidRDefault="00A16C85" w:rsidP="0002481E">
    <w:pPr>
      <w:pStyle w:val="Header"/>
      <w:rPr>
        <w:caps/>
        <w:lang w:val="fr-FR"/>
      </w:rPr>
    </w:pPr>
    <w:r w:rsidRPr="00A75276">
      <w:rPr>
        <w:caps/>
        <w:lang w:val="fr-FR"/>
      </w:rPr>
      <w:t>Résumé présenté par le président</w:t>
    </w:r>
  </w:p>
  <w:p w:rsidR="00A16C85" w:rsidRPr="005E3CED" w:rsidRDefault="00A16C85" w:rsidP="003A29CF">
    <w:pPr>
      <w:pStyle w:val="Header"/>
      <w:jc w:val="center"/>
      <w:rPr>
        <w:caps/>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FFFFFF89"/>
    <w:multiLevelType w:val="singleLevel"/>
    <w:tmpl w:val="1788213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7A3A90B2"/>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430428F"/>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erm4|WIPONew|TRADTERM|FTS_Glossary"/>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UPOV|TextBase TMs\WorkspaceFTS\EN-FR\WO_CC|TextBase TMs\WorkspaceFTS\EN-FR\WO_GA|TextBase TMs\WorkspaceFTS\EN-FR\WO_PBC|TextBase TMs\Glossaries\EN-FR|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
    <w:docVar w:name="TextBaseURL" w:val="empty"/>
    <w:docVar w:name="UILng" w:val="en"/>
  </w:docVars>
  <w:rsids>
    <w:rsidRoot w:val="00BB409F"/>
    <w:rsid w:val="00002D56"/>
    <w:rsid w:val="00011767"/>
    <w:rsid w:val="0002481E"/>
    <w:rsid w:val="000256EE"/>
    <w:rsid w:val="000276D2"/>
    <w:rsid w:val="00034C8C"/>
    <w:rsid w:val="00043CAA"/>
    <w:rsid w:val="00063361"/>
    <w:rsid w:val="0007133F"/>
    <w:rsid w:val="00071C5F"/>
    <w:rsid w:val="000742E1"/>
    <w:rsid w:val="00075432"/>
    <w:rsid w:val="00083C3E"/>
    <w:rsid w:val="0009454A"/>
    <w:rsid w:val="000968ED"/>
    <w:rsid w:val="000B1915"/>
    <w:rsid w:val="000D3ADF"/>
    <w:rsid w:val="000E7357"/>
    <w:rsid w:val="000F40FE"/>
    <w:rsid w:val="000F5E56"/>
    <w:rsid w:val="00114B64"/>
    <w:rsid w:val="00123635"/>
    <w:rsid w:val="0013559F"/>
    <w:rsid w:val="001362EE"/>
    <w:rsid w:val="00141119"/>
    <w:rsid w:val="00147ED9"/>
    <w:rsid w:val="00150D7B"/>
    <w:rsid w:val="00156AAD"/>
    <w:rsid w:val="001635B1"/>
    <w:rsid w:val="00176053"/>
    <w:rsid w:val="001832A6"/>
    <w:rsid w:val="00196C74"/>
    <w:rsid w:val="001A483D"/>
    <w:rsid w:val="001A5167"/>
    <w:rsid w:val="001A58E3"/>
    <w:rsid w:val="001A65DF"/>
    <w:rsid w:val="001B7517"/>
    <w:rsid w:val="001D7A85"/>
    <w:rsid w:val="001E279C"/>
    <w:rsid w:val="001F73A9"/>
    <w:rsid w:val="0021308B"/>
    <w:rsid w:val="00216979"/>
    <w:rsid w:val="00222CE9"/>
    <w:rsid w:val="002240C1"/>
    <w:rsid w:val="00250318"/>
    <w:rsid w:val="0025123F"/>
    <w:rsid w:val="0025719A"/>
    <w:rsid w:val="00257A0F"/>
    <w:rsid w:val="002634C4"/>
    <w:rsid w:val="0026509A"/>
    <w:rsid w:val="00276822"/>
    <w:rsid w:val="0028704B"/>
    <w:rsid w:val="002928D3"/>
    <w:rsid w:val="00295FEC"/>
    <w:rsid w:val="00296FF6"/>
    <w:rsid w:val="002A3689"/>
    <w:rsid w:val="002C7217"/>
    <w:rsid w:val="002E5492"/>
    <w:rsid w:val="002E5DCA"/>
    <w:rsid w:val="002F1FE6"/>
    <w:rsid w:val="002F4E68"/>
    <w:rsid w:val="003031A7"/>
    <w:rsid w:val="00312F7F"/>
    <w:rsid w:val="00316C5C"/>
    <w:rsid w:val="0031783E"/>
    <w:rsid w:val="00321CEA"/>
    <w:rsid w:val="00335CC1"/>
    <w:rsid w:val="00342761"/>
    <w:rsid w:val="00351B21"/>
    <w:rsid w:val="00360B03"/>
    <w:rsid w:val="00361450"/>
    <w:rsid w:val="003673CF"/>
    <w:rsid w:val="003817A0"/>
    <w:rsid w:val="003845C1"/>
    <w:rsid w:val="00384D67"/>
    <w:rsid w:val="00395D6C"/>
    <w:rsid w:val="003A29CF"/>
    <w:rsid w:val="003A6F89"/>
    <w:rsid w:val="003B0A39"/>
    <w:rsid w:val="003B38C1"/>
    <w:rsid w:val="003B746E"/>
    <w:rsid w:val="003C24AD"/>
    <w:rsid w:val="003C60CE"/>
    <w:rsid w:val="003D0359"/>
    <w:rsid w:val="003E4A3A"/>
    <w:rsid w:val="003F1EED"/>
    <w:rsid w:val="003F6B79"/>
    <w:rsid w:val="00403F00"/>
    <w:rsid w:val="0042053C"/>
    <w:rsid w:val="00420F26"/>
    <w:rsid w:val="00423E10"/>
    <w:rsid w:val="00423E3E"/>
    <w:rsid w:val="00425B52"/>
    <w:rsid w:val="00427AF4"/>
    <w:rsid w:val="00432F5D"/>
    <w:rsid w:val="0043306B"/>
    <w:rsid w:val="004647DA"/>
    <w:rsid w:val="00474062"/>
    <w:rsid w:val="00476B90"/>
    <w:rsid w:val="00477D6B"/>
    <w:rsid w:val="004838AB"/>
    <w:rsid w:val="0048533C"/>
    <w:rsid w:val="00485BC3"/>
    <w:rsid w:val="004B123B"/>
    <w:rsid w:val="004B2904"/>
    <w:rsid w:val="004D25E1"/>
    <w:rsid w:val="004E1D34"/>
    <w:rsid w:val="004F21FA"/>
    <w:rsid w:val="004F29DB"/>
    <w:rsid w:val="004F4458"/>
    <w:rsid w:val="005019FF"/>
    <w:rsid w:val="00505EE8"/>
    <w:rsid w:val="00506DB0"/>
    <w:rsid w:val="00520CD5"/>
    <w:rsid w:val="0053057A"/>
    <w:rsid w:val="00560A29"/>
    <w:rsid w:val="00597832"/>
    <w:rsid w:val="005A656F"/>
    <w:rsid w:val="005B31BD"/>
    <w:rsid w:val="005B6837"/>
    <w:rsid w:val="005C14DC"/>
    <w:rsid w:val="005C6649"/>
    <w:rsid w:val="005D323A"/>
    <w:rsid w:val="005E3CED"/>
    <w:rsid w:val="005E46EE"/>
    <w:rsid w:val="00602ACB"/>
    <w:rsid w:val="0060377E"/>
    <w:rsid w:val="00605827"/>
    <w:rsid w:val="0060696A"/>
    <w:rsid w:val="0063505C"/>
    <w:rsid w:val="00636080"/>
    <w:rsid w:val="00642268"/>
    <w:rsid w:val="00646050"/>
    <w:rsid w:val="00651B6C"/>
    <w:rsid w:val="006566D2"/>
    <w:rsid w:val="006713CA"/>
    <w:rsid w:val="006726F6"/>
    <w:rsid w:val="00676C5C"/>
    <w:rsid w:val="0068319C"/>
    <w:rsid w:val="006962D4"/>
    <w:rsid w:val="00696BF1"/>
    <w:rsid w:val="006B32A0"/>
    <w:rsid w:val="006B6654"/>
    <w:rsid w:val="006D30D5"/>
    <w:rsid w:val="006E3CBA"/>
    <w:rsid w:val="006E4EA4"/>
    <w:rsid w:val="006E6462"/>
    <w:rsid w:val="006E7BF1"/>
    <w:rsid w:val="00700493"/>
    <w:rsid w:val="00704471"/>
    <w:rsid w:val="00715135"/>
    <w:rsid w:val="0071704A"/>
    <w:rsid w:val="00717399"/>
    <w:rsid w:val="00743120"/>
    <w:rsid w:val="00750345"/>
    <w:rsid w:val="00777E53"/>
    <w:rsid w:val="007B783B"/>
    <w:rsid w:val="007D1613"/>
    <w:rsid w:val="007E7207"/>
    <w:rsid w:val="0081387F"/>
    <w:rsid w:val="00825B9B"/>
    <w:rsid w:val="0083370E"/>
    <w:rsid w:val="00841E35"/>
    <w:rsid w:val="0084318F"/>
    <w:rsid w:val="00844268"/>
    <w:rsid w:val="00855BB8"/>
    <w:rsid w:val="00861D34"/>
    <w:rsid w:val="0086721F"/>
    <w:rsid w:val="00871DEC"/>
    <w:rsid w:val="00884E77"/>
    <w:rsid w:val="00891280"/>
    <w:rsid w:val="008925E3"/>
    <w:rsid w:val="00894F0B"/>
    <w:rsid w:val="008A68C6"/>
    <w:rsid w:val="008A7BE1"/>
    <w:rsid w:val="008B2CC1"/>
    <w:rsid w:val="008B60B2"/>
    <w:rsid w:val="008D5CBB"/>
    <w:rsid w:val="008E3C6B"/>
    <w:rsid w:val="008E4D66"/>
    <w:rsid w:val="0090244E"/>
    <w:rsid w:val="00906C51"/>
    <w:rsid w:val="0090731E"/>
    <w:rsid w:val="00910161"/>
    <w:rsid w:val="00910CD0"/>
    <w:rsid w:val="00916EE2"/>
    <w:rsid w:val="0092373E"/>
    <w:rsid w:val="009243C3"/>
    <w:rsid w:val="00966A22"/>
    <w:rsid w:val="0096722F"/>
    <w:rsid w:val="009673EC"/>
    <w:rsid w:val="00971EE7"/>
    <w:rsid w:val="00980843"/>
    <w:rsid w:val="00991A3A"/>
    <w:rsid w:val="009A0CFD"/>
    <w:rsid w:val="009B20BE"/>
    <w:rsid w:val="009B31EF"/>
    <w:rsid w:val="009C53EC"/>
    <w:rsid w:val="009D217C"/>
    <w:rsid w:val="009E1243"/>
    <w:rsid w:val="009E2791"/>
    <w:rsid w:val="009E3F6F"/>
    <w:rsid w:val="009F499F"/>
    <w:rsid w:val="00A16C85"/>
    <w:rsid w:val="00A2216E"/>
    <w:rsid w:val="00A253A2"/>
    <w:rsid w:val="00A31D84"/>
    <w:rsid w:val="00A331C4"/>
    <w:rsid w:val="00A42DAF"/>
    <w:rsid w:val="00A45BD8"/>
    <w:rsid w:val="00A526B7"/>
    <w:rsid w:val="00A66E28"/>
    <w:rsid w:val="00A71253"/>
    <w:rsid w:val="00A714CB"/>
    <w:rsid w:val="00A72CC4"/>
    <w:rsid w:val="00A75276"/>
    <w:rsid w:val="00A776F4"/>
    <w:rsid w:val="00A8690A"/>
    <w:rsid w:val="00A869B7"/>
    <w:rsid w:val="00A9298C"/>
    <w:rsid w:val="00AA0106"/>
    <w:rsid w:val="00AB0D34"/>
    <w:rsid w:val="00AB223E"/>
    <w:rsid w:val="00AB6B7D"/>
    <w:rsid w:val="00AC205C"/>
    <w:rsid w:val="00AC21A8"/>
    <w:rsid w:val="00AF0A6B"/>
    <w:rsid w:val="00B05619"/>
    <w:rsid w:val="00B05A69"/>
    <w:rsid w:val="00B07511"/>
    <w:rsid w:val="00B2769D"/>
    <w:rsid w:val="00B307F2"/>
    <w:rsid w:val="00B32AFB"/>
    <w:rsid w:val="00B45792"/>
    <w:rsid w:val="00B469F8"/>
    <w:rsid w:val="00B60334"/>
    <w:rsid w:val="00B9734B"/>
    <w:rsid w:val="00BA72BA"/>
    <w:rsid w:val="00BB056C"/>
    <w:rsid w:val="00BB409F"/>
    <w:rsid w:val="00BD13E9"/>
    <w:rsid w:val="00BD3406"/>
    <w:rsid w:val="00BF5446"/>
    <w:rsid w:val="00C0120A"/>
    <w:rsid w:val="00C02B8C"/>
    <w:rsid w:val="00C04003"/>
    <w:rsid w:val="00C119E5"/>
    <w:rsid w:val="00C11BFE"/>
    <w:rsid w:val="00C1603C"/>
    <w:rsid w:val="00C34534"/>
    <w:rsid w:val="00C436E7"/>
    <w:rsid w:val="00C74BAB"/>
    <w:rsid w:val="00C7557B"/>
    <w:rsid w:val="00C914F3"/>
    <w:rsid w:val="00CA1944"/>
    <w:rsid w:val="00CA2B3A"/>
    <w:rsid w:val="00CA2C91"/>
    <w:rsid w:val="00CD3400"/>
    <w:rsid w:val="00CD4D36"/>
    <w:rsid w:val="00CF2CE9"/>
    <w:rsid w:val="00CF75C5"/>
    <w:rsid w:val="00D02DFF"/>
    <w:rsid w:val="00D07DAB"/>
    <w:rsid w:val="00D45252"/>
    <w:rsid w:val="00D467CC"/>
    <w:rsid w:val="00D537A2"/>
    <w:rsid w:val="00D71B4D"/>
    <w:rsid w:val="00D734E1"/>
    <w:rsid w:val="00D8195F"/>
    <w:rsid w:val="00D82FF0"/>
    <w:rsid w:val="00D93D55"/>
    <w:rsid w:val="00D954A2"/>
    <w:rsid w:val="00DA41F7"/>
    <w:rsid w:val="00DC1AC3"/>
    <w:rsid w:val="00DC4897"/>
    <w:rsid w:val="00DE0DFB"/>
    <w:rsid w:val="00DE79A8"/>
    <w:rsid w:val="00E00E6E"/>
    <w:rsid w:val="00E177F7"/>
    <w:rsid w:val="00E335FE"/>
    <w:rsid w:val="00E4533A"/>
    <w:rsid w:val="00E47980"/>
    <w:rsid w:val="00E525CD"/>
    <w:rsid w:val="00E71116"/>
    <w:rsid w:val="00E874A5"/>
    <w:rsid w:val="00EA4DBD"/>
    <w:rsid w:val="00EA7692"/>
    <w:rsid w:val="00EB0323"/>
    <w:rsid w:val="00EC0850"/>
    <w:rsid w:val="00EC2F59"/>
    <w:rsid w:val="00EC4E49"/>
    <w:rsid w:val="00EC51CC"/>
    <w:rsid w:val="00ED77FB"/>
    <w:rsid w:val="00EE2E52"/>
    <w:rsid w:val="00EE45FA"/>
    <w:rsid w:val="00F10BD3"/>
    <w:rsid w:val="00F12259"/>
    <w:rsid w:val="00F12EA1"/>
    <w:rsid w:val="00F16F47"/>
    <w:rsid w:val="00F25B3A"/>
    <w:rsid w:val="00F35502"/>
    <w:rsid w:val="00F368D7"/>
    <w:rsid w:val="00F44964"/>
    <w:rsid w:val="00F66152"/>
    <w:rsid w:val="00FA6F3E"/>
    <w:rsid w:val="00FB12CD"/>
    <w:rsid w:val="00FB34E8"/>
    <w:rsid w:val="00FE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Heading2Char">
    <w:name w:val="Heading 2 Char"/>
    <w:basedOn w:val="DefaultParagraphFont"/>
    <w:link w:val="Heading2"/>
    <w:uiPriority w:val="99"/>
    <w:rsid w:val="00F12259"/>
    <w:rPr>
      <w:rFonts w:ascii="Arial" w:eastAsia="SimSun" w:hAnsi="Arial" w:cs="Arial"/>
      <w:bCs/>
      <w:iCs/>
      <w:caps/>
      <w:sz w:val="22"/>
      <w:szCs w:val="28"/>
      <w:lang w:eastAsia="zh-CN"/>
    </w:rPr>
  </w:style>
  <w:style w:type="character" w:customStyle="1" w:styleId="Heading1Char">
    <w:name w:val="Heading 1 Char"/>
    <w:basedOn w:val="DefaultParagraphFont"/>
    <w:link w:val="Heading1"/>
    <w:uiPriority w:val="99"/>
    <w:locked/>
    <w:rsid w:val="004838AB"/>
    <w:rPr>
      <w:rFonts w:ascii="Arial" w:eastAsia="SimSun" w:hAnsi="Arial" w:cs="Arial"/>
      <w:b/>
      <w:bCs/>
      <w:caps/>
      <w:kern w:val="32"/>
      <w:sz w:val="22"/>
      <w:szCs w:val="32"/>
      <w:lang w:eastAsia="zh-CN"/>
    </w:rPr>
  </w:style>
  <w:style w:type="character" w:customStyle="1" w:styleId="CommentTextChar">
    <w:name w:val="Comment Text Char"/>
    <w:basedOn w:val="DefaultParagraphFont"/>
    <w:link w:val="CommentText"/>
    <w:uiPriority w:val="99"/>
    <w:semiHidden/>
    <w:rsid w:val="004838AB"/>
    <w:rPr>
      <w:rFonts w:ascii="Arial" w:eastAsia="SimSun" w:hAnsi="Arial" w:cs="Arial"/>
      <w:sz w:val="18"/>
      <w:lang w:eastAsia="zh-CN"/>
    </w:rPr>
  </w:style>
  <w:style w:type="character" w:customStyle="1" w:styleId="FootnoteTextChar">
    <w:name w:val="Footnote Text Char"/>
    <w:basedOn w:val="DefaultParagraphFont"/>
    <w:link w:val="FootnoteText"/>
    <w:uiPriority w:val="99"/>
    <w:semiHidden/>
    <w:locked/>
    <w:rsid w:val="004838AB"/>
    <w:rPr>
      <w:rFonts w:ascii="Arial" w:eastAsia="SimSun" w:hAnsi="Arial" w:cs="Arial"/>
      <w:sz w:val="18"/>
      <w:lang w:eastAsia="zh-CN"/>
    </w:rPr>
  </w:style>
  <w:style w:type="character" w:customStyle="1" w:styleId="ONUMEChar">
    <w:name w:val="ONUM E Char"/>
    <w:link w:val="ONUME"/>
    <w:uiPriority w:val="99"/>
    <w:locked/>
    <w:rsid w:val="004838AB"/>
    <w:rPr>
      <w:rFonts w:ascii="Arial" w:eastAsia="SimSun" w:hAnsi="Arial" w:cs="Arial"/>
      <w:sz w:val="22"/>
      <w:lang w:eastAsia="zh-CN"/>
    </w:rPr>
  </w:style>
  <w:style w:type="character" w:styleId="Hyperlink">
    <w:name w:val="Hyperlink"/>
    <w:basedOn w:val="DefaultParagraphFont"/>
    <w:uiPriority w:val="99"/>
    <w:rsid w:val="004838AB"/>
    <w:rPr>
      <w:rFonts w:cs="Times New Roman"/>
      <w:color w:val="auto"/>
      <w:u w:val="none"/>
      <w:effect w:val="none"/>
    </w:rPr>
  </w:style>
  <w:style w:type="character" w:styleId="FootnoteReference">
    <w:name w:val="footnote reference"/>
    <w:basedOn w:val="DefaultParagraphFont"/>
    <w:uiPriority w:val="99"/>
    <w:rsid w:val="004838AB"/>
    <w:rPr>
      <w:rFonts w:cs="Times New Roman"/>
      <w:vertAlign w:val="superscript"/>
    </w:rPr>
  </w:style>
  <w:style w:type="character" w:customStyle="1" w:styleId="HeaderChar">
    <w:name w:val="Header Char"/>
    <w:basedOn w:val="DefaultParagraphFont"/>
    <w:link w:val="Header"/>
    <w:uiPriority w:val="99"/>
    <w:semiHidden/>
    <w:rsid w:val="00891280"/>
    <w:rPr>
      <w:rFonts w:ascii="Arial" w:eastAsia="SimSun" w:hAnsi="Arial" w:cs="Arial"/>
      <w:sz w:val="22"/>
      <w:lang w:eastAsia="zh-CN"/>
    </w:rPr>
  </w:style>
  <w:style w:type="character" w:styleId="FollowedHyperlink">
    <w:name w:val="FollowedHyperlink"/>
    <w:basedOn w:val="DefaultParagraphFont"/>
    <w:rsid w:val="00141119"/>
    <w:rPr>
      <w:color w:val="800080" w:themeColor="followedHyperlink"/>
      <w:u w:val="single"/>
    </w:rPr>
  </w:style>
  <w:style w:type="paragraph" w:styleId="ListBullet">
    <w:name w:val="List Bullet"/>
    <w:basedOn w:val="Normal"/>
    <w:unhideWhenUsed/>
    <w:rsid w:val="00FE37A6"/>
    <w:pPr>
      <w:numPr>
        <w:numId w:val="1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Heading2Char">
    <w:name w:val="Heading 2 Char"/>
    <w:basedOn w:val="DefaultParagraphFont"/>
    <w:link w:val="Heading2"/>
    <w:uiPriority w:val="99"/>
    <w:rsid w:val="00F12259"/>
    <w:rPr>
      <w:rFonts w:ascii="Arial" w:eastAsia="SimSun" w:hAnsi="Arial" w:cs="Arial"/>
      <w:bCs/>
      <w:iCs/>
      <w:caps/>
      <w:sz w:val="22"/>
      <w:szCs w:val="28"/>
      <w:lang w:eastAsia="zh-CN"/>
    </w:rPr>
  </w:style>
  <w:style w:type="character" w:customStyle="1" w:styleId="Heading1Char">
    <w:name w:val="Heading 1 Char"/>
    <w:basedOn w:val="DefaultParagraphFont"/>
    <w:link w:val="Heading1"/>
    <w:uiPriority w:val="99"/>
    <w:locked/>
    <w:rsid w:val="004838AB"/>
    <w:rPr>
      <w:rFonts w:ascii="Arial" w:eastAsia="SimSun" w:hAnsi="Arial" w:cs="Arial"/>
      <w:b/>
      <w:bCs/>
      <w:caps/>
      <w:kern w:val="32"/>
      <w:sz w:val="22"/>
      <w:szCs w:val="32"/>
      <w:lang w:eastAsia="zh-CN"/>
    </w:rPr>
  </w:style>
  <w:style w:type="character" w:customStyle="1" w:styleId="CommentTextChar">
    <w:name w:val="Comment Text Char"/>
    <w:basedOn w:val="DefaultParagraphFont"/>
    <w:link w:val="CommentText"/>
    <w:uiPriority w:val="99"/>
    <w:semiHidden/>
    <w:rsid w:val="004838AB"/>
    <w:rPr>
      <w:rFonts w:ascii="Arial" w:eastAsia="SimSun" w:hAnsi="Arial" w:cs="Arial"/>
      <w:sz w:val="18"/>
      <w:lang w:eastAsia="zh-CN"/>
    </w:rPr>
  </w:style>
  <w:style w:type="character" w:customStyle="1" w:styleId="FootnoteTextChar">
    <w:name w:val="Footnote Text Char"/>
    <w:basedOn w:val="DefaultParagraphFont"/>
    <w:link w:val="FootnoteText"/>
    <w:uiPriority w:val="99"/>
    <w:semiHidden/>
    <w:locked/>
    <w:rsid w:val="004838AB"/>
    <w:rPr>
      <w:rFonts w:ascii="Arial" w:eastAsia="SimSun" w:hAnsi="Arial" w:cs="Arial"/>
      <w:sz w:val="18"/>
      <w:lang w:eastAsia="zh-CN"/>
    </w:rPr>
  </w:style>
  <w:style w:type="character" w:customStyle="1" w:styleId="ONUMEChar">
    <w:name w:val="ONUM E Char"/>
    <w:link w:val="ONUME"/>
    <w:uiPriority w:val="99"/>
    <w:locked/>
    <w:rsid w:val="004838AB"/>
    <w:rPr>
      <w:rFonts w:ascii="Arial" w:eastAsia="SimSun" w:hAnsi="Arial" w:cs="Arial"/>
      <w:sz w:val="22"/>
      <w:lang w:eastAsia="zh-CN"/>
    </w:rPr>
  </w:style>
  <w:style w:type="character" w:styleId="Hyperlink">
    <w:name w:val="Hyperlink"/>
    <w:basedOn w:val="DefaultParagraphFont"/>
    <w:uiPriority w:val="99"/>
    <w:rsid w:val="004838AB"/>
    <w:rPr>
      <w:rFonts w:cs="Times New Roman"/>
      <w:color w:val="auto"/>
      <w:u w:val="none"/>
      <w:effect w:val="none"/>
    </w:rPr>
  </w:style>
  <w:style w:type="character" w:styleId="FootnoteReference">
    <w:name w:val="footnote reference"/>
    <w:basedOn w:val="DefaultParagraphFont"/>
    <w:uiPriority w:val="99"/>
    <w:rsid w:val="004838AB"/>
    <w:rPr>
      <w:rFonts w:cs="Times New Roman"/>
      <w:vertAlign w:val="superscript"/>
    </w:rPr>
  </w:style>
  <w:style w:type="character" w:customStyle="1" w:styleId="HeaderChar">
    <w:name w:val="Header Char"/>
    <w:basedOn w:val="DefaultParagraphFont"/>
    <w:link w:val="Header"/>
    <w:uiPriority w:val="99"/>
    <w:semiHidden/>
    <w:rsid w:val="00891280"/>
    <w:rPr>
      <w:rFonts w:ascii="Arial" w:eastAsia="SimSun" w:hAnsi="Arial" w:cs="Arial"/>
      <w:sz w:val="22"/>
      <w:lang w:eastAsia="zh-CN"/>
    </w:rPr>
  </w:style>
  <w:style w:type="character" w:styleId="FollowedHyperlink">
    <w:name w:val="FollowedHyperlink"/>
    <w:basedOn w:val="DefaultParagraphFont"/>
    <w:rsid w:val="00141119"/>
    <w:rPr>
      <w:color w:val="800080" w:themeColor="followedHyperlink"/>
      <w:u w:val="single"/>
    </w:rPr>
  </w:style>
  <w:style w:type="paragraph" w:styleId="ListBullet">
    <w:name w:val="List Bullet"/>
    <w:basedOn w:val="Normal"/>
    <w:unhideWhenUsed/>
    <w:rsid w:val="00FE37A6"/>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jpo.go.jp/tetuzuki_e/t_tokkyo_e/pct_handbook_e.htm" TargetMode="External"/><Relationship Id="rId2" Type="http://schemas.openxmlformats.org/officeDocument/2006/relationships/hyperlink" Target="http://www.wipo.int/meetings/fr/doc_details.jsp?doc_id=327176" TargetMode="External"/><Relationship Id="rId1" Type="http://schemas.openxmlformats.org/officeDocument/2006/relationships/hyperlink" Target="http://www.wipo.int/meetings/fr/doc_details.jsp?doc_id=3271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1C707-E528-4008-8564-982E01191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13131</Words>
  <Characters>75232</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Meeting of International Authorities Under the PCT: Report on the Twenty‑Third Session</dc:subject>
  <dc:creator/>
  <cp:keywords>VF/mhf</cp:keywords>
  <cp:lastModifiedBy/>
  <cp:revision>1</cp:revision>
  <dcterms:created xsi:type="dcterms:W3CDTF">2016-03-09T10:41:00Z</dcterms:created>
  <dcterms:modified xsi:type="dcterms:W3CDTF">2016-03-09T10:44:00Z</dcterms:modified>
</cp:coreProperties>
</file>