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30D1E" w:rsidRPr="00595553" w:rsidTr="003603B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30D1E" w:rsidRPr="00595553" w:rsidRDefault="00330D1E" w:rsidP="00843B28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0D1E" w:rsidRPr="00595553" w:rsidRDefault="00330D1E" w:rsidP="00843B28">
            <w:pPr>
              <w:rPr>
                <w:lang w:val="fr-FR"/>
              </w:rPr>
            </w:pPr>
            <w:r w:rsidRPr="00595553">
              <w:rPr>
                <w:noProof/>
                <w:lang w:eastAsia="en-US"/>
              </w:rPr>
              <w:drawing>
                <wp:inline distT="0" distB="0" distL="0" distR="0" wp14:anchorId="3488BB2B" wp14:editId="7C812D1F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30D1E" w:rsidRPr="00595553" w:rsidRDefault="00330D1E" w:rsidP="00843B28">
            <w:pPr>
              <w:jc w:val="right"/>
              <w:rPr>
                <w:lang w:val="fr-FR"/>
              </w:rPr>
            </w:pPr>
            <w:r w:rsidRPr="0059555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330D1E" w:rsidRPr="00595553" w:rsidTr="00843B2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30D1E" w:rsidRPr="00595553" w:rsidRDefault="00330D1E" w:rsidP="00843B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95553">
              <w:rPr>
                <w:rFonts w:ascii="Arial Black" w:hAnsi="Arial Black"/>
                <w:caps/>
                <w:sz w:val="15"/>
                <w:lang w:val="fr-FR"/>
              </w:rPr>
              <w:t>PCT/WG/8/</w:t>
            </w:r>
            <w:bookmarkStart w:id="0" w:name="Code"/>
            <w:bookmarkEnd w:id="0"/>
            <w:r w:rsidRPr="00595553">
              <w:rPr>
                <w:rFonts w:ascii="Arial Black" w:hAnsi="Arial Black"/>
                <w:caps/>
                <w:sz w:val="15"/>
                <w:lang w:val="fr-FR"/>
              </w:rPr>
              <w:t xml:space="preserve">9 </w:t>
            </w:r>
          </w:p>
        </w:tc>
      </w:tr>
      <w:tr w:rsidR="00330D1E" w:rsidRPr="00595553" w:rsidTr="00843B2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30D1E" w:rsidRPr="00595553" w:rsidRDefault="00330D1E" w:rsidP="00843B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9555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C74F38" w:rsidRPr="0059555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9555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59555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330D1E" w:rsidRPr="00595553" w:rsidTr="00843B2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30D1E" w:rsidRPr="00595553" w:rsidRDefault="00330D1E" w:rsidP="00843B2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9555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C74F38" w:rsidRPr="0059555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595553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595553">
              <w:rPr>
                <w:rFonts w:ascii="Arial Black" w:hAnsi="Arial Black"/>
                <w:caps/>
                <w:sz w:val="15"/>
                <w:lang w:val="fr-FR"/>
              </w:rPr>
              <w:t>26 mars 2015</w:t>
            </w:r>
          </w:p>
        </w:tc>
      </w:tr>
    </w:tbl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b/>
          <w:sz w:val="28"/>
          <w:szCs w:val="28"/>
          <w:lang w:val="fr-FR"/>
        </w:rPr>
      </w:pPr>
      <w:r w:rsidRPr="00595553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b/>
          <w:sz w:val="24"/>
          <w:szCs w:val="24"/>
          <w:lang w:val="fr-FR"/>
        </w:rPr>
      </w:pPr>
      <w:r w:rsidRPr="00595553">
        <w:rPr>
          <w:b/>
          <w:sz w:val="24"/>
          <w:szCs w:val="24"/>
          <w:lang w:val="fr-FR"/>
        </w:rPr>
        <w:t>Huitième</w:t>
      </w:r>
      <w:r w:rsidR="00C74F38" w:rsidRPr="00595553">
        <w:rPr>
          <w:b/>
          <w:sz w:val="24"/>
          <w:szCs w:val="24"/>
          <w:lang w:val="fr-FR"/>
        </w:rPr>
        <w:t> </w:t>
      </w:r>
      <w:r w:rsidRPr="00595553">
        <w:rPr>
          <w:b/>
          <w:sz w:val="24"/>
          <w:szCs w:val="24"/>
          <w:lang w:val="fr-FR"/>
        </w:rPr>
        <w:t>session</w:t>
      </w:r>
      <w:bookmarkStart w:id="3" w:name="_GoBack"/>
      <w:bookmarkEnd w:id="3"/>
    </w:p>
    <w:p w:rsidR="00330D1E" w:rsidRPr="00595553" w:rsidRDefault="00330D1E" w:rsidP="00330D1E">
      <w:pPr>
        <w:rPr>
          <w:b/>
          <w:sz w:val="24"/>
          <w:szCs w:val="24"/>
          <w:lang w:val="fr-FR"/>
        </w:rPr>
      </w:pPr>
      <w:r w:rsidRPr="00595553">
        <w:rPr>
          <w:b/>
          <w:sz w:val="24"/>
          <w:szCs w:val="24"/>
          <w:lang w:val="fr-FR"/>
        </w:rPr>
        <w:t>Genève, 26 – 2</w:t>
      </w:r>
      <w:r w:rsidR="004B54C2" w:rsidRPr="00595553">
        <w:rPr>
          <w:b/>
          <w:sz w:val="24"/>
          <w:szCs w:val="24"/>
          <w:lang w:val="fr-FR"/>
        </w:rPr>
        <w:t>9 mai 20</w:t>
      </w:r>
      <w:r w:rsidRPr="00595553">
        <w:rPr>
          <w:b/>
          <w:sz w:val="24"/>
          <w:szCs w:val="24"/>
          <w:lang w:val="fr-FR"/>
        </w:rPr>
        <w:t>15</w:t>
      </w: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330D1E" w:rsidRPr="00595553" w:rsidRDefault="00330D1E" w:rsidP="00330D1E">
      <w:pPr>
        <w:rPr>
          <w:lang w:val="fr-FR"/>
        </w:rPr>
      </w:pPr>
    </w:p>
    <w:p w:rsidR="004B54C2" w:rsidRPr="00595553" w:rsidRDefault="007A0BD8" w:rsidP="00A40D84">
      <w:pPr>
        <w:rPr>
          <w:caps/>
          <w:sz w:val="24"/>
          <w:lang w:val="fr-FR"/>
        </w:rPr>
      </w:pPr>
      <w:r w:rsidRPr="00595553">
        <w:rPr>
          <w:caps/>
          <w:sz w:val="24"/>
          <w:lang w:val="fr-FR"/>
        </w:rPr>
        <w:t>Documentation</w:t>
      </w:r>
      <w:r w:rsidR="004C299C" w:rsidRPr="00595553">
        <w:rPr>
          <w:caps/>
          <w:sz w:val="24"/>
          <w:lang w:val="fr-FR"/>
        </w:rPr>
        <w:t xml:space="preserve"> minimale</w:t>
      </w:r>
      <w:r w:rsidR="004B54C2" w:rsidRPr="00595553">
        <w:rPr>
          <w:caps/>
          <w:sz w:val="24"/>
          <w:lang w:val="fr-FR"/>
        </w:rPr>
        <w:t xml:space="preserve"> du PCT</w:t>
      </w:r>
      <w:r w:rsidR="004C299C" w:rsidRPr="00595553">
        <w:rPr>
          <w:caps/>
          <w:sz w:val="24"/>
          <w:lang w:val="fr-FR"/>
        </w:rPr>
        <w:t> </w:t>
      </w:r>
      <w:r w:rsidRPr="00595553">
        <w:rPr>
          <w:caps/>
          <w:sz w:val="24"/>
          <w:lang w:val="fr-FR"/>
        </w:rPr>
        <w:t>:</w:t>
      </w:r>
    </w:p>
    <w:p w:rsidR="008B2CC1" w:rsidRPr="00595553" w:rsidRDefault="00896B9E" w:rsidP="00A40D84">
      <w:pPr>
        <w:rPr>
          <w:caps/>
          <w:sz w:val="24"/>
          <w:lang w:val="fr-FR"/>
        </w:rPr>
      </w:pPr>
      <w:r w:rsidRPr="00595553">
        <w:rPr>
          <w:caps/>
          <w:sz w:val="24"/>
          <w:lang w:val="fr-FR"/>
        </w:rPr>
        <w:t>D</w:t>
      </w:r>
      <w:r w:rsidR="00C31816" w:rsidRPr="00595553">
        <w:rPr>
          <w:caps/>
          <w:sz w:val="24"/>
          <w:lang w:val="fr-FR"/>
        </w:rPr>
        <w:t xml:space="preserve">Éfinition et </w:t>
      </w:r>
      <w:r w:rsidR="00F60D61">
        <w:rPr>
          <w:caps/>
          <w:sz w:val="24"/>
          <w:lang w:val="fr-FR"/>
        </w:rPr>
        <w:t>ÉTENDUE</w:t>
      </w:r>
      <w:r w:rsidR="00C31816" w:rsidRPr="00595553">
        <w:rPr>
          <w:caps/>
          <w:sz w:val="24"/>
          <w:lang w:val="fr-FR"/>
        </w:rPr>
        <w:t xml:space="preserve"> de la documentation en matiÈre de brevets</w:t>
      </w:r>
    </w:p>
    <w:p w:rsidR="002775E8" w:rsidRPr="00595553" w:rsidRDefault="002775E8" w:rsidP="00A40D84">
      <w:pPr>
        <w:rPr>
          <w:lang w:val="fr-FR"/>
        </w:rPr>
      </w:pPr>
    </w:p>
    <w:p w:rsidR="008B2CC1" w:rsidRPr="00595553" w:rsidRDefault="00C87234" w:rsidP="00A40D84">
      <w:pPr>
        <w:rPr>
          <w:i/>
          <w:lang w:val="fr-FR"/>
        </w:rPr>
      </w:pPr>
      <w:bookmarkStart w:id="4" w:name="Prepared"/>
      <w:bookmarkEnd w:id="4"/>
      <w:r w:rsidRPr="00595553">
        <w:rPr>
          <w:i/>
          <w:lang w:val="fr-FR"/>
        </w:rPr>
        <w:t xml:space="preserve">Document </w:t>
      </w:r>
      <w:r w:rsidR="00CB75F6" w:rsidRPr="00595553">
        <w:rPr>
          <w:i/>
          <w:lang w:val="fr-FR"/>
        </w:rPr>
        <w:t>établi par le Bureau international</w:t>
      </w:r>
    </w:p>
    <w:p w:rsidR="00AC205C" w:rsidRPr="00595553" w:rsidRDefault="00AC205C" w:rsidP="00A40D84">
      <w:pPr>
        <w:rPr>
          <w:lang w:val="fr-FR"/>
        </w:rPr>
      </w:pPr>
    </w:p>
    <w:p w:rsidR="000F5E56" w:rsidRPr="00595553" w:rsidRDefault="000F5E56" w:rsidP="00A40D84">
      <w:pPr>
        <w:rPr>
          <w:lang w:val="fr-FR"/>
        </w:rPr>
      </w:pPr>
    </w:p>
    <w:p w:rsidR="002928D3" w:rsidRPr="00595553" w:rsidRDefault="002928D3" w:rsidP="00A40D84">
      <w:pPr>
        <w:rPr>
          <w:lang w:val="fr-FR"/>
        </w:rPr>
      </w:pPr>
    </w:p>
    <w:p w:rsidR="007A0BD8" w:rsidRPr="00BE3CBD" w:rsidRDefault="00CB75F6" w:rsidP="00A40D84">
      <w:pPr>
        <w:pStyle w:val="Heading1"/>
        <w:rPr>
          <w:spacing w:val="-2"/>
          <w:lang w:val="fr-FR"/>
        </w:rPr>
      </w:pPr>
      <w:r w:rsidRPr="00BE3CBD">
        <w:rPr>
          <w:spacing w:val="-2"/>
          <w:lang w:val="fr-FR"/>
        </w:rPr>
        <w:t>R</w:t>
      </w:r>
      <w:r w:rsidR="00F60D61" w:rsidRPr="00BE3CBD">
        <w:rPr>
          <w:spacing w:val="-2"/>
          <w:lang w:val="fr-FR"/>
        </w:rPr>
        <w:t>é</w:t>
      </w:r>
      <w:r w:rsidRPr="00BE3CBD">
        <w:rPr>
          <w:spacing w:val="-2"/>
          <w:lang w:val="fr-FR"/>
        </w:rPr>
        <w:t>su</w:t>
      </w:r>
      <w:r w:rsidR="007A0BD8" w:rsidRPr="00BE3CBD">
        <w:rPr>
          <w:spacing w:val="-2"/>
          <w:lang w:val="fr-FR"/>
        </w:rPr>
        <w:t>m</w:t>
      </w:r>
      <w:r w:rsidR="00F60D61" w:rsidRPr="00BE3CBD">
        <w:rPr>
          <w:spacing w:val="-2"/>
          <w:lang w:val="fr-FR"/>
        </w:rPr>
        <w:t>é</w:t>
      </w:r>
    </w:p>
    <w:p w:rsidR="007A0BD8" w:rsidRPr="00BE3CBD" w:rsidRDefault="00326C1C" w:rsidP="00A40D84">
      <w:pPr>
        <w:pStyle w:val="ONUMFS"/>
        <w:rPr>
          <w:spacing w:val="-2"/>
          <w:lang w:val="fr-FR"/>
        </w:rPr>
      </w:pPr>
      <w:r w:rsidRPr="00BE3CBD">
        <w:rPr>
          <w:spacing w:val="-2"/>
          <w:lang w:val="fr-FR"/>
        </w:rPr>
        <w:t xml:space="preserve">Le </w:t>
      </w:r>
      <w:r w:rsidR="007A0BD8" w:rsidRPr="00BE3CBD">
        <w:rPr>
          <w:spacing w:val="-2"/>
          <w:lang w:val="fr-FR"/>
        </w:rPr>
        <w:t xml:space="preserve">Bureau </w:t>
      </w:r>
      <w:r w:rsidRPr="00BE3CBD">
        <w:rPr>
          <w:spacing w:val="-2"/>
          <w:lang w:val="fr-FR"/>
        </w:rPr>
        <w:t>international a décidé de réactiver le Groupe de travail sur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7A0BD8" w:rsidRPr="00BE3CBD">
        <w:rPr>
          <w:spacing w:val="-2"/>
          <w:lang w:val="fr-FR"/>
        </w:rPr>
        <w:t xml:space="preserve"> </w:t>
      </w:r>
      <w:r w:rsidRPr="00BE3CBD">
        <w:rPr>
          <w:spacing w:val="-2"/>
          <w:lang w:val="fr-FR"/>
        </w:rPr>
        <w:t>en vue de poursuivre les travaux relatifs à la mise à jour de</w:t>
      </w:r>
      <w:r w:rsidR="00C07175" w:rsidRPr="00BE3CBD">
        <w:rPr>
          <w:spacing w:val="-2"/>
          <w:lang w:val="fr-FR"/>
        </w:rPr>
        <w:t xml:space="preserve"> la </w:t>
      </w:r>
      <w:r w:rsidRPr="00BE3CBD">
        <w:rPr>
          <w:spacing w:val="-2"/>
          <w:lang w:val="fr-FR"/>
        </w:rPr>
        <w:t>document</w:t>
      </w:r>
      <w:r w:rsidR="00C07175" w:rsidRPr="00BE3CBD">
        <w:rPr>
          <w:spacing w:val="-2"/>
          <w:lang w:val="fr-FR"/>
        </w:rPr>
        <w:t xml:space="preserve">ation en matière </w:t>
      </w:r>
      <w:r w:rsidRPr="00BE3CBD">
        <w:rPr>
          <w:spacing w:val="-2"/>
          <w:lang w:val="fr-FR"/>
        </w:rPr>
        <w:t>de brevets compris</w:t>
      </w:r>
      <w:r w:rsidR="00C07175" w:rsidRPr="00BE3CBD">
        <w:rPr>
          <w:spacing w:val="-2"/>
          <w:lang w:val="fr-FR"/>
        </w:rPr>
        <w:t>e</w:t>
      </w:r>
      <w:r w:rsidRPr="00BE3CBD">
        <w:rPr>
          <w:spacing w:val="-2"/>
          <w:lang w:val="fr-FR"/>
        </w:rPr>
        <w:t xml:space="preserve"> dans la</w:t>
      </w:r>
      <w:r w:rsidR="007A0BD8" w:rsidRPr="00BE3CBD">
        <w:rPr>
          <w:spacing w:val="-2"/>
          <w:lang w:val="fr-FR"/>
        </w:rPr>
        <w:t xml:space="preserve"> documentation</w:t>
      </w:r>
      <w:r w:rsidRPr="00BE3CBD">
        <w:rPr>
          <w:spacing w:val="-2"/>
          <w:lang w:val="fr-FR"/>
        </w:rPr>
        <w:t xml:space="preserve"> minimale</w:t>
      </w:r>
      <w:r w:rsidR="004B54C2" w:rsidRPr="00BE3CBD">
        <w:rPr>
          <w:spacing w:val="-2"/>
          <w:lang w:val="fr-FR"/>
        </w:rPr>
        <w:t xml:space="preserve"> du PCT</w:t>
      </w:r>
      <w:r w:rsidR="007A0BD8" w:rsidRPr="00BE3CBD">
        <w:rPr>
          <w:spacing w:val="-2"/>
          <w:lang w:val="fr-FR"/>
        </w:rPr>
        <w:t xml:space="preserve">.  </w:t>
      </w:r>
      <w:r w:rsidRPr="00BE3CBD">
        <w:rPr>
          <w:spacing w:val="-2"/>
          <w:lang w:val="fr-FR"/>
        </w:rPr>
        <w:t xml:space="preserve">Les premières tâches consisteront notamment à </w:t>
      </w:r>
      <w:r w:rsidR="007A0BD8" w:rsidRPr="00BE3CBD">
        <w:rPr>
          <w:spacing w:val="-2"/>
          <w:lang w:val="fr-FR"/>
        </w:rPr>
        <w:t>i) </w:t>
      </w:r>
      <w:r w:rsidRPr="00BE3CBD">
        <w:rPr>
          <w:spacing w:val="-2"/>
          <w:lang w:val="fr-FR"/>
        </w:rPr>
        <w:t xml:space="preserve">déterminer si le format </w:t>
      </w:r>
      <w:r w:rsidR="00F71F04">
        <w:rPr>
          <w:spacing w:val="-2"/>
          <w:lang w:val="fr-FR"/>
        </w:rPr>
        <w:t xml:space="preserve">de </w:t>
      </w:r>
      <w:r w:rsidR="007A0BD8" w:rsidRPr="00BE3CBD">
        <w:rPr>
          <w:spacing w:val="-2"/>
          <w:lang w:val="fr-FR"/>
        </w:rPr>
        <w:t>“</w:t>
      </w:r>
      <w:r w:rsidR="000510E1" w:rsidRPr="00BE3CBD">
        <w:rPr>
          <w:spacing w:val="-2"/>
          <w:lang w:val="fr-FR"/>
        </w:rPr>
        <w:t>fichier source</w:t>
      </w:r>
      <w:r w:rsidR="007A0BD8" w:rsidRPr="00BE3CBD">
        <w:rPr>
          <w:spacing w:val="-2"/>
          <w:lang w:val="fr-FR"/>
        </w:rPr>
        <w:t xml:space="preserve">” </w:t>
      </w:r>
      <w:r w:rsidRPr="00BE3CBD">
        <w:rPr>
          <w:spacing w:val="-2"/>
          <w:lang w:val="fr-FR"/>
        </w:rPr>
        <w:t>élaboré par les offices de l</w:t>
      </w:r>
      <w:r w:rsidR="004B54C2" w:rsidRPr="00BE3CBD">
        <w:rPr>
          <w:spacing w:val="-2"/>
          <w:lang w:val="fr-FR"/>
        </w:rPr>
        <w:t>’</w:t>
      </w:r>
      <w:r w:rsidR="007A0BD8" w:rsidRPr="00BE3CBD">
        <w:rPr>
          <w:spacing w:val="-2"/>
          <w:lang w:val="fr-FR"/>
        </w:rPr>
        <w:t>IP5</w:t>
      </w:r>
      <w:r w:rsidR="007A0BD8" w:rsidRPr="00BE3CBD">
        <w:rPr>
          <w:rStyle w:val="FootnoteReference"/>
          <w:spacing w:val="-2"/>
          <w:lang w:val="fr-FR"/>
        </w:rPr>
        <w:footnoteReference w:id="2"/>
      </w:r>
      <w:r w:rsidR="007A0BD8" w:rsidRPr="00BE3CBD">
        <w:rPr>
          <w:spacing w:val="-2"/>
          <w:lang w:val="fr-FR"/>
        </w:rPr>
        <w:t xml:space="preserve"> </w:t>
      </w:r>
      <w:r w:rsidR="005A77A0" w:rsidRPr="00BE3CBD">
        <w:rPr>
          <w:spacing w:val="-2"/>
          <w:lang w:val="fr-FR"/>
        </w:rPr>
        <w:t>pourrait se révéler utile et ii)</w:t>
      </w:r>
      <w:r w:rsidR="007A0BD8" w:rsidRPr="00BE3CBD">
        <w:rPr>
          <w:spacing w:val="-2"/>
          <w:lang w:val="fr-FR"/>
        </w:rPr>
        <w:t> </w:t>
      </w:r>
      <w:r w:rsidR="005A77A0" w:rsidRPr="00BE3CBD">
        <w:rPr>
          <w:spacing w:val="-2"/>
          <w:lang w:val="fr-FR"/>
        </w:rPr>
        <w:t xml:space="preserve">examiner les </w:t>
      </w:r>
      <w:r w:rsidR="007A0BD8" w:rsidRPr="00BE3CBD">
        <w:rPr>
          <w:spacing w:val="-2"/>
          <w:lang w:val="fr-FR"/>
        </w:rPr>
        <w:t xml:space="preserve">formats </w:t>
      </w:r>
      <w:r w:rsidR="005A77A0" w:rsidRPr="00BE3CBD">
        <w:rPr>
          <w:spacing w:val="-2"/>
          <w:lang w:val="fr-FR"/>
        </w:rPr>
        <w:t>et moyens de diffusion utilisés pour mettre à disposition les collections nationales de documents de brevet</w:t>
      </w:r>
      <w:r w:rsidR="007A0BD8" w:rsidRPr="00BE3CBD">
        <w:rPr>
          <w:spacing w:val="-2"/>
          <w:lang w:val="fr-FR"/>
        </w:rPr>
        <w:t>.</w:t>
      </w:r>
    </w:p>
    <w:p w:rsidR="007A0BD8" w:rsidRPr="00BE3CBD" w:rsidRDefault="00F60D61" w:rsidP="00A40D84">
      <w:pPr>
        <w:pStyle w:val="Heading1"/>
        <w:rPr>
          <w:spacing w:val="-2"/>
          <w:lang w:val="fr-FR"/>
        </w:rPr>
      </w:pPr>
      <w:r w:rsidRPr="00BE3CBD">
        <w:rPr>
          <w:spacing w:val="-2"/>
          <w:lang w:val="fr-FR"/>
        </w:rPr>
        <w:t>R</w:t>
      </w:r>
      <w:r w:rsidR="007A0BD8" w:rsidRPr="00BE3CBD">
        <w:rPr>
          <w:spacing w:val="-2"/>
          <w:lang w:val="fr-FR"/>
        </w:rPr>
        <w:t>a</w:t>
      </w:r>
      <w:r w:rsidR="005A77A0" w:rsidRPr="00BE3CBD">
        <w:rPr>
          <w:spacing w:val="-2"/>
          <w:lang w:val="fr-FR"/>
        </w:rPr>
        <w:t>ppel</w:t>
      </w:r>
    </w:p>
    <w:p w:rsidR="007A0BD8" w:rsidRPr="00BE3CBD" w:rsidRDefault="00F60D61" w:rsidP="00A40D84">
      <w:pPr>
        <w:pStyle w:val="ONUMFS"/>
        <w:rPr>
          <w:spacing w:val="-2"/>
          <w:lang w:val="fr-FR"/>
        </w:rPr>
      </w:pPr>
      <w:bookmarkStart w:id="5" w:name="_Ref377712795"/>
      <w:r w:rsidRPr="00BE3CBD">
        <w:rPr>
          <w:spacing w:val="-2"/>
          <w:lang w:val="fr-FR"/>
        </w:rPr>
        <w:t>À</w:t>
      </w:r>
      <w:r w:rsidR="005A77A0" w:rsidRPr="00BE3CBD">
        <w:rPr>
          <w:spacing w:val="-2"/>
          <w:lang w:val="fr-FR"/>
        </w:rPr>
        <w:t xml:space="preserve"> la dix</w:t>
      </w:r>
      <w:r w:rsidR="00320A21" w:rsidRPr="00BE3CBD">
        <w:rPr>
          <w:spacing w:val="-2"/>
          <w:lang w:val="fr-FR"/>
        </w:rPr>
        <w:noBreakHyphen/>
      </w:r>
      <w:r w:rsidR="005A77A0" w:rsidRPr="00BE3CBD">
        <w:rPr>
          <w:spacing w:val="-2"/>
          <w:lang w:val="fr-FR"/>
        </w:rPr>
        <w:t>neuvième Réunion des administrations internationales instituées en vertu</w:t>
      </w:r>
      <w:r w:rsidR="004B54C2" w:rsidRPr="00BE3CBD">
        <w:rPr>
          <w:spacing w:val="-2"/>
          <w:lang w:val="fr-FR"/>
        </w:rPr>
        <w:t xml:space="preserve"> du PCT</w:t>
      </w:r>
      <w:r w:rsidR="0053167F" w:rsidRPr="00BE3CBD">
        <w:rPr>
          <w:spacing w:val="-2"/>
          <w:lang w:val="fr-FR"/>
        </w:rPr>
        <w:t xml:space="preserve"> et à la cinquième session du Groupe de travail</w:t>
      </w:r>
      <w:r w:rsidR="004B54C2" w:rsidRPr="00BE3CBD">
        <w:rPr>
          <w:spacing w:val="-2"/>
          <w:lang w:val="fr-FR"/>
        </w:rPr>
        <w:t xml:space="preserve"> du PCT</w:t>
      </w:r>
      <w:r w:rsidR="0053167F" w:rsidRPr="00BE3CBD">
        <w:rPr>
          <w:spacing w:val="-2"/>
          <w:lang w:val="fr-FR"/>
        </w:rPr>
        <w:t xml:space="preserve">, le Bureau international a présenté des documents </w:t>
      </w:r>
      <w:r w:rsidR="007A0BD8" w:rsidRPr="00BE3CBD">
        <w:rPr>
          <w:spacing w:val="-2"/>
          <w:lang w:val="fr-FR"/>
        </w:rPr>
        <w:t xml:space="preserve">(PCT/MIA/19/13 </w:t>
      </w:r>
      <w:r w:rsidR="0053167F" w:rsidRPr="00BE3CBD">
        <w:rPr>
          <w:spacing w:val="-2"/>
          <w:lang w:val="fr-FR"/>
        </w:rPr>
        <w:t xml:space="preserve">et </w:t>
      </w:r>
      <w:r w:rsidR="007A0BD8" w:rsidRPr="00BE3CBD">
        <w:rPr>
          <w:spacing w:val="-2"/>
          <w:lang w:val="fr-FR"/>
        </w:rPr>
        <w:t>PCT/WG/5/16</w:t>
      </w:r>
      <w:r w:rsidR="00620BC1" w:rsidRPr="00BE3CBD">
        <w:rPr>
          <w:spacing w:val="-2"/>
          <w:lang w:val="fr-FR"/>
        </w:rPr>
        <w:t xml:space="preserve"> respective</w:t>
      </w:r>
      <w:r w:rsidR="0053167F" w:rsidRPr="00BE3CBD">
        <w:rPr>
          <w:spacing w:val="-2"/>
          <w:lang w:val="fr-FR"/>
        </w:rPr>
        <w:t>ment</w:t>
      </w:r>
      <w:r w:rsidR="007A0BD8" w:rsidRPr="00BE3CBD">
        <w:rPr>
          <w:spacing w:val="-2"/>
          <w:lang w:val="fr-FR"/>
        </w:rPr>
        <w:t xml:space="preserve">) </w:t>
      </w:r>
      <w:r w:rsidR="0053167F" w:rsidRPr="00BE3CBD">
        <w:rPr>
          <w:spacing w:val="-2"/>
          <w:lang w:val="fr-FR"/>
        </w:rPr>
        <w:t>suggérant de modifier la règle</w:t>
      </w:r>
      <w:r w:rsidR="00C74F38" w:rsidRPr="00BE3CBD">
        <w:rPr>
          <w:spacing w:val="-2"/>
          <w:lang w:val="fr-FR"/>
        </w:rPr>
        <w:t> </w:t>
      </w:r>
      <w:r w:rsidR="0053167F" w:rsidRPr="00BE3CBD">
        <w:rPr>
          <w:spacing w:val="-2"/>
          <w:lang w:val="fr-FR"/>
        </w:rPr>
        <w:t xml:space="preserve">34 de manière à inclure automatiquement la documentation </w:t>
      </w:r>
      <w:r w:rsidR="00E23DD8" w:rsidRPr="00BE3CBD">
        <w:rPr>
          <w:spacing w:val="-2"/>
          <w:lang w:val="fr-FR"/>
        </w:rPr>
        <w:t xml:space="preserve">de brevets </w:t>
      </w:r>
      <w:r w:rsidR="007435A6" w:rsidRPr="00BE3CBD">
        <w:rPr>
          <w:spacing w:val="-2"/>
          <w:lang w:val="fr-FR"/>
        </w:rPr>
        <w:t xml:space="preserve">nationale </w:t>
      </w:r>
      <w:r w:rsidR="0053167F" w:rsidRPr="00BE3CBD">
        <w:rPr>
          <w:spacing w:val="-2"/>
          <w:lang w:val="fr-FR"/>
        </w:rPr>
        <w:t>de tout État contractant</w:t>
      </w:r>
      <w:r w:rsidR="004B54C2" w:rsidRPr="00BE3CBD">
        <w:rPr>
          <w:spacing w:val="-2"/>
          <w:lang w:val="fr-FR"/>
        </w:rPr>
        <w:t xml:space="preserve"> du PCT</w:t>
      </w:r>
      <w:r w:rsidR="0053167F" w:rsidRPr="00BE3CBD">
        <w:rPr>
          <w:spacing w:val="-2"/>
          <w:lang w:val="fr-FR"/>
        </w:rPr>
        <w:t xml:space="preserve"> dans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53167F" w:rsidRPr="00BE3CBD">
        <w:rPr>
          <w:spacing w:val="-2"/>
          <w:lang w:val="fr-FR"/>
        </w:rPr>
        <w:t>, pour autant qu</w:t>
      </w:r>
      <w:r w:rsidR="004B54C2" w:rsidRPr="00BE3CBD">
        <w:rPr>
          <w:spacing w:val="-2"/>
          <w:lang w:val="fr-FR"/>
        </w:rPr>
        <w:t>’</w:t>
      </w:r>
      <w:r w:rsidR="00737AF8" w:rsidRPr="00BE3CBD">
        <w:rPr>
          <w:spacing w:val="-2"/>
          <w:lang w:val="fr-FR"/>
        </w:rPr>
        <w:t>e</w:t>
      </w:r>
      <w:r w:rsidR="0053167F" w:rsidRPr="00BE3CBD">
        <w:rPr>
          <w:spacing w:val="-2"/>
          <w:lang w:val="fr-FR"/>
        </w:rPr>
        <w:t xml:space="preserve">lle soit accessible de manière fiable dans un format électronique que les administrations internationales </w:t>
      </w:r>
      <w:r w:rsidR="00E23DD8" w:rsidRPr="00BE3CBD">
        <w:rPr>
          <w:spacing w:val="-2"/>
          <w:lang w:val="fr-FR"/>
        </w:rPr>
        <w:t>pourraient</w:t>
      </w:r>
      <w:r w:rsidR="0053167F" w:rsidRPr="00BE3CBD">
        <w:rPr>
          <w:spacing w:val="-2"/>
          <w:lang w:val="fr-FR"/>
        </w:rPr>
        <w:t xml:space="preserve"> charger </w:t>
      </w:r>
      <w:r w:rsidR="00E23DD8" w:rsidRPr="00BE3CBD">
        <w:rPr>
          <w:spacing w:val="-2"/>
          <w:lang w:val="fr-FR"/>
        </w:rPr>
        <w:t>facilement</w:t>
      </w:r>
      <w:r w:rsidR="0053167F" w:rsidRPr="00BE3CBD">
        <w:rPr>
          <w:spacing w:val="-2"/>
          <w:lang w:val="fr-FR"/>
        </w:rPr>
        <w:t xml:space="preserve"> dans leurs bases de données</w:t>
      </w:r>
      <w:r w:rsidR="007A0BD8" w:rsidRPr="00BE3CBD">
        <w:rPr>
          <w:spacing w:val="-2"/>
          <w:lang w:val="fr-FR"/>
        </w:rPr>
        <w:t>.  Certain</w:t>
      </w:r>
      <w:r w:rsidR="00E23DD8" w:rsidRPr="00BE3CBD">
        <w:rPr>
          <w:spacing w:val="-2"/>
          <w:lang w:val="fr-FR"/>
        </w:rPr>
        <w:t>es limitations techniques continueraient de s</w:t>
      </w:r>
      <w:r w:rsidR="004B54C2" w:rsidRPr="00BE3CBD">
        <w:rPr>
          <w:spacing w:val="-2"/>
          <w:lang w:val="fr-FR"/>
        </w:rPr>
        <w:t>’</w:t>
      </w:r>
      <w:r w:rsidR="00E23DD8" w:rsidRPr="00BE3CBD">
        <w:rPr>
          <w:spacing w:val="-2"/>
          <w:lang w:val="fr-FR"/>
        </w:rPr>
        <w:t xml:space="preserve">appliquer, eu égard notamment à la suppression des documents identiques et à la recherche de </w:t>
      </w:r>
      <w:r w:rsidR="007A0BD8" w:rsidRPr="00BE3CBD">
        <w:rPr>
          <w:spacing w:val="-2"/>
          <w:lang w:val="fr-FR"/>
        </w:rPr>
        <w:t xml:space="preserve">documents </w:t>
      </w:r>
      <w:r w:rsidR="00E23DD8" w:rsidRPr="00BE3CBD">
        <w:rPr>
          <w:spacing w:val="-2"/>
          <w:lang w:val="fr-FR"/>
        </w:rPr>
        <w:t xml:space="preserve">dans des </w:t>
      </w:r>
      <w:r w:rsidR="007A0BD8" w:rsidRPr="00BE3CBD">
        <w:rPr>
          <w:spacing w:val="-2"/>
          <w:lang w:val="fr-FR"/>
        </w:rPr>
        <w:t>langues inaccessible</w:t>
      </w:r>
      <w:r w:rsidR="00E23DD8" w:rsidRPr="00BE3CBD">
        <w:rPr>
          <w:spacing w:val="-2"/>
          <w:lang w:val="fr-FR"/>
        </w:rPr>
        <w:t>s à l</w:t>
      </w:r>
      <w:r w:rsidR="004B54C2" w:rsidRPr="00BE3CBD">
        <w:rPr>
          <w:spacing w:val="-2"/>
          <w:lang w:val="fr-FR"/>
        </w:rPr>
        <w:t>’</w:t>
      </w:r>
      <w:r w:rsidR="00E23DD8" w:rsidRPr="00BE3CBD">
        <w:rPr>
          <w:spacing w:val="-2"/>
          <w:lang w:val="fr-FR"/>
        </w:rPr>
        <w:t>examinateur</w:t>
      </w:r>
      <w:r w:rsidR="007A0BD8" w:rsidRPr="00BE3CBD">
        <w:rPr>
          <w:spacing w:val="-2"/>
          <w:lang w:val="fr-FR"/>
        </w:rPr>
        <w:t>.</w:t>
      </w:r>
      <w:bookmarkEnd w:id="5"/>
    </w:p>
    <w:p w:rsidR="004B54C2" w:rsidRPr="00BE3CBD" w:rsidRDefault="00E23DD8" w:rsidP="00A40D84">
      <w:pPr>
        <w:pStyle w:val="ONUMFS"/>
        <w:rPr>
          <w:spacing w:val="-2"/>
          <w:lang w:val="fr-FR"/>
        </w:rPr>
      </w:pPr>
      <w:bookmarkStart w:id="6" w:name="_Ref377712797"/>
      <w:r w:rsidRPr="00BE3CBD">
        <w:rPr>
          <w:spacing w:val="-2"/>
          <w:lang w:val="fr-FR"/>
        </w:rPr>
        <w:lastRenderedPageBreak/>
        <w:t>Cette initiative avait pour objet de renforcer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accès à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information contenue dans les documents de brevet en élargissant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éventail des techniques et des langues couvertes et, ainsi, de </w:t>
      </w:r>
      <w:r w:rsidR="0073675C" w:rsidRPr="00BE3CBD">
        <w:rPr>
          <w:spacing w:val="-2"/>
          <w:lang w:val="fr-FR"/>
        </w:rPr>
        <w:t>faciliter</w:t>
      </w:r>
      <w:r w:rsidRPr="00BE3CBD">
        <w:rPr>
          <w:spacing w:val="-2"/>
          <w:lang w:val="fr-FR"/>
        </w:rPr>
        <w:t xml:space="preserve"> la recherche </w:t>
      </w:r>
      <w:r w:rsidR="0073675C" w:rsidRPr="00BE3CBD">
        <w:rPr>
          <w:spacing w:val="-2"/>
          <w:lang w:val="fr-FR"/>
        </w:rPr>
        <w:t>de cette information en vue, notamment, d</w:t>
      </w:r>
      <w:r w:rsidR="004B54C2" w:rsidRPr="00BE3CBD">
        <w:rPr>
          <w:spacing w:val="-2"/>
          <w:lang w:val="fr-FR"/>
        </w:rPr>
        <w:t>’</w:t>
      </w:r>
      <w:r w:rsidR="0073675C" w:rsidRPr="00BE3CBD">
        <w:rPr>
          <w:spacing w:val="-2"/>
          <w:lang w:val="fr-FR"/>
        </w:rPr>
        <w:t>améliorer la qualité de la recherche internationale, ainsi que l</w:t>
      </w:r>
      <w:r w:rsidR="004B54C2" w:rsidRPr="00BE3CBD">
        <w:rPr>
          <w:spacing w:val="-2"/>
          <w:lang w:val="fr-FR"/>
        </w:rPr>
        <w:t>’</w:t>
      </w:r>
      <w:r w:rsidR="0073675C" w:rsidRPr="00BE3CBD">
        <w:rPr>
          <w:spacing w:val="-2"/>
          <w:lang w:val="fr-FR"/>
        </w:rPr>
        <w:t>accès des tiers à l</w:t>
      </w:r>
      <w:r w:rsidR="004B54C2" w:rsidRPr="00BE3CBD">
        <w:rPr>
          <w:spacing w:val="-2"/>
          <w:lang w:val="fr-FR"/>
        </w:rPr>
        <w:t>’</w:t>
      </w:r>
      <w:r w:rsidR="0073675C" w:rsidRPr="00BE3CBD">
        <w:rPr>
          <w:spacing w:val="-2"/>
          <w:lang w:val="fr-FR"/>
        </w:rPr>
        <w:t>information en matière de brevets</w:t>
      </w:r>
      <w:r w:rsidR="00846556" w:rsidRPr="00BE3CBD">
        <w:rPr>
          <w:spacing w:val="-2"/>
          <w:lang w:val="fr-FR"/>
        </w:rPr>
        <w:t>.</w:t>
      </w:r>
      <w:bookmarkEnd w:id="6"/>
    </w:p>
    <w:p w:rsidR="004B54C2" w:rsidRPr="00BE3CBD" w:rsidRDefault="0073675C" w:rsidP="00A40D84">
      <w:pPr>
        <w:pStyle w:val="ONUMFS"/>
        <w:rPr>
          <w:spacing w:val="-2"/>
          <w:lang w:val="fr-FR"/>
        </w:rPr>
      </w:pPr>
      <w:r w:rsidRPr="00BE3CBD">
        <w:rPr>
          <w:spacing w:val="-2"/>
          <w:lang w:val="fr-FR"/>
        </w:rPr>
        <w:t>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une des premières étapes consistait à évaluer correctement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étendue de la documentation minimale existante. 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inventaire contenu dans </w:t>
      </w:r>
      <w:r w:rsidR="00374D36" w:rsidRPr="00BE3CBD">
        <w:rPr>
          <w:spacing w:val="-2"/>
          <w:lang w:val="fr-FR"/>
        </w:rPr>
        <w:t xml:space="preserve">le </w:t>
      </w:r>
      <w:r w:rsidR="00374D36" w:rsidRPr="00BE3CBD">
        <w:rPr>
          <w:i/>
          <w:spacing w:val="-2"/>
          <w:lang w:val="fr-FR"/>
        </w:rPr>
        <w:t>Manuel de l</w:t>
      </w:r>
      <w:r w:rsidR="004B54C2" w:rsidRPr="00BE3CBD">
        <w:rPr>
          <w:i/>
          <w:spacing w:val="-2"/>
          <w:lang w:val="fr-FR"/>
        </w:rPr>
        <w:t>’</w:t>
      </w:r>
      <w:r w:rsidR="00374D36" w:rsidRPr="00BE3CBD">
        <w:rPr>
          <w:i/>
          <w:spacing w:val="-2"/>
          <w:lang w:val="fr-FR"/>
        </w:rPr>
        <w:t>OMPI sur l</w:t>
      </w:r>
      <w:r w:rsidR="004B54C2" w:rsidRPr="00BE3CBD">
        <w:rPr>
          <w:i/>
          <w:spacing w:val="-2"/>
          <w:lang w:val="fr-FR"/>
        </w:rPr>
        <w:t>’</w:t>
      </w:r>
      <w:r w:rsidR="00374D36" w:rsidRPr="00BE3CBD">
        <w:rPr>
          <w:i/>
          <w:spacing w:val="-2"/>
          <w:lang w:val="fr-FR"/>
        </w:rPr>
        <w:t>information et la documentation en matière de propriété industrielle</w:t>
      </w:r>
      <w:r w:rsidR="00374D36" w:rsidRPr="00BE3CBD">
        <w:rPr>
          <w:spacing w:val="-2"/>
          <w:lang w:val="fr-FR"/>
        </w:rPr>
        <w:t xml:space="preserve"> n</w:t>
      </w:r>
      <w:r w:rsidR="004B54C2" w:rsidRPr="00BE3CBD">
        <w:rPr>
          <w:spacing w:val="-2"/>
          <w:lang w:val="fr-FR"/>
        </w:rPr>
        <w:t>’</w:t>
      </w:r>
      <w:r w:rsidR="00374D36" w:rsidRPr="00BE3CBD">
        <w:rPr>
          <w:spacing w:val="-2"/>
          <w:lang w:val="fr-FR"/>
        </w:rPr>
        <w:t>avait pas été mis à jour depuis novembre 2</w:t>
      </w:r>
      <w:r w:rsidR="007A0BD8" w:rsidRPr="00BE3CBD">
        <w:rPr>
          <w:spacing w:val="-2"/>
          <w:lang w:val="fr-FR"/>
        </w:rPr>
        <w:t xml:space="preserve">001.  </w:t>
      </w:r>
      <w:r w:rsidR="00374D36" w:rsidRPr="00BE3CBD">
        <w:rPr>
          <w:spacing w:val="-2"/>
          <w:lang w:val="fr-FR"/>
        </w:rPr>
        <w:t>Depuis lors, outre le fait que les listes de</w:t>
      </w:r>
      <w:r w:rsidR="007435A6" w:rsidRPr="00BE3CBD">
        <w:rPr>
          <w:spacing w:val="-2"/>
          <w:lang w:val="fr-FR"/>
        </w:rPr>
        <w:t>s</w:t>
      </w:r>
      <w:r w:rsidR="00374D36" w:rsidRPr="00BE3CBD">
        <w:rPr>
          <w:spacing w:val="-2"/>
          <w:lang w:val="fr-FR"/>
        </w:rPr>
        <w:t xml:space="preserve"> publications des offices représentés devenaient obsolètes, deux nouvelles collections avaient été </w:t>
      </w:r>
      <w:r w:rsidR="00204CE7" w:rsidRPr="00BE3CBD">
        <w:rPr>
          <w:spacing w:val="-2"/>
          <w:lang w:val="fr-FR"/>
        </w:rPr>
        <w:t>ajoutées à</w:t>
      </w:r>
      <w:r w:rsidR="00374D36" w:rsidRPr="00BE3CBD">
        <w:rPr>
          <w:spacing w:val="-2"/>
          <w:lang w:val="fr-FR"/>
        </w:rPr>
        <w:t xml:space="preserve"> la liste </w:t>
      </w:r>
      <w:r w:rsidR="007435A6" w:rsidRPr="00BE3CBD">
        <w:rPr>
          <w:spacing w:val="-2"/>
          <w:lang w:val="fr-FR"/>
        </w:rPr>
        <w:t>énoncée à la règle 34.1.</w:t>
      </w:r>
      <w:r w:rsidR="007A0BD8" w:rsidRPr="00BE3CBD">
        <w:rPr>
          <w:spacing w:val="-2"/>
          <w:lang w:val="fr-FR"/>
        </w:rPr>
        <w:t>c</w:t>
      </w:r>
      <w:proofErr w:type="gramStart"/>
      <w:r w:rsidR="007A0BD8" w:rsidRPr="00BE3CBD">
        <w:rPr>
          <w:spacing w:val="-2"/>
          <w:lang w:val="fr-FR"/>
        </w:rPr>
        <w:t>)ii</w:t>
      </w:r>
      <w:proofErr w:type="gramEnd"/>
      <w:r w:rsidR="007A0BD8" w:rsidRPr="00BE3CBD">
        <w:rPr>
          <w:spacing w:val="-2"/>
          <w:lang w:val="fr-FR"/>
        </w:rPr>
        <w:t>) (</w:t>
      </w:r>
      <w:r w:rsidR="007435A6" w:rsidRPr="00BE3CBD">
        <w:rPr>
          <w:spacing w:val="-2"/>
          <w:lang w:val="fr-FR"/>
        </w:rPr>
        <w:t>celles de la République de Corée et de la République populaire de Chine</w:t>
      </w:r>
      <w:r w:rsidR="007A0BD8" w:rsidRPr="00BE3CBD">
        <w:rPr>
          <w:spacing w:val="-2"/>
          <w:lang w:val="fr-FR"/>
        </w:rPr>
        <w:t xml:space="preserve">) </w:t>
      </w:r>
      <w:r w:rsidR="007435A6" w:rsidRPr="00BE3CBD">
        <w:rPr>
          <w:spacing w:val="-2"/>
          <w:lang w:val="fr-FR"/>
        </w:rPr>
        <w:t>et d</w:t>
      </w:r>
      <w:r w:rsidR="004B54C2" w:rsidRPr="00BE3CBD">
        <w:rPr>
          <w:spacing w:val="-2"/>
          <w:lang w:val="fr-FR"/>
        </w:rPr>
        <w:t>’</w:t>
      </w:r>
      <w:r w:rsidR="007435A6" w:rsidRPr="00BE3CBD">
        <w:rPr>
          <w:spacing w:val="-2"/>
          <w:lang w:val="fr-FR"/>
        </w:rPr>
        <w:t>autres États pouvaient avoir mis leurs collections à disposition conformément à la règle </w:t>
      </w:r>
      <w:r w:rsidR="007A0BD8" w:rsidRPr="00BE3CBD">
        <w:rPr>
          <w:spacing w:val="-2"/>
          <w:lang w:val="fr-FR"/>
        </w:rPr>
        <w:t>34.1</w:t>
      </w:r>
      <w:r w:rsidR="007435A6" w:rsidRPr="00BE3CBD">
        <w:rPr>
          <w:spacing w:val="-2"/>
          <w:lang w:val="fr-FR"/>
        </w:rPr>
        <w:t>.</w:t>
      </w:r>
      <w:r w:rsidR="007A0BD8" w:rsidRPr="00BE3CBD">
        <w:rPr>
          <w:spacing w:val="-2"/>
          <w:lang w:val="fr-FR"/>
        </w:rPr>
        <w:t>c)vi).</w:t>
      </w:r>
    </w:p>
    <w:p w:rsidR="007A0BD8" w:rsidRPr="00BE3CBD" w:rsidRDefault="007435A6" w:rsidP="00A40D84">
      <w:pPr>
        <w:pStyle w:val="ONUMFS"/>
        <w:rPr>
          <w:spacing w:val="-2"/>
          <w:lang w:val="fr-FR"/>
        </w:rPr>
      </w:pPr>
      <w:r w:rsidRPr="00BE3CBD">
        <w:rPr>
          <w:spacing w:val="-2"/>
          <w:lang w:val="fr-FR"/>
        </w:rPr>
        <w:t>Étant donné qu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un exercice similaire d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évaluation de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étendue des collections de documents de brevet était mené dans le cadre des </w:t>
      </w:r>
      <w:r w:rsidR="000C0660" w:rsidRPr="00BE3CBD">
        <w:rPr>
          <w:spacing w:val="-2"/>
          <w:lang w:val="fr-FR"/>
        </w:rPr>
        <w:t xml:space="preserve">travaux des </w:t>
      </w:r>
      <w:r w:rsidRPr="00BE3CBD">
        <w:rPr>
          <w:spacing w:val="-2"/>
          <w:lang w:val="fr-FR"/>
        </w:rPr>
        <w:t>offices de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IP5, il a</w:t>
      </w:r>
      <w:r w:rsidR="00204CE7" w:rsidRPr="00BE3CBD">
        <w:rPr>
          <w:spacing w:val="-2"/>
          <w:lang w:val="fr-FR"/>
        </w:rPr>
        <w:t>vait</w:t>
      </w:r>
      <w:r w:rsidRPr="00BE3CBD">
        <w:rPr>
          <w:spacing w:val="-2"/>
          <w:lang w:val="fr-FR"/>
        </w:rPr>
        <w:t xml:space="preserve"> été convenu, à la dix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 xml:space="preserve">neuvième Réunion des administrations internationales </w:t>
      </w:r>
      <w:r w:rsidR="000C0660" w:rsidRPr="00BE3CBD">
        <w:rPr>
          <w:spacing w:val="-2"/>
          <w:lang w:val="fr-FR"/>
        </w:rPr>
        <w:t xml:space="preserve">instituées </w:t>
      </w:r>
      <w:r w:rsidR="00620BC1" w:rsidRPr="00BE3CBD">
        <w:rPr>
          <w:spacing w:val="-2"/>
          <w:lang w:val="fr-FR"/>
        </w:rPr>
        <w:t>e</w:t>
      </w:r>
      <w:r w:rsidR="000C0660" w:rsidRPr="00BE3CBD">
        <w:rPr>
          <w:spacing w:val="-2"/>
          <w:lang w:val="fr-FR"/>
        </w:rPr>
        <w:t>n vertu</w:t>
      </w:r>
      <w:r w:rsidR="004B54C2" w:rsidRPr="00BE3CBD">
        <w:rPr>
          <w:spacing w:val="-2"/>
          <w:lang w:val="fr-FR"/>
        </w:rPr>
        <w:t xml:space="preserve"> du PCT</w:t>
      </w:r>
      <w:r w:rsidR="000C0660" w:rsidRPr="00BE3CBD">
        <w:rPr>
          <w:spacing w:val="-2"/>
          <w:lang w:val="fr-FR"/>
        </w:rPr>
        <w:t xml:space="preserve"> et à la cinquième session du Groupe de travail</w:t>
      </w:r>
      <w:r w:rsidR="004B54C2" w:rsidRPr="00BE3CBD">
        <w:rPr>
          <w:spacing w:val="-2"/>
          <w:lang w:val="fr-FR"/>
        </w:rPr>
        <w:t xml:space="preserve"> du PCT</w:t>
      </w:r>
      <w:r w:rsidR="00620BC1" w:rsidRPr="00BE3CBD">
        <w:rPr>
          <w:spacing w:val="-2"/>
          <w:lang w:val="fr-FR"/>
        </w:rPr>
        <w:t>,</w:t>
      </w:r>
      <w:r w:rsidR="007A0BD8" w:rsidRPr="00BE3CBD">
        <w:rPr>
          <w:spacing w:val="-2"/>
          <w:lang w:val="fr-FR"/>
        </w:rPr>
        <w:t xml:space="preserve"> </w:t>
      </w:r>
      <w:r w:rsidR="000C0660" w:rsidRPr="00BE3CBD">
        <w:rPr>
          <w:spacing w:val="-2"/>
          <w:lang w:val="fr-FR"/>
        </w:rPr>
        <w:t>d</w:t>
      </w:r>
      <w:r w:rsidR="004B54C2" w:rsidRPr="00BE3CBD">
        <w:rPr>
          <w:spacing w:val="-2"/>
          <w:lang w:val="fr-FR"/>
        </w:rPr>
        <w:t>’</w:t>
      </w:r>
      <w:r w:rsidR="000C0660" w:rsidRPr="00BE3CBD">
        <w:rPr>
          <w:spacing w:val="-2"/>
          <w:lang w:val="fr-FR"/>
        </w:rPr>
        <w:t xml:space="preserve">attendre la mise à disposition </w:t>
      </w:r>
      <w:r w:rsidR="000510E1" w:rsidRPr="00BE3CBD">
        <w:rPr>
          <w:spacing w:val="-2"/>
          <w:lang w:val="fr-FR"/>
        </w:rPr>
        <w:t xml:space="preserve">des spécifications des fichiers </w:t>
      </w:r>
      <w:r w:rsidR="00737AF8" w:rsidRPr="00BE3CBD">
        <w:rPr>
          <w:spacing w:val="-2"/>
          <w:lang w:val="fr-FR"/>
        </w:rPr>
        <w:t xml:space="preserve">et des </w:t>
      </w:r>
      <w:r w:rsidR="007A0BD8" w:rsidRPr="00BE3CBD">
        <w:rPr>
          <w:spacing w:val="-2"/>
          <w:lang w:val="fr-FR"/>
        </w:rPr>
        <w:t>“</w:t>
      </w:r>
      <w:r w:rsidR="00737AF8" w:rsidRPr="00BE3CBD">
        <w:rPr>
          <w:spacing w:val="-2"/>
          <w:lang w:val="fr-FR"/>
        </w:rPr>
        <w:t>fichiers sources</w:t>
      </w:r>
      <w:r w:rsidR="007A0BD8" w:rsidRPr="00BE3CBD">
        <w:rPr>
          <w:spacing w:val="-2"/>
          <w:lang w:val="fr-FR"/>
        </w:rPr>
        <w:t xml:space="preserve">” </w:t>
      </w:r>
      <w:r w:rsidR="00737AF8" w:rsidRPr="00BE3CBD">
        <w:rPr>
          <w:spacing w:val="-2"/>
          <w:lang w:val="fr-FR"/>
        </w:rPr>
        <w:t xml:space="preserve">établis par ces offices afin de pouvoir déterminer si la même procédure serait applicable </w:t>
      </w:r>
      <w:r w:rsidR="00D55555" w:rsidRPr="00BE3CBD">
        <w:rPr>
          <w:spacing w:val="-2"/>
          <w:lang w:val="fr-FR"/>
        </w:rPr>
        <w:t xml:space="preserve">pour </w:t>
      </w:r>
      <w:r w:rsidR="00CC2619" w:rsidRPr="00BE3CBD">
        <w:rPr>
          <w:spacing w:val="-2"/>
          <w:lang w:val="fr-FR"/>
        </w:rPr>
        <w:t xml:space="preserve">le recensement des </w:t>
      </w:r>
      <w:r w:rsidR="007A0BD8" w:rsidRPr="00BE3CBD">
        <w:rPr>
          <w:spacing w:val="-2"/>
          <w:lang w:val="fr-FR"/>
        </w:rPr>
        <w:t>document</w:t>
      </w:r>
      <w:r w:rsidR="00CC2619" w:rsidRPr="00BE3CBD">
        <w:rPr>
          <w:spacing w:val="-2"/>
          <w:lang w:val="fr-FR"/>
        </w:rPr>
        <w:t>s contenus dans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7A0BD8" w:rsidRPr="00BE3CBD">
        <w:rPr>
          <w:spacing w:val="-2"/>
          <w:lang w:val="fr-FR"/>
        </w:rPr>
        <w:t>.</w:t>
      </w:r>
    </w:p>
    <w:p w:rsidR="00846556" w:rsidRPr="00BE3CBD" w:rsidRDefault="00846556" w:rsidP="00A40D84">
      <w:pPr>
        <w:pStyle w:val="Heading1"/>
        <w:rPr>
          <w:spacing w:val="-2"/>
          <w:lang w:val="fr-FR"/>
        </w:rPr>
      </w:pPr>
      <w:r w:rsidRPr="00BE3CBD">
        <w:rPr>
          <w:spacing w:val="-2"/>
          <w:lang w:val="fr-FR"/>
        </w:rPr>
        <w:t xml:space="preserve">Phase </w:t>
      </w:r>
      <w:r w:rsidR="00CC2619" w:rsidRPr="00BE3CBD">
        <w:rPr>
          <w:spacing w:val="-2"/>
          <w:lang w:val="fr-FR"/>
        </w:rPr>
        <w:t>actuelle des travaux</w:t>
      </w:r>
    </w:p>
    <w:p w:rsidR="006E6E64" w:rsidRPr="00BE3CBD" w:rsidRDefault="00CC2619" w:rsidP="00A40D84">
      <w:pPr>
        <w:pStyle w:val="ONUMFS"/>
        <w:rPr>
          <w:spacing w:val="-2"/>
          <w:lang w:val="fr-FR"/>
        </w:rPr>
      </w:pPr>
      <w:bookmarkStart w:id="7" w:name="_Ref414442071"/>
      <w:r w:rsidRPr="00BE3CBD">
        <w:rPr>
          <w:spacing w:val="-2"/>
          <w:lang w:val="fr-FR"/>
        </w:rPr>
        <w:t>Les fichiers sources</w:t>
      </w:r>
      <w:r w:rsidR="006E6E64" w:rsidRPr="00BE3CBD">
        <w:rPr>
          <w:spacing w:val="-2"/>
          <w:lang w:val="fr-FR"/>
        </w:rPr>
        <w:t xml:space="preserve"> initia</w:t>
      </w:r>
      <w:r w:rsidRPr="00BE3CBD">
        <w:rPr>
          <w:spacing w:val="-2"/>
          <w:lang w:val="fr-FR"/>
        </w:rPr>
        <w:t>ux ont été mis à disposition</w:t>
      </w:r>
      <w:r w:rsidR="00846556" w:rsidRPr="00BE3CBD">
        <w:rPr>
          <w:rStyle w:val="FootnoteReference"/>
          <w:spacing w:val="-2"/>
          <w:lang w:val="fr-FR"/>
        </w:rPr>
        <w:footnoteReference w:id="3"/>
      </w:r>
      <w:r w:rsidR="006E6E64" w:rsidRPr="00BE3CBD">
        <w:rPr>
          <w:spacing w:val="-2"/>
          <w:lang w:val="fr-FR"/>
        </w:rPr>
        <w:t>.</w:t>
      </w:r>
      <w:r w:rsidR="00D77397" w:rsidRPr="00BE3CBD">
        <w:rPr>
          <w:spacing w:val="-2"/>
          <w:lang w:val="fr-FR"/>
        </w:rPr>
        <w:t xml:space="preserve"> </w:t>
      </w:r>
      <w:r w:rsidR="00ED3177" w:rsidRPr="00BE3CBD">
        <w:rPr>
          <w:spacing w:val="-2"/>
          <w:lang w:val="fr-FR"/>
        </w:rPr>
        <w:t xml:space="preserve"> La vingt</w:t>
      </w:r>
      <w:r w:rsidR="00320A21" w:rsidRPr="00BE3CBD">
        <w:rPr>
          <w:spacing w:val="-2"/>
          <w:lang w:val="fr-FR"/>
        </w:rPr>
        <w:noBreakHyphen/>
      </w:r>
      <w:r w:rsidR="00ED3177" w:rsidRPr="00BE3CBD">
        <w:rPr>
          <w:spacing w:val="-2"/>
          <w:lang w:val="fr-FR"/>
        </w:rPr>
        <w:t>deuxième Réunion des administrations internationales instituées en vertu</w:t>
      </w:r>
      <w:r w:rsidR="004B54C2" w:rsidRPr="00BE3CBD">
        <w:rPr>
          <w:spacing w:val="-2"/>
          <w:lang w:val="fr-FR"/>
        </w:rPr>
        <w:t xml:space="preserve"> du PCT</w:t>
      </w:r>
      <w:r w:rsidR="00ED3177" w:rsidRPr="00BE3CBD">
        <w:rPr>
          <w:spacing w:val="-2"/>
          <w:lang w:val="fr-FR"/>
        </w:rPr>
        <w:t xml:space="preserve"> a donc estimé opportun de réactiver le Groupe de travail sur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ED3177" w:rsidRPr="00BE3CBD">
        <w:rPr>
          <w:spacing w:val="-2"/>
          <w:lang w:val="fr-FR"/>
        </w:rPr>
        <w:t xml:space="preserve"> avec pour première tâche d</w:t>
      </w:r>
      <w:r w:rsidR="004B54C2" w:rsidRPr="00BE3CBD">
        <w:rPr>
          <w:spacing w:val="-2"/>
          <w:lang w:val="fr-FR"/>
        </w:rPr>
        <w:t>’</w:t>
      </w:r>
      <w:r w:rsidR="00ED3177" w:rsidRPr="00BE3CBD">
        <w:rPr>
          <w:spacing w:val="-2"/>
          <w:lang w:val="fr-FR"/>
        </w:rPr>
        <w:t xml:space="preserve">examiner les questions </w:t>
      </w:r>
      <w:r w:rsidR="00204CE7" w:rsidRPr="00BE3CBD">
        <w:rPr>
          <w:spacing w:val="-2"/>
          <w:lang w:val="fr-FR"/>
        </w:rPr>
        <w:t>ci</w:t>
      </w:r>
      <w:r w:rsidR="00320A21" w:rsidRPr="00BE3CBD">
        <w:rPr>
          <w:spacing w:val="-2"/>
          <w:lang w:val="fr-FR"/>
        </w:rPr>
        <w:noBreakHyphen/>
      </w:r>
      <w:r w:rsidR="00204CE7" w:rsidRPr="00BE3CBD">
        <w:rPr>
          <w:spacing w:val="-2"/>
          <w:lang w:val="fr-FR"/>
        </w:rPr>
        <w:t>après</w:t>
      </w:r>
      <w:r w:rsidR="00ED3177" w:rsidRPr="00BE3CBD">
        <w:rPr>
          <w:spacing w:val="-2"/>
          <w:lang w:val="fr-FR"/>
        </w:rPr>
        <w:t xml:space="preserve"> et de formuler des recommandations à cet égard </w:t>
      </w:r>
      <w:r w:rsidR="00D85751" w:rsidRPr="00BE3CBD">
        <w:rPr>
          <w:spacing w:val="-2"/>
          <w:lang w:val="fr-FR"/>
        </w:rPr>
        <w:t>(</w:t>
      </w:r>
      <w:r w:rsidR="00ED3177" w:rsidRPr="00BE3CBD">
        <w:rPr>
          <w:spacing w:val="-2"/>
          <w:lang w:val="fr-FR"/>
        </w:rPr>
        <w:t xml:space="preserve">voir les </w:t>
      </w:r>
      <w:r w:rsidR="00D85751" w:rsidRPr="00BE3CBD">
        <w:rPr>
          <w:spacing w:val="-2"/>
          <w:lang w:val="fr-FR"/>
        </w:rPr>
        <w:t>paragraph</w:t>
      </w:r>
      <w:r w:rsidR="00ED3177" w:rsidRPr="00BE3CBD">
        <w:rPr>
          <w:spacing w:val="-2"/>
          <w:lang w:val="fr-FR"/>
        </w:rPr>
        <w:t>e</w:t>
      </w:r>
      <w:r w:rsidR="00D85751" w:rsidRPr="00BE3CBD">
        <w:rPr>
          <w:spacing w:val="-2"/>
          <w:lang w:val="fr-FR"/>
        </w:rPr>
        <w:t xml:space="preserve">s 62 </w:t>
      </w:r>
      <w:r w:rsidR="00ED3177" w:rsidRPr="00BE3CBD">
        <w:rPr>
          <w:spacing w:val="-2"/>
          <w:lang w:val="fr-FR"/>
        </w:rPr>
        <w:t xml:space="preserve">à </w:t>
      </w:r>
      <w:r w:rsidR="00D85751" w:rsidRPr="00BE3CBD">
        <w:rPr>
          <w:spacing w:val="-2"/>
          <w:lang w:val="fr-FR"/>
        </w:rPr>
        <w:t xml:space="preserve">65 </w:t>
      </w:r>
      <w:r w:rsidR="00ED3177" w:rsidRPr="00BE3CBD">
        <w:rPr>
          <w:spacing w:val="-2"/>
          <w:lang w:val="fr-FR"/>
        </w:rPr>
        <w:t xml:space="preserve">du </w:t>
      </w:r>
      <w:r w:rsidR="004B54C2" w:rsidRPr="00BE3CBD">
        <w:rPr>
          <w:spacing w:val="-2"/>
          <w:lang w:val="fr-FR"/>
        </w:rPr>
        <w:t>document PC</w:t>
      </w:r>
      <w:r w:rsidR="00D85751" w:rsidRPr="00BE3CBD">
        <w:rPr>
          <w:spacing w:val="-2"/>
          <w:lang w:val="fr-FR"/>
        </w:rPr>
        <w:t>T/MIA/22/22 reprodu</w:t>
      </w:r>
      <w:r w:rsidR="00ED3177" w:rsidRPr="00BE3CBD">
        <w:rPr>
          <w:spacing w:val="-2"/>
          <w:lang w:val="fr-FR"/>
        </w:rPr>
        <w:t>it dans l</w:t>
      </w:r>
      <w:r w:rsidR="004B54C2" w:rsidRPr="00BE3CBD">
        <w:rPr>
          <w:spacing w:val="-2"/>
          <w:lang w:val="fr-FR"/>
        </w:rPr>
        <w:t>’</w:t>
      </w:r>
      <w:r w:rsidR="00ED3177" w:rsidRPr="00BE3CBD">
        <w:rPr>
          <w:spacing w:val="-2"/>
          <w:lang w:val="fr-FR"/>
        </w:rPr>
        <w:t xml:space="preserve">annexe du </w:t>
      </w:r>
      <w:r w:rsidR="004B54C2" w:rsidRPr="00BE3CBD">
        <w:rPr>
          <w:spacing w:val="-2"/>
          <w:lang w:val="fr-FR"/>
        </w:rPr>
        <w:t>document PC</w:t>
      </w:r>
      <w:r w:rsidR="00D85751" w:rsidRPr="00BE3CBD">
        <w:rPr>
          <w:spacing w:val="-2"/>
          <w:lang w:val="fr-FR"/>
        </w:rPr>
        <w:t>T/WG/8/2)</w:t>
      </w:r>
      <w:r w:rsidR="00ED3177" w:rsidRPr="00BE3CBD">
        <w:rPr>
          <w:spacing w:val="-2"/>
          <w:lang w:val="fr-FR"/>
        </w:rPr>
        <w:t> </w:t>
      </w:r>
      <w:r w:rsidR="00D85751" w:rsidRPr="00BE3CBD">
        <w:rPr>
          <w:spacing w:val="-2"/>
          <w:lang w:val="fr-FR"/>
        </w:rPr>
        <w:t>:</w:t>
      </w:r>
      <w:bookmarkEnd w:id="7"/>
    </w:p>
    <w:p w:rsidR="00D85751" w:rsidRPr="00BE3CBD" w:rsidRDefault="00ED3177" w:rsidP="00A40D84">
      <w:pPr>
        <w:pStyle w:val="ONUMFS"/>
        <w:numPr>
          <w:ilvl w:val="1"/>
          <w:numId w:val="6"/>
        </w:numPr>
        <w:rPr>
          <w:spacing w:val="-2"/>
          <w:lang w:val="fr-FR"/>
        </w:rPr>
      </w:pPr>
      <w:r w:rsidRPr="00BE3CBD">
        <w:rPr>
          <w:i/>
          <w:iCs/>
          <w:spacing w:val="-2"/>
          <w:lang w:val="fr-FR"/>
        </w:rPr>
        <w:t xml:space="preserve">Recensement </w:t>
      </w:r>
      <w:r w:rsidR="00DF57EE" w:rsidRPr="00BE3CBD">
        <w:rPr>
          <w:i/>
          <w:iCs/>
          <w:spacing w:val="-2"/>
          <w:lang w:val="fr-FR"/>
        </w:rPr>
        <w:t xml:space="preserve">du contenu </w:t>
      </w:r>
      <w:r w:rsidRPr="00BE3CBD">
        <w:rPr>
          <w:i/>
          <w:iCs/>
          <w:spacing w:val="-2"/>
          <w:lang w:val="fr-FR"/>
        </w:rPr>
        <w:t>des collections nationales</w:t>
      </w:r>
    </w:p>
    <w:p w:rsidR="00D85751" w:rsidRPr="00BE3CBD" w:rsidRDefault="00ED3177" w:rsidP="00A40D84">
      <w:pPr>
        <w:pStyle w:val="ONUMFS"/>
        <w:numPr>
          <w:ilvl w:val="2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L</w:t>
      </w:r>
      <w:r w:rsidR="00C07175" w:rsidRPr="00BE3CBD">
        <w:rPr>
          <w:spacing w:val="-2"/>
          <w:lang w:val="fr-FR"/>
        </w:rPr>
        <w:t>es</w:t>
      </w:r>
      <w:r w:rsidRPr="00BE3CBD">
        <w:rPr>
          <w:spacing w:val="-2"/>
          <w:lang w:val="fr-FR"/>
        </w:rPr>
        <w:t xml:space="preserve"> spécification</w:t>
      </w:r>
      <w:r w:rsidR="00C07175" w:rsidRPr="00BE3CBD">
        <w:rPr>
          <w:spacing w:val="-2"/>
          <w:lang w:val="fr-FR"/>
        </w:rPr>
        <w:t>s</w:t>
      </w:r>
      <w:r w:rsidRPr="00BE3CBD">
        <w:rPr>
          <w:spacing w:val="-2"/>
          <w:lang w:val="fr-FR"/>
        </w:rPr>
        <w:t xml:space="preserve"> d</w:t>
      </w:r>
      <w:r w:rsidR="00C07175" w:rsidRPr="00BE3CBD">
        <w:rPr>
          <w:spacing w:val="-2"/>
          <w:lang w:val="fr-FR"/>
        </w:rPr>
        <w:t>es</w:t>
      </w:r>
      <w:r w:rsidRPr="00BE3CBD">
        <w:rPr>
          <w:spacing w:val="-2"/>
          <w:lang w:val="fr-FR"/>
        </w:rPr>
        <w:t xml:space="preserve"> fichier</w:t>
      </w:r>
      <w:r w:rsidR="00C07175" w:rsidRPr="00BE3CBD">
        <w:rPr>
          <w:spacing w:val="-2"/>
          <w:lang w:val="fr-FR"/>
        </w:rPr>
        <w:t>s</w:t>
      </w:r>
      <w:r w:rsidRPr="00BE3CBD">
        <w:rPr>
          <w:spacing w:val="-2"/>
          <w:lang w:val="fr-FR"/>
        </w:rPr>
        <w:t xml:space="preserve"> source</w:t>
      </w:r>
      <w:r w:rsidR="00C07175" w:rsidRPr="00BE3CBD">
        <w:rPr>
          <w:spacing w:val="-2"/>
          <w:lang w:val="fr-FR"/>
        </w:rPr>
        <w:t>s</w:t>
      </w:r>
      <w:r w:rsidRPr="00BE3CBD">
        <w:rPr>
          <w:spacing w:val="-2"/>
          <w:lang w:val="fr-FR"/>
        </w:rPr>
        <w:t xml:space="preserve"> établie</w:t>
      </w:r>
      <w:r w:rsidR="00C07175" w:rsidRPr="00BE3CBD">
        <w:rPr>
          <w:spacing w:val="-2"/>
          <w:lang w:val="fr-FR"/>
        </w:rPr>
        <w:t>s</w:t>
      </w:r>
      <w:r w:rsidRPr="00BE3CBD">
        <w:rPr>
          <w:spacing w:val="-2"/>
          <w:lang w:val="fr-FR"/>
        </w:rPr>
        <w:t xml:space="preserve"> par les offices de l</w:t>
      </w:r>
      <w:r w:rsidR="004B54C2" w:rsidRPr="00BE3CBD">
        <w:rPr>
          <w:spacing w:val="-2"/>
          <w:lang w:val="fr-FR"/>
        </w:rPr>
        <w:t>’</w:t>
      </w:r>
      <w:r w:rsidR="00D85751" w:rsidRPr="00BE3CBD">
        <w:rPr>
          <w:spacing w:val="-2"/>
          <w:lang w:val="fr-FR"/>
        </w:rPr>
        <w:t xml:space="preserve">IP5 </w:t>
      </w:r>
      <w:r w:rsidRPr="00BE3CBD">
        <w:rPr>
          <w:spacing w:val="-2"/>
          <w:lang w:val="fr-FR"/>
        </w:rPr>
        <w:t>peu</w:t>
      </w:r>
      <w:r w:rsidR="00C07175" w:rsidRPr="00BE3CBD">
        <w:rPr>
          <w:spacing w:val="-2"/>
          <w:lang w:val="fr-FR"/>
        </w:rPr>
        <w:t>ven</w:t>
      </w:r>
      <w:r w:rsidRPr="00BE3CBD">
        <w:rPr>
          <w:spacing w:val="-2"/>
          <w:lang w:val="fr-FR"/>
        </w:rPr>
        <w:t>t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>elle</w:t>
      </w:r>
      <w:r w:rsidR="00F60D61" w:rsidRPr="00BE3CBD">
        <w:rPr>
          <w:spacing w:val="-2"/>
          <w:lang w:val="fr-FR"/>
        </w:rPr>
        <w:t>s</w:t>
      </w:r>
      <w:r w:rsidRPr="00BE3CBD">
        <w:rPr>
          <w:spacing w:val="-2"/>
          <w:lang w:val="fr-FR"/>
        </w:rPr>
        <w:t xml:space="preserve"> servir de base à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élaboration d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une recommandation relative à la manière dont les autres offices nationaux devraient recenser le contenu de leurs collections nationales de documents de </w:t>
      </w:r>
      <w:r w:rsidR="00C07175" w:rsidRPr="00BE3CBD">
        <w:rPr>
          <w:spacing w:val="-2"/>
          <w:lang w:val="fr-FR"/>
        </w:rPr>
        <w:t>brevet s</w:t>
      </w:r>
      <w:r w:rsidR="004B54C2" w:rsidRPr="00BE3CBD">
        <w:rPr>
          <w:spacing w:val="-2"/>
          <w:lang w:val="fr-FR"/>
        </w:rPr>
        <w:t>’</w:t>
      </w:r>
      <w:r w:rsidR="00C07175" w:rsidRPr="00BE3CBD">
        <w:rPr>
          <w:spacing w:val="-2"/>
          <w:lang w:val="fr-FR"/>
        </w:rPr>
        <w:t>ils souhaitent qu</w:t>
      </w:r>
      <w:r w:rsidR="004B54C2" w:rsidRPr="00BE3CBD">
        <w:rPr>
          <w:spacing w:val="-2"/>
          <w:lang w:val="fr-FR"/>
        </w:rPr>
        <w:t>’</w:t>
      </w:r>
      <w:r w:rsidR="00C07175" w:rsidRPr="00BE3CBD">
        <w:rPr>
          <w:spacing w:val="-2"/>
          <w:lang w:val="fr-FR"/>
        </w:rPr>
        <w:t>elles soient incluses dans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D85751" w:rsidRPr="00BE3CBD">
        <w:rPr>
          <w:spacing w:val="-2"/>
          <w:lang w:val="fr-FR"/>
        </w:rPr>
        <w:t>?</w:t>
      </w:r>
    </w:p>
    <w:p w:rsidR="00D85751" w:rsidRPr="00BE3CBD" w:rsidRDefault="00C07175" w:rsidP="00A40D84">
      <w:pPr>
        <w:pStyle w:val="ONUMFS"/>
        <w:numPr>
          <w:ilvl w:val="2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Certains formats utilisés par les différents offices de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IP5 sont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>ils particulièrement indiqués pour servir de base à une recommandation plus précise tendant à ce que les fichiers sources provenant d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un large éventail d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offices puissent être </w:t>
      </w:r>
      <w:r w:rsidR="002B601D" w:rsidRPr="00BE3CBD">
        <w:rPr>
          <w:spacing w:val="-2"/>
          <w:lang w:val="fr-FR"/>
        </w:rPr>
        <w:t>traités de manière fiable</w:t>
      </w:r>
      <w:r w:rsidR="00D85751" w:rsidRPr="00BE3CBD">
        <w:rPr>
          <w:spacing w:val="-2"/>
          <w:lang w:val="fr-FR"/>
        </w:rPr>
        <w:t>?</w:t>
      </w:r>
    </w:p>
    <w:p w:rsidR="00D85751" w:rsidRPr="00BE3CBD" w:rsidRDefault="002B601D" w:rsidP="00A40D84">
      <w:pPr>
        <w:pStyle w:val="ONUMFS"/>
        <w:numPr>
          <w:ilvl w:val="2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L</w:t>
      </w:r>
      <w:r w:rsidR="00F71F04">
        <w:rPr>
          <w:spacing w:val="-2"/>
          <w:lang w:val="fr-FR"/>
        </w:rPr>
        <w:t>e fait que l</w:t>
      </w:r>
      <w:r w:rsidRPr="00BE3CBD">
        <w:rPr>
          <w:spacing w:val="-2"/>
          <w:lang w:val="fr-FR"/>
        </w:rPr>
        <w:t xml:space="preserve">e format </w:t>
      </w:r>
      <w:r w:rsidR="00F71F04">
        <w:rPr>
          <w:spacing w:val="-2"/>
          <w:lang w:val="fr-FR"/>
        </w:rPr>
        <w:t xml:space="preserve">utilisé </w:t>
      </w:r>
      <w:r w:rsidRPr="00BE3CBD">
        <w:rPr>
          <w:spacing w:val="-2"/>
          <w:lang w:val="fr-FR"/>
        </w:rPr>
        <w:t>vise plus particulièrement à évaluer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exhaustivité des collections de documents de brevet et non pas à recenser les publications équivalentes afin de réduire </w:t>
      </w:r>
      <w:r w:rsidR="00F60D61" w:rsidRPr="00BE3CBD">
        <w:rPr>
          <w:spacing w:val="-2"/>
          <w:lang w:val="fr-FR"/>
        </w:rPr>
        <w:t>l</w:t>
      </w:r>
      <w:r w:rsidRPr="00BE3CBD">
        <w:rPr>
          <w:spacing w:val="-2"/>
          <w:lang w:val="fr-FR"/>
        </w:rPr>
        <w:t>e nombre de documents identiques (conformément à la règle 34.1.d)) pose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>t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>il problème</w:t>
      </w:r>
      <w:r w:rsidR="00D85751" w:rsidRPr="00BE3CBD">
        <w:rPr>
          <w:spacing w:val="-2"/>
          <w:lang w:val="fr-FR"/>
        </w:rPr>
        <w:t>?</w:t>
      </w:r>
    </w:p>
    <w:p w:rsidR="00D85751" w:rsidRPr="00BE3CBD" w:rsidRDefault="00D85751" w:rsidP="00A40D84">
      <w:pPr>
        <w:pStyle w:val="ONUMFS"/>
        <w:keepNext/>
        <w:keepLines/>
        <w:numPr>
          <w:ilvl w:val="1"/>
          <w:numId w:val="6"/>
        </w:numPr>
        <w:rPr>
          <w:spacing w:val="-2"/>
          <w:lang w:val="fr-FR"/>
        </w:rPr>
      </w:pPr>
      <w:r w:rsidRPr="00BE3CBD">
        <w:rPr>
          <w:i/>
          <w:iCs/>
          <w:spacing w:val="-2"/>
          <w:lang w:val="fr-FR"/>
        </w:rPr>
        <w:lastRenderedPageBreak/>
        <w:t>M</w:t>
      </w:r>
      <w:r w:rsidR="00DF57EE" w:rsidRPr="00BE3CBD">
        <w:rPr>
          <w:i/>
          <w:iCs/>
          <w:spacing w:val="-2"/>
          <w:lang w:val="fr-FR"/>
        </w:rPr>
        <w:t>ise à disposition des collections n</w:t>
      </w:r>
      <w:r w:rsidRPr="00BE3CBD">
        <w:rPr>
          <w:i/>
          <w:iCs/>
          <w:spacing w:val="-2"/>
          <w:lang w:val="fr-FR"/>
        </w:rPr>
        <w:t>ational</w:t>
      </w:r>
      <w:r w:rsidR="00DF57EE" w:rsidRPr="00BE3CBD">
        <w:rPr>
          <w:i/>
          <w:iCs/>
          <w:spacing w:val="-2"/>
          <w:lang w:val="fr-FR"/>
        </w:rPr>
        <w:t>es</w:t>
      </w:r>
    </w:p>
    <w:p w:rsidR="00D85751" w:rsidRPr="00BE3CBD" w:rsidRDefault="00DF57EE" w:rsidP="00A40D84">
      <w:pPr>
        <w:pStyle w:val="ONUMFS"/>
        <w:keepNext/>
        <w:keepLines/>
        <w:numPr>
          <w:ilvl w:val="2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 xml:space="preserve">Quels </w:t>
      </w:r>
      <w:r w:rsidR="00D85751" w:rsidRPr="00BE3CBD">
        <w:rPr>
          <w:spacing w:val="-2"/>
          <w:lang w:val="fr-FR"/>
        </w:rPr>
        <w:t xml:space="preserve">formats </w:t>
      </w:r>
      <w:r w:rsidRPr="00BE3CBD">
        <w:rPr>
          <w:spacing w:val="-2"/>
          <w:lang w:val="fr-FR"/>
        </w:rPr>
        <w:t>et moyens de diffusion sont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 xml:space="preserve">ils actuellement utilisés par les offices nationaux pour mettre leurs collections nationales à la disposition des administrations chargées de la recherche internationale, du Bureau </w:t>
      </w:r>
      <w:r w:rsidR="00F60D61" w:rsidRPr="00BE3CBD">
        <w:rPr>
          <w:spacing w:val="-2"/>
          <w:lang w:val="fr-FR"/>
        </w:rPr>
        <w:t>international</w:t>
      </w:r>
      <w:r w:rsidRPr="00BE3CBD">
        <w:rPr>
          <w:spacing w:val="-2"/>
          <w:lang w:val="fr-FR"/>
        </w:rPr>
        <w:t xml:space="preserve"> et des fournisseurs de bases de données</w:t>
      </w:r>
      <w:r w:rsidR="00D85751" w:rsidRPr="00BE3CBD">
        <w:rPr>
          <w:spacing w:val="-2"/>
          <w:lang w:val="fr-FR"/>
        </w:rPr>
        <w:t>?</w:t>
      </w:r>
    </w:p>
    <w:p w:rsidR="00D85751" w:rsidRPr="00BE3CBD" w:rsidRDefault="00DF57EE" w:rsidP="00A40D84">
      <w:pPr>
        <w:pStyle w:val="ONUMFS"/>
        <w:numPr>
          <w:ilvl w:val="2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Certains des formats sont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 xml:space="preserve">ils particulièrement indiqués pour faciliter le téléchargement efficace </w:t>
      </w:r>
      <w:r w:rsidR="0052330B" w:rsidRPr="00BE3CBD">
        <w:rPr>
          <w:spacing w:val="-2"/>
          <w:lang w:val="fr-FR"/>
        </w:rPr>
        <w:t>dans les bases de données</w:t>
      </w:r>
      <w:r w:rsidR="00F71F04">
        <w:rPr>
          <w:spacing w:val="-2"/>
          <w:lang w:val="fr-FR"/>
        </w:rPr>
        <w:t>, à des fins de recherche,</w:t>
      </w:r>
      <w:r w:rsidR="0052330B" w:rsidRPr="00BE3CBD">
        <w:rPr>
          <w:spacing w:val="-2"/>
          <w:lang w:val="fr-FR"/>
        </w:rPr>
        <w:t xml:space="preserve"> </w:t>
      </w:r>
      <w:r w:rsidRPr="00BE3CBD">
        <w:rPr>
          <w:spacing w:val="-2"/>
          <w:lang w:val="fr-FR"/>
        </w:rPr>
        <w:t xml:space="preserve">des documents et données en rapport avec les documents de brevet </w:t>
      </w:r>
      <w:r w:rsidR="0052330B" w:rsidRPr="00BE3CBD">
        <w:rPr>
          <w:spacing w:val="-2"/>
          <w:lang w:val="fr-FR"/>
        </w:rPr>
        <w:t>publiés</w:t>
      </w:r>
      <w:r w:rsidR="00D85751" w:rsidRPr="00BE3CBD">
        <w:rPr>
          <w:spacing w:val="-2"/>
          <w:lang w:val="fr-FR"/>
        </w:rPr>
        <w:t>?</w:t>
      </w:r>
    </w:p>
    <w:p w:rsidR="00D85751" w:rsidRPr="00BE3CBD" w:rsidRDefault="0052330B" w:rsidP="00A40D84">
      <w:pPr>
        <w:pStyle w:val="ONUMFS"/>
        <w:numPr>
          <w:ilvl w:val="2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Les normes</w:t>
      </w:r>
      <w:r w:rsidR="00F71F04">
        <w:rPr>
          <w:spacing w:val="-2"/>
          <w:lang w:val="fr-FR"/>
        </w:rPr>
        <w:t xml:space="preserve"> applicables</w:t>
      </w:r>
      <w:r w:rsidRPr="00BE3CBD">
        <w:rPr>
          <w:spacing w:val="-2"/>
          <w:lang w:val="fr-FR"/>
        </w:rPr>
        <w:t xml:space="preserve"> posent</w:t>
      </w:r>
      <w:r w:rsidR="00320A21" w:rsidRPr="00BE3CBD">
        <w:rPr>
          <w:spacing w:val="-2"/>
          <w:lang w:val="fr-FR"/>
        </w:rPr>
        <w:noBreakHyphen/>
      </w:r>
      <w:r w:rsidRPr="00BE3CBD">
        <w:rPr>
          <w:spacing w:val="-2"/>
          <w:lang w:val="fr-FR"/>
        </w:rPr>
        <w:t>elles des difficultés sur lesquelles il conviendrait d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>appeler 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attention des autres organes </w:t>
      </w:r>
      <w:r w:rsidR="00F71F04">
        <w:rPr>
          <w:spacing w:val="-2"/>
          <w:lang w:val="fr-FR"/>
        </w:rPr>
        <w:t>aux fins de leur</w:t>
      </w:r>
      <w:r w:rsidRPr="00BE3CBD">
        <w:rPr>
          <w:spacing w:val="-2"/>
          <w:lang w:val="fr-FR"/>
        </w:rPr>
        <w:t xml:space="preserve"> examen dans les meilleurs délais</w:t>
      </w:r>
      <w:r w:rsidR="00D85751" w:rsidRPr="00BE3CBD">
        <w:rPr>
          <w:spacing w:val="-2"/>
          <w:lang w:val="fr-FR"/>
        </w:rPr>
        <w:t>?</w:t>
      </w:r>
    </w:p>
    <w:p w:rsidR="00D85751" w:rsidRPr="00BE3CBD" w:rsidRDefault="0052330B" w:rsidP="00A40D84">
      <w:pPr>
        <w:pStyle w:val="ONUMFS"/>
        <w:rPr>
          <w:spacing w:val="-2"/>
          <w:lang w:val="fr-FR"/>
        </w:rPr>
      </w:pPr>
      <w:r w:rsidRPr="00BE3CBD">
        <w:rPr>
          <w:spacing w:val="-2"/>
          <w:lang w:val="fr-FR"/>
        </w:rPr>
        <w:t xml:space="preserve">La Réunion des administrations internationales a également pris note </w:t>
      </w:r>
      <w:r w:rsidR="00940344" w:rsidRPr="00BE3CBD">
        <w:rPr>
          <w:spacing w:val="-2"/>
          <w:lang w:val="fr-FR"/>
        </w:rPr>
        <w:t>d</w:t>
      </w:r>
      <w:r w:rsidR="004B54C2" w:rsidRPr="00BE3CBD">
        <w:rPr>
          <w:spacing w:val="-2"/>
          <w:lang w:val="fr-FR"/>
        </w:rPr>
        <w:t>’</w:t>
      </w:r>
      <w:r w:rsidR="00940344" w:rsidRPr="00BE3CBD">
        <w:rPr>
          <w:spacing w:val="-2"/>
          <w:lang w:val="fr-FR"/>
        </w:rPr>
        <w:t>un certain nombre de questions supplémentaires qu</w:t>
      </w:r>
      <w:r w:rsidR="004B54C2" w:rsidRPr="00BE3CBD">
        <w:rPr>
          <w:spacing w:val="-2"/>
          <w:lang w:val="fr-FR"/>
        </w:rPr>
        <w:t>’</w:t>
      </w:r>
      <w:r w:rsidR="00940344" w:rsidRPr="00BE3CBD">
        <w:rPr>
          <w:spacing w:val="-2"/>
          <w:lang w:val="fr-FR"/>
        </w:rPr>
        <w:t xml:space="preserve">il conviendrait de prendre en considération dans le cadre de la partie b) des tâches susmentionnées </w:t>
      </w:r>
      <w:r w:rsidR="00D85751" w:rsidRPr="00BE3CBD">
        <w:rPr>
          <w:spacing w:val="-2"/>
          <w:lang w:val="fr-FR"/>
        </w:rPr>
        <w:t>(</w:t>
      </w:r>
      <w:r w:rsidR="00940344" w:rsidRPr="00BE3CBD">
        <w:rPr>
          <w:spacing w:val="-2"/>
          <w:lang w:val="fr-FR"/>
        </w:rPr>
        <w:t xml:space="preserve">voir le </w:t>
      </w:r>
      <w:r w:rsidR="00D85751" w:rsidRPr="00BE3CBD">
        <w:rPr>
          <w:spacing w:val="-2"/>
          <w:lang w:val="fr-FR"/>
        </w:rPr>
        <w:t>paragraph</w:t>
      </w:r>
      <w:r w:rsidR="00940344" w:rsidRPr="00BE3CBD">
        <w:rPr>
          <w:spacing w:val="-2"/>
          <w:lang w:val="fr-FR"/>
        </w:rPr>
        <w:t>e 64 du</w:t>
      </w:r>
      <w:r w:rsidR="00D85751" w:rsidRPr="00BE3CBD">
        <w:rPr>
          <w:spacing w:val="-2"/>
          <w:lang w:val="fr-FR"/>
        </w:rPr>
        <w:t xml:space="preserve"> </w:t>
      </w:r>
      <w:r w:rsidR="004B54C2" w:rsidRPr="00BE3CBD">
        <w:rPr>
          <w:spacing w:val="-2"/>
          <w:lang w:val="fr-FR"/>
        </w:rPr>
        <w:t>document PC</w:t>
      </w:r>
      <w:r w:rsidR="00D85751" w:rsidRPr="00BE3CBD">
        <w:rPr>
          <w:spacing w:val="-2"/>
          <w:lang w:val="fr-FR"/>
        </w:rPr>
        <w:t>T/MIA/22/22</w:t>
      </w:r>
      <w:r w:rsidR="00B74845" w:rsidRPr="00BE3CBD">
        <w:rPr>
          <w:rStyle w:val="FootnoteReference"/>
          <w:spacing w:val="-2"/>
          <w:lang w:val="fr-FR"/>
        </w:rPr>
        <w:footnoteReference w:id="4"/>
      </w:r>
      <w:r w:rsidR="00D85751" w:rsidRPr="00BE3CBD">
        <w:rPr>
          <w:spacing w:val="-2"/>
          <w:lang w:val="fr-FR"/>
        </w:rPr>
        <w:t xml:space="preserve">) </w:t>
      </w:r>
      <w:r w:rsidR="00940344" w:rsidRPr="00BE3CBD">
        <w:rPr>
          <w:spacing w:val="-2"/>
          <w:lang w:val="fr-FR"/>
        </w:rPr>
        <w:t>et a invité le groupe de travail à se pencher sur les questions relatives au format de la littérature non</w:t>
      </w:r>
      <w:r w:rsidR="00320A21" w:rsidRPr="00BE3CBD">
        <w:rPr>
          <w:spacing w:val="-2"/>
          <w:lang w:val="fr-FR"/>
        </w:rPr>
        <w:noBreakHyphen/>
      </w:r>
      <w:r w:rsidR="00940344" w:rsidRPr="00BE3CBD">
        <w:rPr>
          <w:spacing w:val="-2"/>
          <w:lang w:val="fr-FR"/>
        </w:rPr>
        <w:t>brevet comprise dans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D85751" w:rsidRPr="00BE3CBD">
        <w:rPr>
          <w:spacing w:val="-2"/>
          <w:lang w:val="fr-FR"/>
        </w:rPr>
        <w:t xml:space="preserve"> (</w:t>
      </w:r>
      <w:r w:rsidR="00940344" w:rsidRPr="00BE3CBD">
        <w:rPr>
          <w:spacing w:val="-2"/>
          <w:lang w:val="fr-FR"/>
        </w:rPr>
        <w:t xml:space="preserve">voir les </w:t>
      </w:r>
      <w:r w:rsidR="00AE1A1B" w:rsidRPr="00BE3CBD">
        <w:rPr>
          <w:spacing w:val="-2"/>
          <w:lang w:val="fr-FR"/>
        </w:rPr>
        <w:t>paragraph</w:t>
      </w:r>
      <w:r w:rsidR="00940344" w:rsidRPr="00BE3CBD">
        <w:rPr>
          <w:spacing w:val="-2"/>
          <w:lang w:val="fr-FR"/>
        </w:rPr>
        <w:t>e</w:t>
      </w:r>
      <w:r w:rsidR="00AE1A1B" w:rsidRPr="00BE3CBD">
        <w:rPr>
          <w:spacing w:val="-2"/>
          <w:lang w:val="fr-FR"/>
        </w:rPr>
        <w:t>s</w:t>
      </w:r>
      <w:r w:rsidR="00940344" w:rsidRPr="00BE3CBD">
        <w:rPr>
          <w:spacing w:val="-2"/>
          <w:lang w:val="fr-FR"/>
        </w:rPr>
        <w:t> </w:t>
      </w:r>
      <w:r w:rsidR="00AE1A1B" w:rsidRPr="00BE3CBD">
        <w:rPr>
          <w:spacing w:val="-2"/>
          <w:lang w:val="fr-FR"/>
        </w:rPr>
        <w:t xml:space="preserve">70 </w:t>
      </w:r>
      <w:r w:rsidR="00BE3CBD">
        <w:rPr>
          <w:spacing w:val="-2"/>
          <w:lang w:val="fr-FR"/>
        </w:rPr>
        <w:t>à </w:t>
      </w:r>
      <w:r w:rsidR="00AE1A1B" w:rsidRPr="00BE3CBD">
        <w:rPr>
          <w:spacing w:val="-2"/>
          <w:lang w:val="fr-FR"/>
        </w:rPr>
        <w:t xml:space="preserve">73 </w:t>
      </w:r>
      <w:r w:rsidR="00940344" w:rsidRPr="00BE3CBD">
        <w:rPr>
          <w:spacing w:val="-2"/>
          <w:lang w:val="fr-FR"/>
        </w:rPr>
        <w:t xml:space="preserve">du </w:t>
      </w:r>
      <w:r w:rsidR="004B54C2" w:rsidRPr="00BE3CBD">
        <w:rPr>
          <w:spacing w:val="-2"/>
          <w:lang w:val="fr-FR"/>
        </w:rPr>
        <w:t>document PC</w:t>
      </w:r>
      <w:r w:rsidR="00AE1A1B" w:rsidRPr="00BE3CBD">
        <w:rPr>
          <w:spacing w:val="-2"/>
          <w:lang w:val="fr-FR"/>
        </w:rPr>
        <w:t>T/MIA/22/22)</w:t>
      </w:r>
      <w:r w:rsidR="00D85751" w:rsidRPr="00BE3CBD">
        <w:rPr>
          <w:spacing w:val="-2"/>
          <w:lang w:val="fr-FR"/>
        </w:rPr>
        <w:t>.</w:t>
      </w:r>
    </w:p>
    <w:p w:rsidR="007A0BD8" w:rsidRPr="00BE3CBD" w:rsidRDefault="00F15509" w:rsidP="00A40D84">
      <w:pPr>
        <w:pStyle w:val="Heading1"/>
        <w:rPr>
          <w:spacing w:val="-2"/>
          <w:lang w:val="fr-FR"/>
        </w:rPr>
      </w:pPr>
      <w:r w:rsidRPr="00BE3CBD">
        <w:rPr>
          <w:spacing w:val="-2"/>
          <w:lang w:val="fr-FR"/>
        </w:rPr>
        <w:t>Future</w:t>
      </w:r>
      <w:r w:rsidR="00F60D61" w:rsidRPr="00BE3CBD">
        <w:rPr>
          <w:spacing w:val="-2"/>
          <w:lang w:val="fr-FR"/>
        </w:rPr>
        <w:t>s</w:t>
      </w:r>
      <w:r w:rsidR="00940344" w:rsidRPr="00BE3CBD">
        <w:rPr>
          <w:spacing w:val="-2"/>
          <w:lang w:val="fr-FR"/>
        </w:rPr>
        <w:t xml:space="preserve"> </w:t>
      </w:r>
      <w:r w:rsidR="00F60D61" w:rsidRPr="00BE3CBD">
        <w:rPr>
          <w:spacing w:val="-2"/>
          <w:lang w:val="fr-FR"/>
        </w:rPr>
        <w:t>é</w:t>
      </w:r>
      <w:r w:rsidR="00940344" w:rsidRPr="00BE3CBD">
        <w:rPr>
          <w:spacing w:val="-2"/>
          <w:lang w:val="fr-FR"/>
        </w:rPr>
        <w:t>tapes</w:t>
      </w:r>
    </w:p>
    <w:p w:rsidR="007A0BD8" w:rsidRPr="00BE3CBD" w:rsidRDefault="00940344" w:rsidP="00A40D84">
      <w:pPr>
        <w:pStyle w:val="ONUMFS"/>
        <w:rPr>
          <w:spacing w:val="-2"/>
          <w:lang w:val="fr-FR"/>
        </w:rPr>
      </w:pPr>
      <w:r w:rsidRPr="00BE3CBD">
        <w:rPr>
          <w:spacing w:val="-2"/>
          <w:lang w:val="fr-FR"/>
        </w:rPr>
        <w:t>L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objectif visé dans la phase des travaux décrite au </w:t>
      </w:r>
      <w:r w:rsidR="00F15509" w:rsidRPr="00BE3CBD">
        <w:rPr>
          <w:spacing w:val="-2"/>
          <w:lang w:val="fr-FR"/>
        </w:rPr>
        <w:t>paragraph</w:t>
      </w:r>
      <w:r w:rsidRPr="00BE3CBD">
        <w:rPr>
          <w:spacing w:val="-2"/>
          <w:lang w:val="fr-FR"/>
        </w:rPr>
        <w:t>e</w:t>
      </w:r>
      <w:r w:rsidR="00F15509" w:rsidRPr="00BE3CBD">
        <w:rPr>
          <w:spacing w:val="-2"/>
          <w:lang w:val="fr-FR"/>
        </w:rPr>
        <w:t> </w:t>
      </w:r>
      <w:r w:rsidR="00F15509" w:rsidRPr="00BE3CBD">
        <w:rPr>
          <w:spacing w:val="-2"/>
          <w:lang w:val="fr-FR"/>
        </w:rPr>
        <w:fldChar w:fldCharType="begin"/>
      </w:r>
      <w:r w:rsidR="00F15509" w:rsidRPr="00BE3CBD">
        <w:rPr>
          <w:spacing w:val="-2"/>
          <w:lang w:val="fr-FR"/>
        </w:rPr>
        <w:instrText xml:space="preserve"> REF _Ref414442071 \r \h </w:instrText>
      </w:r>
      <w:r w:rsidR="00F60D61" w:rsidRPr="00BE3CBD">
        <w:rPr>
          <w:spacing w:val="-2"/>
          <w:lang w:val="fr-FR"/>
        </w:rPr>
        <w:instrText xml:space="preserve"> \* MERGEFORMAT </w:instrText>
      </w:r>
      <w:r w:rsidR="00F15509" w:rsidRPr="00BE3CBD">
        <w:rPr>
          <w:spacing w:val="-2"/>
          <w:lang w:val="fr-FR"/>
        </w:rPr>
      </w:r>
      <w:r w:rsidR="00F15509" w:rsidRPr="00BE3CBD">
        <w:rPr>
          <w:spacing w:val="-2"/>
          <w:lang w:val="fr-FR"/>
        </w:rPr>
        <w:fldChar w:fldCharType="separate"/>
      </w:r>
      <w:r w:rsidR="00430E36">
        <w:rPr>
          <w:spacing w:val="-2"/>
          <w:lang w:val="fr-FR"/>
        </w:rPr>
        <w:t>6</w:t>
      </w:r>
      <w:r w:rsidR="00F15509" w:rsidRPr="00BE3CBD">
        <w:rPr>
          <w:spacing w:val="-2"/>
          <w:lang w:val="fr-FR"/>
        </w:rPr>
        <w:fldChar w:fldCharType="end"/>
      </w:r>
      <w:r w:rsidRPr="00BE3CBD">
        <w:rPr>
          <w:spacing w:val="-2"/>
          <w:lang w:val="fr-FR"/>
        </w:rPr>
        <w:t xml:space="preserve"> est de recueillir suffisamment d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informations </w:t>
      </w:r>
      <w:r w:rsidR="008F2EC1" w:rsidRPr="00BE3CBD">
        <w:rPr>
          <w:spacing w:val="-2"/>
          <w:lang w:val="fr-FR"/>
        </w:rPr>
        <w:t>pour jeter les bases des futurs travaux relatifs à l</w:t>
      </w:r>
      <w:r w:rsidR="004B54C2" w:rsidRPr="00BE3CBD">
        <w:rPr>
          <w:spacing w:val="-2"/>
          <w:lang w:val="fr-FR"/>
        </w:rPr>
        <w:t>’</w:t>
      </w:r>
      <w:r w:rsidR="008F2EC1" w:rsidRPr="00BE3CBD">
        <w:rPr>
          <w:spacing w:val="-2"/>
          <w:lang w:val="fr-FR"/>
        </w:rPr>
        <w:t>élaboration</w:t>
      </w:r>
    </w:p>
    <w:p w:rsidR="007A0BD8" w:rsidRPr="00BE3CBD" w:rsidRDefault="008F2EC1" w:rsidP="00A40D84">
      <w:pPr>
        <w:pStyle w:val="ONUMFS"/>
        <w:numPr>
          <w:ilvl w:val="1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de recomma</w:t>
      </w:r>
      <w:r w:rsidR="007A0BD8" w:rsidRPr="00BE3CBD">
        <w:rPr>
          <w:spacing w:val="-2"/>
          <w:lang w:val="fr-FR"/>
        </w:rPr>
        <w:t xml:space="preserve">ndations </w:t>
      </w:r>
      <w:r w:rsidRPr="00BE3CBD">
        <w:rPr>
          <w:spacing w:val="-2"/>
          <w:lang w:val="fr-FR"/>
        </w:rPr>
        <w:t xml:space="preserve">et normes efficaces auxquelles les offices </w:t>
      </w:r>
      <w:r w:rsidR="00F60D61" w:rsidRPr="00BE3CBD">
        <w:rPr>
          <w:spacing w:val="-2"/>
          <w:lang w:val="fr-FR"/>
        </w:rPr>
        <w:t>nationaux</w:t>
      </w:r>
      <w:r w:rsidRPr="00BE3CBD">
        <w:rPr>
          <w:spacing w:val="-2"/>
          <w:lang w:val="fr-FR"/>
        </w:rPr>
        <w:t xml:space="preserve"> pourront raisonnablement se conformer </w:t>
      </w:r>
      <w:r w:rsidR="00EA5B97" w:rsidRPr="00BE3CBD">
        <w:rPr>
          <w:spacing w:val="-2"/>
          <w:lang w:val="fr-FR"/>
        </w:rPr>
        <w:t>afin que leurs collections nationales puissent être incluses dans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EA5B97" w:rsidRPr="00BE3CBD">
        <w:rPr>
          <w:spacing w:val="-2"/>
          <w:lang w:val="fr-FR"/>
        </w:rPr>
        <w:t xml:space="preserve"> et que les administrations internationales et les fournisseurs de bases de données puissent télécharger facilement les informations nécessaires de manière fiable et en temps opportun</w:t>
      </w:r>
      <w:r w:rsidR="007A0BD8" w:rsidRPr="00BE3CBD">
        <w:rPr>
          <w:spacing w:val="-2"/>
          <w:lang w:val="fr-FR"/>
        </w:rPr>
        <w:t xml:space="preserve">;  </w:t>
      </w:r>
      <w:r w:rsidR="00EA5B97" w:rsidRPr="00BE3CBD">
        <w:rPr>
          <w:spacing w:val="-2"/>
          <w:lang w:val="fr-FR"/>
        </w:rPr>
        <w:t>et</w:t>
      </w:r>
    </w:p>
    <w:p w:rsidR="00F15509" w:rsidRPr="00BE3CBD" w:rsidRDefault="00EA5B97" w:rsidP="00A40D84">
      <w:pPr>
        <w:pStyle w:val="ONUMFS"/>
        <w:numPr>
          <w:ilvl w:val="1"/>
          <w:numId w:val="6"/>
        </w:numPr>
        <w:rPr>
          <w:spacing w:val="-2"/>
          <w:lang w:val="fr-FR"/>
        </w:rPr>
      </w:pPr>
      <w:r w:rsidRPr="00BE3CBD">
        <w:rPr>
          <w:spacing w:val="-2"/>
          <w:lang w:val="fr-FR"/>
        </w:rPr>
        <w:t>de nouveaux projets de textes juridiques visant à définir les conditions requises pour qu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une collection de brevets </w:t>
      </w:r>
      <w:r w:rsidR="00204CE7" w:rsidRPr="00BE3CBD">
        <w:rPr>
          <w:spacing w:val="-2"/>
          <w:lang w:val="fr-FR"/>
        </w:rPr>
        <w:t>puisse être</w:t>
      </w:r>
      <w:r w:rsidRPr="00BE3CBD">
        <w:rPr>
          <w:spacing w:val="-2"/>
          <w:lang w:val="fr-FR"/>
        </w:rPr>
        <w:t xml:space="preserve"> incluse dans la documentation minimale</w:t>
      </w:r>
      <w:r w:rsidR="004B54C2" w:rsidRPr="00BE3CBD">
        <w:rPr>
          <w:spacing w:val="-2"/>
          <w:lang w:val="fr-FR"/>
        </w:rPr>
        <w:t xml:space="preserve"> du PCT</w:t>
      </w:r>
      <w:r w:rsidR="007A0BD8" w:rsidRPr="00BE3CBD">
        <w:rPr>
          <w:spacing w:val="-2"/>
          <w:lang w:val="fr-FR"/>
        </w:rPr>
        <w:t xml:space="preserve"> </w:t>
      </w:r>
      <w:r w:rsidRPr="00BE3CBD">
        <w:rPr>
          <w:spacing w:val="-2"/>
          <w:lang w:val="fr-FR"/>
        </w:rPr>
        <w:t xml:space="preserve">et </w:t>
      </w:r>
      <w:r w:rsidR="00204CE7" w:rsidRPr="00BE3CBD">
        <w:rPr>
          <w:spacing w:val="-2"/>
          <w:lang w:val="fr-FR"/>
        </w:rPr>
        <w:t xml:space="preserve">à déterminer </w:t>
      </w:r>
      <w:r w:rsidRPr="00BE3CBD">
        <w:rPr>
          <w:spacing w:val="-2"/>
          <w:lang w:val="fr-FR"/>
        </w:rPr>
        <w:t xml:space="preserve">dans quelle mesure les administrations </w:t>
      </w:r>
      <w:r w:rsidR="00204CE7" w:rsidRPr="00BE3CBD">
        <w:rPr>
          <w:spacing w:val="-2"/>
          <w:lang w:val="fr-FR"/>
        </w:rPr>
        <w:t>sont</w:t>
      </w:r>
      <w:r w:rsidRPr="00BE3CBD">
        <w:rPr>
          <w:spacing w:val="-2"/>
          <w:lang w:val="fr-FR"/>
        </w:rPr>
        <w:t xml:space="preserve"> </w:t>
      </w:r>
      <w:proofErr w:type="gramStart"/>
      <w:r w:rsidRPr="00BE3CBD">
        <w:rPr>
          <w:spacing w:val="-2"/>
          <w:lang w:val="fr-FR"/>
        </w:rPr>
        <w:t>censées</w:t>
      </w:r>
      <w:proofErr w:type="gramEnd"/>
      <w:r w:rsidRPr="00BE3CBD">
        <w:rPr>
          <w:spacing w:val="-2"/>
          <w:lang w:val="fr-FR"/>
        </w:rPr>
        <w:t xml:space="preserve"> prendre en considération et examiner des </w:t>
      </w:r>
      <w:r w:rsidR="007A0BD8" w:rsidRPr="00BE3CBD">
        <w:rPr>
          <w:spacing w:val="-2"/>
          <w:lang w:val="fr-FR"/>
        </w:rPr>
        <w:t xml:space="preserve">documents </w:t>
      </w:r>
      <w:r w:rsidRPr="00BE3CBD">
        <w:rPr>
          <w:spacing w:val="-2"/>
          <w:lang w:val="fr-FR"/>
        </w:rPr>
        <w:t>lorsqu</w:t>
      </w:r>
      <w:r w:rsidR="004B54C2" w:rsidRPr="00BE3CBD">
        <w:rPr>
          <w:spacing w:val="-2"/>
          <w:lang w:val="fr-FR"/>
        </w:rPr>
        <w:t>’</w:t>
      </w:r>
      <w:r w:rsidRPr="00BE3CBD">
        <w:rPr>
          <w:spacing w:val="-2"/>
          <w:lang w:val="fr-FR"/>
        </w:rPr>
        <w:t xml:space="preserve">ils sont établis dans des langues différentes ou </w:t>
      </w:r>
      <w:r w:rsidR="00D53297" w:rsidRPr="00BE3CBD">
        <w:rPr>
          <w:spacing w:val="-2"/>
          <w:lang w:val="fr-FR"/>
        </w:rPr>
        <w:t>contiennent des divulgations techniques équivalentes à celles contenues dans d</w:t>
      </w:r>
      <w:r w:rsidR="004B54C2" w:rsidRPr="00BE3CBD">
        <w:rPr>
          <w:spacing w:val="-2"/>
          <w:lang w:val="fr-FR"/>
        </w:rPr>
        <w:t>’</w:t>
      </w:r>
      <w:r w:rsidR="00D53297" w:rsidRPr="00BE3CBD">
        <w:rPr>
          <w:spacing w:val="-2"/>
          <w:lang w:val="fr-FR"/>
        </w:rPr>
        <w:t>autres documents de brevet</w:t>
      </w:r>
      <w:r w:rsidR="007A0BD8" w:rsidRPr="00BE3CBD">
        <w:rPr>
          <w:spacing w:val="-2"/>
          <w:lang w:val="fr-FR"/>
        </w:rPr>
        <w:t>.</w:t>
      </w:r>
    </w:p>
    <w:p w:rsidR="002C0AFC" w:rsidRPr="00BE3CBD" w:rsidRDefault="00D53297" w:rsidP="00A40D84">
      <w:pPr>
        <w:pStyle w:val="ONUMFS"/>
        <w:rPr>
          <w:spacing w:val="-2"/>
          <w:lang w:val="fr-FR"/>
        </w:rPr>
      </w:pPr>
      <w:r w:rsidRPr="00BE3CBD">
        <w:rPr>
          <w:spacing w:val="-2"/>
          <w:lang w:val="fr-FR"/>
        </w:rPr>
        <w:t>Toutes les propositions élaborées à cet égard seront soumises pour examen à tous les États contractants</w:t>
      </w:r>
      <w:r w:rsidR="004B54C2" w:rsidRPr="00BE3CBD">
        <w:rPr>
          <w:spacing w:val="-2"/>
          <w:lang w:val="fr-FR"/>
        </w:rPr>
        <w:t xml:space="preserve"> du PCT</w:t>
      </w:r>
      <w:r w:rsidR="002C0AFC" w:rsidRPr="00BE3CBD">
        <w:rPr>
          <w:spacing w:val="-2"/>
          <w:lang w:val="fr-FR"/>
        </w:rPr>
        <w:t xml:space="preserve">, </w:t>
      </w:r>
      <w:r w:rsidRPr="00BE3CBD">
        <w:rPr>
          <w:spacing w:val="-2"/>
          <w:lang w:val="fr-FR"/>
        </w:rPr>
        <w:t>soit au moyen de circulaires</w:t>
      </w:r>
      <w:r w:rsidR="004B54C2" w:rsidRPr="00BE3CBD">
        <w:rPr>
          <w:spacing w:val="-2"/>
          <w:lang w:val="fr-FR"/>
        </w:rPr>
        <w:t xml:space="preserve"> du PCT</w:t>
      </w:r>
      <w:r w:rsidRPr="00BE3CBD">
        <w:rPr>
          <w:spacing w:val="-2"/>
          <w:lang w:val="fr-FR"/>
        </w:rPr>
        <w:t>, soit sous la forme de documents de travail du Groupe de travail</w:t>
      </w:r>
      <w:r w:rsidR="004B54C2" w:rsidRPr="00BE3CBD">
        <w:rPr>
          <w:spacing w:val="-2"/>
          <w:lang w:val="fr-FR"/>
        </w:rPr>
        <w:t xml:space="preserve"> du PCT</w:t>
      </w:r>
      <w:r w:rsidR="002C0AFC" w:rsidRPr="00BE3CBD">
        <w:rPr>
          <w:spacing w:val="-2"/>
          <w:lang w:val="fr-FR"/>
        </w:rPr>
        <w:t xml:space="preserve">, </w:t>
      </w:r>
      <w:r w:rsidRPr="00BE3CBD">
        <w:rPr>
          <w:spacing w:val="-2"/>
          <w:lang w:val="fr-FR"/>
        </w:rPr>
        <w:t>selon le cas</w:t>
      </w:r>
      <w:r w:rsidR="002C0AFC" w:rsidRPr="00BE3CBD">
        <w:rPr>
          <w:spacing w:val="-2"/>
          <w:lang w:val="fr-FR"/>
        </w:rPr>
        <w:t>.</w:t>
      </w:r>
    </w:p>
    <w:p w:rsidR="00A40D84" w:rsidRDefault="00A40D84">
      <w:pPr>
        <w:rPr>
          <w:i/>
          <w:iCs/>
          <w:spacing w:val="-2"/>
          <w:lang w:val="fr-FR"/>
        </w:rPr>
      </w:pPr>
      <w:r>
        <w:rPr>
          <w:i/>
          <w:iCs/>
          <w:spacing w:val="-2"/>
          <w:lang w:val="fr-FR"/>
        </w:rPr>
        <w:br w:type="page"/>
      </w:r>
    </w:p>
    <w:p w:rsidR="00F60D61" w:rsidRPr="00BE3CBD" w:rsidRDefault="00D53297" w:rsidP="00A40D84">
      <w:pPr>
        <w:pStyle w:val="ONUMFS"/>
        <w:ind w:left="5533"/>
        <w:rPr>
          <w:i/>
          <w:iCs/>
          <w:spacing w:val="-2"/>
          <w:lang w:val="fr-FR"/>
        </w:rPr>
      </w:pPr>
      <w:r w:rsidRPr="00BE3CBD">
        <w:rPr>
          <w:i/>
          <w:iCs/>
          <w:spacing w:val="-2"/>
          <w:lang w:val="fr-FR"/>
        </w:rPr>
        <w:lastRenderedPageBreak/>
        <w:t>Le groupe de travail est invité à prendre note des tâches actuelles du Groupe de travail sur la documentation minimale</w:t>
      </w:r>
      <w:r w:rsidR="004B54C2" w:rsidRPr="00BE3CBD">
        <w:rPr>
          <w:i/>
          <w:iCs/>
          <w:spacing w:val="-2"/>
          <w:lang w:val="fr-FR"/>
        </w:rPr>
        <w:t xml:space="preserve"> du PCT</w:t>
      </w:r>
      <w:r w:rsidRPr="00BE3CBD">
        <w:rPr>
          <w:i/>
          <w:iCs/>
          <w:spacing w:val="-2"/>
          <w:lang w:val="fr-FR"/>
        </w:rPr>
        <w:t xml:space="preserve"> et à formuler des observations sur les autres questions qu</w:t>
      </w:r>
      <w:r w:rsidR="004B54C2" w:rsidRPr="00BE3CBD">
        <w:rPr>
          <w:i/>
          <w:iCs/>
          <w:spacing w:val="-2"/>
          <w:lang w:val="fr-FR"/>
        </w:rPr>
        <w:t>’</w:t>
      </w:r>
      <w:r w:rsidRPr="00BE3CBD">
        <w:rPr>
          <w:i/>
          <w:iCs/>
          <w:spacing w:val="-2"/>
          <w:lang w:val="fr-FR"/>
        </w:rPr>
        <w:t>il pourrait être utile de prendre en considération afin d</w:t>
      </w:r>
      <w:r w:rsidR="004B54C2" w:rsidRPr="00BE3CBD">
        <w:rPr>
          <w:i/>
          <w:iCs/>
          <w:spacing w:val="-2"/>
          <w:lang w:val="fr-FR"/>
        </w:rPr>
        <w:t>’</w:t>
      </w:r>
      <w:r w:rsidRPr="00BE3CBD">
        <w:rPr>
          <w:i/>
          <w:iCs/>
          <w:spacing w:val="-2"/>
          <w:lang w:val="fr-FR"/>
        </w:rPr>
        <w:t>améliorer la qualité de la documentation en matière de brevets comprise dans la documentation minimale</w:t>
      </w:r>
      <w:r w:rsidR="004B54C2" w:rsidRPr="00BE3CBD">
        <w:rPr>
          <w:i/>
          <w:iCs/>
          <w:spacing w:val="-2"/>
          <w:lang w:val="fr-FR"/>
        </w:rPr>
        <w:t xml:space="preserve"> du PCT</w:t>
      </w:r>
      <w:r w:rsidR="007A0BD8" w:rsidRPr="00BE3CBD">
        <w:rPr>
          <w:i/>
          <w:iCs/>
          <w:spacing w:val="-2"/>
          <w:lang w:val="fr-FR"/>
        </w:rPr>
        <w:t>.</w:t>
      </w:r>
    </w:p>
    <w:p w:rsidR="00BE3CBD" w:rsidRDefault="00BE3CBD" w:rsidP="00A40D84">
      <w:pPr>
        <w:pStyle w:val="Endofdocument-Annex"/>
        <w:rPr>
          <w:spacing w:val="-2"/>
          <w:lang w:val="fr-FR"/>
        </w:rPr>
      </w:pPr>
    </w:p>
    <w:p w:rsidR="00A40D84" w:rsidRDefault="00A40D84" w:rsidP="00A40D84">
      <w:pPr>
        <w:pStyle w:val="Endofdocument-Annex"/>
        <w:rPr>
          <w:spacing w:val="-2"/>
          <w:lang w:val="fr-FR"/>
        </w:rPr>
      </w:pPr>
    </w:p>
    <w:p w:rsidR="002928D3" w:rsidRPr="00BE3CBD" w:rsidRDefault="007A0BD8" w:rsidP="00A40D84">
      <w:pPr>
        <w:pStyle w:val="Endofdocument-Annex"/>
        <w:rPr>
          <w:spacing w:val="-2"/>
          <w:lang w:val="fr-FR"/>
        </w:rPr>
      </w:pPr>
      <w:r w:rsidRPr="00BE3CBD">
        <w:rPr>
          <w:spacing w:val="-2"/>
          <w:lang w:val="fr-FR"/>
        </w:rPr>
        <w:t>[</w:t>
      </w:r>
      <w:r w:rsidR="00D53297" w:rsidRPr="00BE3CBD">
        <w:rPr>
          <w:spacing w:val="-2"/>
          <w:lang w:val="fr-FR"/>
        </w:rPr>
        <w:t xml:space="preserve">Fin du </w:t>
      </w:r>
      <w:r w:rsidRPr="00BE3CBD">
        <w:rPr>
          <w:spacing w:val="-2"/>
          <w:lang w:val="fr-FR"/>
        </w:rPr>
        <w:t>document]</w:t>
      </w:r>
    </w:p>
    <w:sectPr w:rsidR="002928D3" w:rsidRPr="00BE3CBD" w:rsidSect="003603B6">
      <w:headerReference w:type="default" r:id="rId13"/>
      <w:footerReference w:type="first" r:id="rId14"/>
      <w:endnotePr>
        <w:numFmt w:val="decimal"/>
      </w:endnotePr>
      <w:pgSz w:w="11907" w:h="16840" w:code="9"/>
      <w:pgMar w:top="567" w:right="1134" w:bottom="102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34" w:rsidRDefault="00C87234">
      <w:r>
        <w:separator/>
      </w:r>
    </w:p>
  </w:endnote>
  <w:endnote w:type="continuationSeparator" w:id="0">
    <w:p w:rsidR="00C87234" w:rsidRDefault="00C87234" w:rsidP="003B38C1">
      <w:r>
        <w:separator/>
      </w:r>
    </w:p>
    <w:p w:rsidR="00C87234" w:rsidRPr="003B38C1" w:rsidRDefault="00C8723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7234" w:rsidRPr="003B38C1" w:rsidRDefault="00C8723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B6" w:rsidRPr="006902C5" w:rsidRDefault="003603B6" w:rsidP="006902C5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34" w:rsidRDefault="00C87234">
      <w:r>
        <w:separator/>
      </w:r>
    </w:p>
  </w:footnote>
  <w:footnote w:type="continuationSeparator" w:id="0">
    <w:p w:rsidR="00C87234" w:rsidRDefault="00C87234" w:rsidP="008B60B2">
      <w:r>
        <w:separator/>
      </w:r>
    </w:p>
    <w:p w:rsidR="00C87234" w:rsidRPr="00ED77FB" w:rsidRDefault="00C8723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7234" w:rsidRPr="00ED77FB" w:rsidRDefault="00C8723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A0BD8" w:rsidRPr="00BE3CBD" w:rsidRDefault="007A0BD8" w:rsidP="00A40D84">
      <w:pPr>
        <w:pStyle w:val="FootnoteText"/>
        <w:rPr>
          <w:szCs w:val="18"/>
          <w:lang w:val="fr-FR"/>
        </w:rPr>
      </w:pPr>
      <w:r w:rsidRPr="00BE3CBD">
        <w:rPr>
          <w:rStyle w:val="FootnoteReference"/>
          <w:szCs w:val="18"/>
          <w:lang w:val="fr-FR"/>
        </w:rPr>
        <w:footnoteRef/>
      </w:r>
      <w:r w:rsidRPr="00BE3CBD">
        <w:rPr>
          <w:szCs w:val="18"/>
          <w:lang w:val="fr-FR"/>
        </w:rPr>
        <w:t xml:space="preserve"> </w:t>
      </w:r>
      <w:r w:rsidRPr="00BE3CBD">
        <w:rPr>
          <w:szCs w:val="18"/>
          <w:lang w:val="fr-FR"/>
        </w:rPr>
        <w:tab/>
        <w:t>Offices</w:t>
      </w:r>
      <w:r w:rsidR="005A77A0" w:rsidRPr="00BE3CBD">
        <w:rPr>
          <w:szCs w:val="18"/>
          <w:lang w:val="fr-FR"/>
        </w:rPr>
        <w:t xml:space="preserve"> de l</w:t>
      </w:r>
      <w:r w:rsidR="00F60D61" w:rsidRPr="00BE3CBD">
        <w:rPr>
          <w:szCs w:val="18"/>
          <w:lang w:val="fr-FR"/>
        </w:rPr>
        <w:t>’</w:t>
      </w:r>
      <w:r w:rsidR="005A77A0" w:rsidRPr="00BE3CBD">
        <w:rPr>
          <w:szCs w:val="18"/>
          <w:lang w:val="fr-FR"/>
        </w:rPr>
        <w:t>IP5 </w:t>
      </w:r>
      <w:r w:rsidRPr="00BE3CBD">
        <w:rPr>
          <w:szCs w:val="18"/>
          <w:lang w:val="fr-FR"/>
        </w:rPr>
        <w:t xml:space="preserve">: </w:t>
      </w:r>
      <w:r w:rsidR="005A77A0" w:rsidRPr="00BE3CBD">
        <w:rPr>
          <w:szCs w:val="18"/>
          <w:lang w:val="fr-FR"/>
        </w:rPr>
        <w:t xml:space="preserve">Office européen des brevets </w:t>
      </w:r>
      <w:r w:rsidRPr="00BE3CBD">
        <w:rPr>
          <w:szCs w:val="18"/>
          <w:lang w:val="fr-FR"/>
        </w:rPr>
        <w:t>(O</w:t>
      </w:r>
      <w:r w:rsidR="005A77A0" w:rsidRPr="00BE3CBD">
        <w:rPr>
          <w:szCs w:val="18"/>
          <w:lang w:val="fr-FR"/>
        </w:rPr>
        <w:t>EB</w:t>
      </w:r>
      <w:r w:rsidRPr="00BE3CBD">
        <w:rPr>
          <w:szCs w:val="18"/>
          <w:lang w:val="fr-FR"/>
        </w:rPr>
        <w:t xml:space="preserve">), Office </w:t>
      </w:r>
      <w:r w:rsidR="005A77A0" w:rsidRPr="00BE3CBD">
        <w:rPr>
          <w:szCs w:val="18"/>
          <w:lang w:val="fr-FR"/>
        </w:rPr>
        <w:t xml:space="preserve">des brevets du Japon </w:t>
      </w:r>
      <w:r w:rsidRPr="00BE3CBD">
        <w:rPr>
          <w:szCs w:val="18"/>
          <w:lang w:val="fr-FR"/>
        </w:rPr>
        <w:t xml:space="preserve">(JPO), </w:t>
      </w:r>
      <w:r w:rsidR="005A77A0" w:rsidRPr="00BE3CBD">
        <w:rPr>
          <w:szCs w:val="18"/>
          <w:lang w:val="fr-FR"/>
        </w:rPr>
        <w:t xml:space="preserve">Office coréen de la propriété intellectuelle </w:t>
      </w:r>
      <w:r w:rsidRPr="00BE3CBD">
        <w:rPr>
          <w:szCs w:val="18"/>
          <w:lang w:val="fr-FR"/>
        </w:rPr>
        <w:t xml:space="preserve">(KIPO), </w:t>
      </w:r>
      <w:r w:rsidR="005A77A0" w:rsidRPr="00BE3CBD">
        <w:rPr>
          <w:szCs w:val="18"/>
          <w:lang w:val="fr-FR"/>
        </w:rPr>
        <w:t>Office d</w:t>
      </w:r>
      <w:r w:rsidR="00F60D61" w:rsidRPr="00BE3CBD">
        <w:rPr>
          <w:szCs w:val="18"/>
          <w:lang w:val="fr-FR"/>
        </w:rPr>
        <w:t>’</w:t>
      </w:r>
      <w:r w:rsidR="005A77A0" w:rsidRPr="00BE3CBD">
        <w:rPr>
          <w:szCs w:val="18"/>
          <w:lang w:val="fr-FR"/>
        </w:rPr>
        <w:t xml:space="preserve">État de la propriété intellectuelle de la République populaire de Chine </w:t>
      </w:r>
      <w:r w:rsidRPr="00BE3CBD">
        <w:rPr>
          <w:szCs w:val="18"/>
          <w:lang w:val="fr-FR"/>
        </w:rPr>
        <w:t xml:space="preserve">(SIPO) </w:t>
      </w:r>
      <w:r w:rsidR="005A77A0" w:rsidRPr="00BE3CBD">
        <w:rPr>
          <w:szCs w:val="18"/>
          <w:lang w:val="fr-FR"/>
        </w:rPr>
        <w:t>et Office des brevets et des marques des États</w:t>
      </w:r>
      <w:r w:rsidR="00BE3CBD" w:rsidRPr="00BE3CBD">
        <w:rPr>
          <w:szCs w:val="18"/>
          <w:lang w:val="fr-FR"/>
        </w:rPr>
        <w:noBreakHyphen/>
      </w:r>
      <w:r w:rsidR="005A77A0" w:rsidRPr="00BE3CBD">
        <w:rPr>
          <w:szCs w:val="18"/>
          <w:lang w:val="fr-FR"/>
        </w:rPr>
        <w:t>Unis</w:t>
      </w:r>
      <w:r w:rsidR="0093209F" w:rsidRPr="00BE3CBD">
        <w:rPr>
          <w:szCs w:val="18"/>
          <w:lang w:val="fr-FR"/>
        </w:rPr>
        <w:t xml:space="preserve"> </w:t>
      </w:r>
      <w:r w:rsidR="005A77A0" w:rsidRPr="00BE3CBD">
        <w:rPr>
          <w:szCs w:val="18"/>
          <w:lang w:val="fr-FR"/>
        </w:rPr>
        <w:t>d</w:t>
      </w:r>
      <w:r w:rsidR="00F60D61" w:rsidRPr="00BE3CBD">
        <w:rPr>
          <w:szCs w:val="18"/>
          <w:lang w:val="fr-FR"/>
        </w:rPr>
        <w:t>’</w:t>
      </w:r>
      <w:r w:rsidR="005A77A0" w:rsidRPr="00BE3CBD">
        <w:rPr>
          <w:szCs w:val="18"/>
          <w:lang w:val="fr-FR"/>
        </w:rPr>
        <w:t>Amérique</w:t>
      </w:r>
      <w:r w:rsidRPr="00BE3CBD">
        <w:rPr>
          <w:szCs w:val="18"/>
          <w:lang w:val="fr-FR"/>
        </w:rPr>
        <w:t xml:space="preserve"> (USPTO).</w:t>
      </w:r>
    </w:p>
  </w:footnote>
  <w:footnote w:id="3">
    <w:p w:rsidR="00846556" w:rsidRPr="00BE3CBD" w:rsidRDefault="00846556" w:rsidP="00A40D84">
      <w:pPr>
        <w:pStyle w:val="FootnoteText"/>
        <w:rPr>
          <w:szCs w:val="18"/>
          <w:lang w:val="fr-FR"/>
        </w:rPr>
      </w:pPr>
      <w:r w:rsidRPr="00BE3CBD">
        <w:rPr>
          <w:rStyle w:val="FootnoteReference"/>
          <w:szCs w:val="18"/>
          <w:lang w:val="fr-FR"/>
        </w:rPr>
        <w:footnoteRef/>
      </w:r>
      <w:r w:rsidRPr="00BE3CBD">
        <w:rPr>
          <w:szCs w:val="18"/>
          <w:lang w:val="fr-FR"/>
        </w:rPr>
        <w:t xml:space="preserve"> </w:t>
      </w:r>
      <w:r w:rsidRPr="00BE3CBD">
        <w:rPr>
          <w:szCs w:val="18"/>
          <w:lang w:val="fr-FR"/>
        </w:rPr>
        <w:tab/>
      </w:r>
      <w:r w:rsidR="00CC2619" w:rsidRPr="00BE3CBD">
        <w:rPr>
          <w:szCs w:val="18"/>
          <w:lang w:val="fr-FR"/>
        </w:rPr>
        <w:t>Voir à l</w:t>
      </w:r>
      <w:r w:rsidR="00F60D61" w:rsidRPr="00BE3CBD">
        <w:rPr>
          <w:szCs w:val="18"/>
          <w:lang w:val="fr-FR"/>
        </w:rPr>
        <w:t>’</w:t>
      </w:r>
      <w:r w:rsidR="00CC2619" w:rsidRPr="00BE3CBD">
        <w:rPr>
          <w:szCs w:val="18"/>
          <w:lang w:val="fr-FR"/>
        </w:rPr>
        <w:t xml:space="preserve">adresse </w:t>
      </w:r>
      <w:r w:rsidR="006902C5">
        <w:fldChar w:fldCharType="begin"/>
      </w:r>
      <w:r w:rsidR="006902C5" w:rsidRPr="00430E36">
        <w:rPr>
          <w:lang w:val="fr-FR"/>
        </w:rPr>
        <w:instrText xml:space="preserve"> HYPERLINK "http://www.fiveipoffices.org/activities/globaldossier/authorityfiles.html" </w:instrText>
      </w:r>
      <w:r w:rsidR="006902C5">
        <w:fldChar w:fldCharType="separate"/>
      </w:r>
      <w:r w:rsidRPr="00BE3CBD">
        <w:rPr>
          <w:rStyle w:val="Hyperlink"/>
          <w:color w:val="auto"/>
          <w:szCs w:val="18"/>
          <w:u w:val="none"/>
          <w:lang w:val="fr-FR"/>
        </w:rPr>
        <w:t>http://www.fiveipoffices.org/activities/globaldossier/authorityfiles.html</w:t>
      </w:r>
      <w:r w:rsidR="006902C5">
        <w:rPr>
          <w:rStyle w:val="Hyperlink"/>
          <w:color w:val="auto"/>
          <w:szCs w:val="18"/>
          <w:u w:val="none"/>
          <w:lang w:val="fr-FR"/>
        </w:rPr>
        <w:fldChar w:fldCharType="end"/>
      </w:r>
      <w:r w:rsidRPr="00BE3CBD">
        <w:rPr>
          <w:szCs w:val="18"/>
          <w:lang w:val="fr-FR"/>
        </w:rPr>
        <w:t>.</w:t>
      </w:r>
    </w:p>
  </w:footnote>
  <w:footnote w:id="4">
    <w:p w:rsidR="00B74845" w:rsidRPr="00BE3CBD" w:rsidRDefault="00B74845" w:rsidP="00A40D84">
      <w:pPr>
        <w:pStyle w:val="FootnoteText"/>
        <w:rPr>
          <w:szCs w:val="18"/>
          <w:lang w:val="fr-FR"/>
        </w:rPr>
      </w:pPr>
      <w:r w:rsidRPr="00BE3CBD">
        <w:rPr>
          <w:rStyle w:val="FootnoteReference"/>
          <w:szCs w:val="18"/>
          <w:lang w:val="fr-FR"/>
        </w:rPr>
        <w:footnoteRef/>
      </w:r>
      <w:r w:rsidRPr="00BE3CBD">
        <w:rPr>
          <w:szCs w:val="18"/>
          <w:lang w:val="fr-FR"/>
        </w:rPr>
        <w:t xml:space="preserve"> </w:t>
      </w:r>
      <w:r w:rsidRPr="00BE3CBD">
        <w:rPr>
          <w:szCs w:val="18"/>
          <w:lang w:val="fr-FR"/>
        </w:rPr>
        <w:tab/>
        <w:t>“64.</w:t>
      </w:r>
      <w:r w:rsidRPr="00BE3CBD">
        <w:rPr>
          <w:szCs w:val="18"/>
          <w:lang w:val="fr-FR"/>
        </w:rPr>
        <w:tab/>
      </w:r>
      <w:r w:rsidR="00940344" w:rsidRPr="00BE3CBD">
        <w:rPr>
          <w:szCs w:val="18"/>
          <w:lang w:val="fr-FR"/>
        </w:rPr>
        <w:t>Une administration a insisté sur la nécessité de disposer de données bibliographiques en format texte conformément aux normes</w:t>
      </w:r>
      <w:r w:rsidR="0093209F" w:rsidRPr="00BE3CBD">
        <w:rPr>
          <w:szCs w:val="18"/>
          <w:lang w:val="fr-FR"/>
        </w:rPr>
        <w:t> </w:t>
      </w:r>
      <w:r w:rsidR="00940344" w:rsidRPr="00BE3CBD">
        <w:rPr>
          <w:szCs w:val="18"/>
          <w:lang w:val="fr-FR"/>
        </w:rPr>
        <w:t>ST.36 et ST.96 de l</w:t>
      </w:r>
      <w:r w:rsidR="00F60D61" w:rsidRPr="00BE3CBD">
        <w:rPr>
          <w:szCs w:val="18"/>
          <w:lang w:val="fr-FR"/>
        </w:rPr>
        <w:t>’</w:t>
      </w:r>
      <w:r w:rsidR="00940344" w:rsidRPr="00BE3CBD">
        <w:rPr>
          <w:szCs w:val="18"/>
          <w:lang w:val="fr-FR"/>
        </w:rPr>
        <w:t>OMPI.  Une autre administration a mis l</w:t>
      </w:r>
      <w:r w:rsidR="00F60D61" w:rsidRPr="00BE3CBD">
        <w:rPr>
          <w:szCs w:val="18"/>
          <w:lang w:val="fr-FR"/>
        </w:rPr>
        <w:t>’</w:t>
      </w:r>
      <w:r w:rsidR="00940344" w:rsidRPr="00BE3CBD">
        <w:rPr>
          <w:szCs w:val="18"/>
          <w:lang w:val="fr-FR"/>
        </w:rPr>
        <w:t>accent sur le fait que les offices de propriété intellectuelle devaient avoir librement accès à la documentation minimale afin de pouvoir la télécharger en bloc et que les données bibliographiques, les abrégés et les citations devaient être fournis en anglais.  Une autre administration encore a proposé que le groupe de travail se penche également sur les questions suivantes, en plus de celles mentionnées au paragraphe</w:t>
      </w:r>
      <w:r w:rsidR="0093209F" w:rsidRPr="00BE3CBD">
        <w:rPr>
          <w:szCs w:val="18"/>
          <w:lang w:val="fr-FR"/>
        </w:rPr>
        <w:t> </w:t>
      </w:r>
      <w:r w:rsidR="00940344" w:rsidRPr="00BE3CBD">
        <w:rPr>
          <w:szCs w:val="18"/>
          <w:lang w:val="fr-FR"/>
        </w:rPr>
        <w:t>10 du document</w:t>
      </w:r>
      <w:r w:rsidR="0093209F" w:rsidRPr="00BE3CBD">
        <w:rPr>
          <w:szCs w:val="18"/>
          <w:lang w:val="fr-FR"/>
        </w:rPr>
        <w:t> </w:t>
      </w:r>
      <w:r w:rsidR="00940344" w:rsidRPr="00BE3CBD">
        <w:rPr>
          <w:szCs w:val="18"/>
          <w:lang w:val="fr-FR"/>
        </w:rPr>
        <w:t>: échange de documents sans support, libre distribution de l</w:t>
      </w:r>
      <w:r w:rsidR="00F60D61" w:rsidRPr="00BE3CBD">
        <w:rPr>
          <w:szCs w:val="18"/>
          <w:lang w:val="fr-FR"/>
        </w:rPr>
        <w:t>’</w:t>
      </w:r>
      <w:r w:rsidR="00940344" w:rsidRPr="00BE3CBD">
        <w:rPr>
          <w:szCs w:val="18"/>
          <w:lang w:val="fr-FR"/>
        </w:rPr>
        <w:t>information en matière de brevets et ajout éventuel des collections de modèles d</w:t>
      </w:r>
      <w:r w:rsidR="00F60D61" w:rsidRPr="00BE3CBD">
        <w:rPr>
          <w:szCs w:val="18"/>
          <w:lang w:val="fr-FR"/>
        </w:rPr>
        <w:t>’</w:t>
      </w:r>
      <w:r w:rsidR="00940344" w:rsidRPr="00BE3CBD">
        <w:rPr>
          <w:szCs w:val="18"/>
          <w:lang w:val="fr-FR"/>
        </w:rPr>
        <w:t>utilité à la documentation minimale</w:t>
      </w:r>
      <w:r w:rsidR="00F60D61" w:rsidRPr="00BE3CBD">
        <w:rPr>
          <w:szCs w:val="18"/>
          <w:lang w:val="fr-FR"/>
        </w:rPr>
        <w:t xml:space="preserve"> du PCT</w:t>
      </w:r>
      <w:r w:rsidRPr="00BE3CBD">
        <w:rPr>
          <w:szCs w:val="18"/>
          <w:lang w:val="fr-FR"/>
        </w:rPr>
        <w:t>.”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77397" w:rsidP="00477D6B">
    <w:pPr>
      <w:jc w:val="right"/>
    </w:pPr>
    <w:bookmarkStart w:id="8" w:name="Code2"/>
    <w:bookmarkEnd w:id="8"/>
    <w:r>
      <w:t>PCT/WG/8/</w:t>
    </w:r>
    <w:r w:rsidR="00C87234">
      <w:t>9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902C5">
      <w:rPr>
        <w:noProof/>
      </w:rPr>
      <w:t>4</w:t>
    </w:r>
    <w:r>
      <w:fldChar w:fldCharType="end"/>
    </w:r>
  </w:p>
  <w:p w:rsidR="00846556" w:rsidRDefault="0084655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692E789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ascii="Arial" w:eastAsia="SimSun" w:hAnsi="Arial" w:cs="Arial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34"/>
    <w:rsid w:val="00043CAA"/>
    <w:rsid w:val="000510E1"/>
    <w:rsid w:val="00075432"/>
    <w:rsid w:val="000968ED"/>
    <w:rsid w:val="000C0660"/>
    <w:rsid w:val="000F5E56"/>
    <w:rsid w:val="001362EE"/>
    <w:rsid w:val="0017549E"/>
    <w:rsid w:val="001832A6"/>
    <w:rsid w:val="001E3CD3"/>
    <w:rsid w:val="00204CE7"/>
    <w:rsid w:val="00251CC6"/>
    <w:rsid w:val="002634C4"/>
    <w:rsid w:val="002775E8"/>
    <w:rsid w:val="002928D3"/>
    <w:rsid w:val="002B601D"/>
    <w:rsid w:val="002C0AFC"/>
    <w:rsid w:val="002F1FE6"/>
    <w:rsid w:val="002F4E68"/>
    <w:rsid w:val="00303359"/>
    <w:rsid w:val="00312F7F"/>
    <w:rsid w:val="00320A21"/>
    <w:rsid w:val="00326C1C"/>
    <w:rsid w:val="00330D1E"/>
    <w:rsid w:val="003603B6"/>
    <w:rsid w:val="00361450"/>
    <w:rsid w:val="003673CF"/>
    <w:rsid w:val="00374D36"/>
    <w:rsid w:val="003845C1"/>
    <w:rsid w:val="00391E26"/>
    <w:rsid w:val="003A2A01"/>
    <w:rsid w:val="003A6F89"/>
    <w:rsid w:val="003B38C1"/>
    <w:rsid w:val="00423E3E"/>
    <w:rsid w:val="00424263"/>
    <w:rsid w:val="00427AF4"/>
    <w:rsid w:val="00430E36"/>
    <w:rsid w:val="004647DA"/>
    <w:rsid w:val="00474062"/>
    <w:rsid w:val="00477D6B"/>
    <w:rsid w:val="004B54C2"/>
    <w:rsid w:val="004C299C"/>
    <w:rsid w:val="005019FF"/>
    <w:rsid w:val="0052330B"/>
    <w:rsid w:val="0053057A"/>
    <w:rsid w:val="0053167F"/>
    <w:rsid w:val="00560A29"/>
    <w:rsid w:val="00595553"/>
    <w:rsid w:val="005A77A0"/>
    <w:rsid w:val="005C6649"/>
    <w:rsid w:val="00605827"/>
    <w:rsid w:val="00620BC1"/>
    <w:rsid w:val="00646050"/>
    <w:rsid w:val="006713CA"/>
    <w:rsid w:val="00676C5C"/>
    <w:rsid w:val="006902C5"/>
    <w:rsid w:val="006E6E64"/>
    <w:rsid w:val="0073675C"/>
    <w:rsid w:val="00737AF8"/>
    <w:rsid w:val="007435A6"/>
    <w:rsid w:val="007A0BD8"/>
    <w:rsid w:val="007D1613"/>
    <w:rsid w:val="0083339A"/>
    <w:rsid w:val="00846556"/>
    <w:rsid w:val="00896B9E"/>
    <w:rsid w:val="008B2CC1"/>
    <w:rsid w:val="008B60B2"/>
    <w:rsid w:val="008F2EC1"/>
    <w:rsid w:val="0090731E"/>
    <w:rsid w:val="00916EE2"/>
    <w:rsid w:val="0093209F"/>
    <w:rsid w:val="00934EDA"/>
    <w:rsid w:val="00940344"/>
    <w:rsid w:val="00966A22"/>
    <w:rsid w:val="0096722F"/>
    <w:rsid w:val="00980843"/>
    <w:rsid w:val="009E2791"/>
    <w:rsid w:val="009E3F6F"/>
    <w:rsid w:val="009F499F"/>
    <w:rsid w:val="00A40D84"/>
    <w:rsid w:val="00A42DAF"/>
    <w:rsid w:val="00A45BD8"/>
    <w:rsid w:val="00A70AF4"/>
    <w:rsid w:val="00A869B7"/>
    <w:rsid w:val="00AC205C"/>
    <w:rsid w:val="00AC6249"/>
    <w:rsid w:val="00AE1A1B"/>
    <w:rsid w:val="00AF0A6B"/>
    <w:rsid w:val="00B05A69"/>
    <w:rsid w:val="00B259A7"/>
    <w:rsid w:val="00B74845"/>
    <w:rsid w:val="00B9734B"/>
    <w:rsid w:val="00BC358F"/>
    <w:rsid w:val="00BE3CBD"/>
    <w:rsid w:val="00BF69C2"/>
    <w:rsid w:val="00C07175"/>
    <w:rsid w:val="00C11BFE"/>
    <w:rsid w:val="00C31816"/>
    <w:rsid w:val="00C52DCB"/>
    <w:rsid w:val="00C74F38"/>
    <w:rsid w:val="00C87234"/>
    <w:rsid w:val="00C93923"/>
    <w:rsid w:val="00CB75F6"/>
    <w:rsid w:val="00CC2619"/>
    <w:rsid w:val="00D45252"/>
    <w:rsid w:val="00D53297"/>
    <w:rsid w:val="00D55555"/>
    <w:rsid w:val="00D71B4D"/>
    <w:rsid w:val="00D77397"/>
    <w:rsid w:val="00D85751"/>
    <w:rsid w:val="00D93D55"/>
    <w:rsid w:val="00DF57EE"/>
    <w:rsid w:val="00E23DD8"/>
    <w:rsid w:val="00E335FE"/>
    <w:rsid w:val="00E4404A"/>
    <w:rsid w:val="00EA22E8"/>
    <w:rsid w:val="00EA5B97"/>
    <w:rsid w:val="00EC4E49"/>
    <w:rsid w:val="00ED3177"/>
    <w:rsid w:val="00ED77FB"/>
    <w:rsid w:val="00EE45FA"/>
    <w:rsid w:val="00F15509"/>
    <w:rsid w:val="00F60D61"/>
    <w:rsid w:val="00F66152"/>
    <w:rsid w:val="00F7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0AFC"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7A0BD8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7A0BD8"/>
    <w:rPr>
      <w:vertAlign w:val="superscript"/>
    </w:rPr>
  </w:style>
  <w:style w:type="paragraph" w:styleId="BalloonText">
    <w:name w:val="Balloon Text"/>
    <w:basedOn w:val="Normal"/>
    <w:link w:val="BalloonTextChar"/>
    <w:rsid w:val="0062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BC1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0AFC"/>
    <w:pPr>
      <w:keepNext/>
      <w:spacing w:before="360" w:after="12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rsid w:val="007A0BD8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rsid w:val="007A0BD8"/>
    <w:rPr>
      <w:vertAlign w:val="superscript"/>
    </w:rPr>
  </w:style>
  <w:style w:type="paragraph" w:styleId="BalloonText">
    <w:name w:val="Balloon Text"/>
    <w:basedOn w:val="Normal"/>
    <w:link w:val="BalloonTextChar"/>
    <w:rsid w:val="00620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0BC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FA3D-27D8-4743-B077-C7D5035F9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4AD0EE-3DAA-4B87-B794-8930C67F38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75FBB-63EF-46BC-9DCA-8871523BB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2A27BA-CE7E-4049-AB26-0132A480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8 (E)</Template>
  <TotalTime>2</TotalTime>
  <Pages>4</Pages>
  <Words>1149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PCT Minimum Documentation:  Definition and Extent of Patent Literature</dc:subject>
  <dc:creator>RICHARDSON Michael</dc:creator>
  <cp:keywords>ST/ko</cp:keywords>
  <cp:lastModifiedBy>MARLOW Thomas</cp:lastModifiedBy>
  <cp:revision>4</cp:revision>
  <cp:lastPrinted>2015-04-02T12:30:00Z</cp:lastPrinted>
  <dcterms:created xsi:type="dcterms:W3CDTF">2015-04-07T07:19:00Z</dcterms:created>
  <dcterms:modified xsi:type="dcterms:W3CDTF">2015-04-07T07:21:00Z</dcterms:modified>
</cp:coreProperties>
</file>